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321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Excellent. What you have now is much closer to what a faculty advisor or thesis committee would expect. It introduces the three missing academic layers:</w:t>
      </w:r>
    </w:p>
    <w:p w14:paraId="74E9943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FE8D9F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 formal problem statement,</w:t>
      </w:r>
    </w:p>
    <w:p w14:paraId="62FF22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 defined methodology,</w:t>
      </w:r>
    </w:p>
    <w:p w14:paraId="70D61BC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a technical contribution claim.</w:t>
      </w:r>
    </w:p>
    <w:p w14:paraId="60F3B0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FC237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Below is a **refined and expanded professor-ready thesis section** that incorporates your structure, tightens the language, and makes it read like a strong software engineering / systems architecture master’s thesis proposal.</w:t>
      </w:r>
    </w:p>
    <w:p w14:paraId="58C6E8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1CAD8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DDF4F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AEC8A0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Exploring Cross-Platform Development with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w:t>
      </w:r>
    </w:p>
    <w:p w14:paraId="1F77CF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Toward a Unified Intent-Driven Software Execution Model</w:t>
      </w:r>
    </w:p>
    <w:p w14:paraId="5260AB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19D88C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3962B9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3140B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 Formal Research Problem Statement</w:t>
      </w:r>
    </w:p>
    <w:p w14:paraId="130F51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BFC4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50E56A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C3F698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77BF5FB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C6DD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central problem addressed by this thesis is therefore:</w:t>
      </w:r>
    </w:p>
    <w:p w14:paraId="7F2757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625E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&gt; **</w:t>
      </w:r>
      <w:proofErr w:type="gramEnd"/>
      <w:r w:rsidRPr="00E531B1">
        <w:rPr>
          <w:rFonts w:ascii="Arial" w:eastAsia="Times New Roman" w:hAnsi="Arial" w:cs="Arial"/>
          <w:color w:val="2E2B29"/>
          <w:kern w:val="0"/>
          <w:sz w:val="27"/>
          <w:szCs w:val="27"/>
          <w:shd w:val="clear" w:color="auto" w:fill="FCFAF8"/>
          <w14:ligatures w14:val="none"/>
        </w:rPr>
        <w:t xml:space="preserve">There is currently no intent-aware execution substrate capable of translating verified user intent into secure, portable capability enforcement across heterogeneous operating </w:t>
      </w:r>
      <w:proofErr w:type="gramStart"/>
      <w:r w:rsidRPr="00E531B1">
        <w:rPr>
          <w:rFonts w:ascii="Arial" w:eastAsia="Times New Roman" w:hAnsi="Arial" w:cs="Arial"/>
          <w:color w:val="2E2B29"/>
          <w:kern w:val="0"/>
          <w:sz w:val="27"/>
          <w:szCs w:val="27"/>
          <w:shd w:val="clear" w:color="auto" w:fill="FCFAF8"/>
          <w14:ligatures w14:val="none"/>
        </w:rPr>
        <w:t>systems.*</w:t>
      </w:r>
      <w:proofErr w:type="gramEnd"/>
      <w:r w:rsidRPr="00E531B1">
        <w:rPr>
          <w:rFonts w:ascii="Arial" w:eastAsia="Times New Roman" w:hAnsi="Arial" w:cs="Arial"/>
          <w:color w:val="2E2B29"/>
          <w:kern w:val="0"/>
          <w:sz w:val="27"/>
          <w:szCs w:val="27"/>
          <w:shd w:val="clear" w:color="auto" w:fill="FCFAF8"/>
          <w14:ligatures w14:val="none"/>
        </w:rPr>
        <w:t>*</w:t>
      </w:r>
    </w:p>
    <w:p w14:paraId="0FC87FA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9D4D3D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4CF100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7D11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is proposed as a new architectural layer positioned between applications and platform-specific enforcement engines. Rather than treating platform APIs as the fundamental source of authority,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treats **semantic intent** as the primary execution primitive. This thesis investigates whether such a model can provide a viable foundation for cross-platform execution portability and simplified software transition.</w:t>
      </w:r>
    </w:p>
    <w:p w14:paraId="4F0D175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44BF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1C6B688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96CDE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2. Research Aim</w:t>
      </w:r>
    </w:p>
    <w:p w14:paraId="3766DB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0087E9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aim of this thesis is to design, prototype, and evaluate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as a unified, intent-driven execution substrate capable of improving cross-platform portability, reducing platform-specific permission complexity, and supporting the migration of legacy software systems into more portable execution environments.</w:t>
      </w:r>
    </w:p>
    <w:p w14:paraId="60ECF8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FEFB4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9FA3DE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02513B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3. Research Questions</w:t>
      </w:r>
    </w:p>
    <w:p w14:paraId="3973378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42688F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addresses the following primary research questions:</w:t>
      </w:r>
    </w:p>
    <w:p w14:paraId="256151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18B4E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RQ1  </w:t>
      </w:r>
    </w:p>
    <w:p w14:paraId="785462A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**Can an intent-driven execution broker reduce platform-specific permission logic without weakening security </w:t>
      </w:r>
      <w:proofErr w:type="gramStart"/>
      <w:r w:rsidRPr="00E531B1">
        <w:rPr>
          <w:rFonts w:ascii="Arial" w:eastAsia="Times New Roman" w:hAnsi="Arial" w:cs="Arial"/>
          <w:color w:val="2E2B29"/>
          <w:kern w:val="0"/>
          <w:sz w:val="27"/>
          <w:szCs w:val="27"/>
          <w:shd w:val="clear" w:color="auto" w:fill="FCFAF8"/>
          <w14:ligatures w14:val="none"/>
        </w:rPr>
        <w:t>guarantees?*</w:t>
      </w:r>
      <w:proofErr w:type="gramEnd"/>
      <w:r w:rsidRPr="00E531B1">
        <w:rPr>
          <w:rFonts w:ascii="Arial" w:eastAsia="Times New Roman" w:hAnsi="Arial" w:cs="Arial"/>
          <w:color w:val="2E2B29"/>
          <w:kern w:val="0"/>
          <w:sz w:val="27"/>
          <w:szCs w:val="27"/>
          <w:shd w:val="clear" w:color="auto" w:fill="FCFAF8"/>
          <w14:ligatures w14:val="none"/>
        </w:rPr>
        <w:t>*</w:t>
      </w:r>
    </w:p>
    <w:p w14:paraId="585AB8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B64FA1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RQ2  </w:t>
      </w:r>
    </w:p>
    <w:p w14:paraId="5BDC0EC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**Can capability-scoped intent tokens function as a portable enforcement primitive across heterogeneous operating systems such as Windows, Linux, Android, and embedded </w:t>
      </w:r>
      <w:proofErr w:type="gramStart"/>
      <w:r w:rsidRPr="00E531B1">
        <w:rPr>
          <w:rFonts w:ascii="Arial" w:eastAsia="Times New Roman" w:hAnsi="Arial" w:cs="Arial"/>
          <w:color w:val="2E2B29"/>
          <w:kern w:val="0"/>
          <w:sz w:val="27"/>
          <w:szCs w:val="27"/>
          <w:shd w:val="clear" w:color="auto" w:fill="FCFAF8"/>
          <w14:ligatures w14:val="none"/>
        </w:rPr>
        <w:t>environments?*</w:t>
      </w:r>
      <w:proofErr w:type="gramEnd"/>
      <w:r w:rsidRPr="00E531B1">
        <w:rPr>
          <w:rFonts w:ascii="Arial" w:eastAsia="Times New Roman" w:hAnsi="Arial" w:cs="Arial"/>
          <w:color w:val="2E2B29"/>
          <w:kern w:val="0"/>
          <w:sz w:val="27"/>
          <w:szCs w:val="27"/>
          <w:shd w:val="clear" w:color="auto" w:fill="FCFAF8"/>
          <w14:ligatures w14:val="none"/>
        </w:rPr>
        <w:t>*</w:t>
      </w:r>
    </w:p>
    <w:p w14:paraId="2430369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8AA5B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xml:space="preserve">### RQ3  </w:t>
      </w:r>
    </w:p>
    <w:p w14:paraId="6A73DDA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**Does an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-style mediation layer improve migration efficiency when transitioning legacy software systems toward cross-platform </w:t>
      </w:r>
      <w:proofErr w:type="gramStart"/>
      <w:r w:rsidRPr="00E531B1">
        <w:rPr>
          <w:rFonts w:ascii="Arial" w:eastAsia="Times New Roman" w:hAnsi="Arial" w:cs="Arial"/>
          <w:color w:val="2E2B29"/>
          <w:kern w:val="0"/>
          <w:sz w:val="27"/>
          <w:szCs w:val="27"/>
          <w:shd w:val="clear" w:color="auto" w:fill="FCFAF8"/>
          <w14:ligatures w14:val="none"/>
        </w:rPr>
        <w:t>architectures?*</w:t>
      </w:r>
      <w:proofErr w:type="gramEnd"/>
      <w:r w:rsidRPr="00E531B1">
        <w:rPr>
          <w:rFonts w:ascii="Arial" w:eastAsia="Times New Roman" w:hAnsi="Arial" w:cs="Arial"/>
          <w:color w:val="2E2B29"/>
          <w:kern w:val="0"/>
          <w:sz w:val="27"/>
          <w:szCs w:val="27"/>
          <w:shd w:val="clear" w:color="auto" w:fill="FCFAF8"/>
          <w14:ligatures w14:val="none"/>
        </w:rPr>
        <w:t>*</w:t>
      </w:r>
    </w:p>
    <w:p w14:paraId="7A0B71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408D5E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RQ4  </w:t>
      </w:r>
    </w:p>
    <w:p w14:paraId="0201CB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**What performance, usability, and architectural trade-offs emerge when API-centric execution control is replaced with intent-verified capability </w:t>
      </w:r>
      <w:proofErr w:type="gramStart"/>
      <w:r w:rsidRPr="00E531B1">
        <w:rPr>
          <w:rFonts w:ascii="Arial" w:eastAsia="Times New Roman" w:hAnsi="Arial" w:cs="Arial"/>
          <w:color w:val="2E2B29"/>
          <w:kern w:val="0"/>
          <w:sz w:val="27"/>
          <w:szCs w:val="27"/>
          <w:shd w:val="clear" w:color="auto" w:fill="FCFAF8"/>
          <w14:ligatures w14:val="none"/>
        </w:rPr>
        <w:t>issuance?*</w:t>
      </w:r>
      <w:proofErr w:type="gramEnd"/>
      <w:r w:rsidRPr="00E531B1">
        <w:rPr>
          <w:rFonts w:ascii="Arial" w:eastAsia="Times New Roman" w:hAnsi="Arial" w:cs="Arial"/>
          <w:color w:val="2E2B29"/>
          <w:kern w:val="0"/>
          <w:sz w:val="27"/>
          <w:szCs w:val="27"/>
          <w:shd w:val="clear" w:color="auto" w:fill="FCFAF8"/>
          <w14:ligatures w14:val="none"/>
        </w:rPr>
        <w:t>*</w:t>
      </w:r>
    </w:p>
    <w:p w14:paraId="19DBED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531B49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EE9E4D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DFCD9B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4. Research Hypotheses</w:t>
      </w:r>
    </w:p>
    <w:p w14:paraId="1839BB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9E155C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 operationalize the research questions, the thesis will evaluate the following hypotheses:</w:t>
      </w:r>
    </w:p>
    <w:p w14:paraId="54A4982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96DB02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1:*</w:t>
      </w:r>
      <w:proofErr w:type="gramEnd"/>
      <w:r w:rsidRPr="00E531B1">
        <w:rPr>
          <w:rFonts w:ascii="Arial" w:eastAsia="Times New Roman" w:hAnsi="Arial" w:cs="Arial"/>
          <w:color w:val="2E2B29"/>
          <w:kern w:val="0"/>
          <w:sz w:val="27"/>
          <w:szCs w:val="27"/>
          <w:shd w:val="clear" w:color="auto" w:fill="FCFAF8"/>
          <w14:ligatures w14:val="none"/>
        </w:rPr>
        <w:t>* An intent-driven broker model can reduce the amount of platform-specific permission logic required in application implementations.</w:t>
      </w:r>
    </w:p>
    <w:p w14:paraId="100C043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2:*</w:t>
      </w:r>
      <w:proofErr w:type="gramEnd"/>
      <w:r w:rsidRPr="00E531B1">
        <w:rPr>
          <w:rFonts w:ascii="Arial" w:eastAsia="Times New Roman" w:hAnsi="Arial" w:cs="Arial"/>
          <w:color w:val="2E2B29"/>
          <w:kern w:val="0"/>
          <w:sz w:val="27"/>
          <w:szCs w:val="27"/>
          <w:shd w:val="clear" w:color="auto" w:fill="FCFAF8"/>
          <w14:ligatures w14:val="none"/>
        </w:rPr>
        <w:t>* Capability-scoped intent tokens can be mapped consistently across at least three heterogeneous target platforms.</w:t>
      </w:r>
    </w:p>
    <w:p w14:paraId="380B6E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3:*</w:t>
      </w:r>
      <w:proofErr w:type="gramEnd"/>
      <w:r w:rsidRPr="00E531B1">
        <w:rPr>
          <w:rFonts w:ascii="Arial" w:eastAsia="Times New Roman" w:hAnsi="Arial" w:cs="Arial"/>
          <w:color w:val="2E2B29"/>
          <w:kern w:val="0"/>
          <w:sz w:val="27"/>
          <w:szCs w:val="27"/>
          <w:shd w:val="clear" w:color="auto" w:fill="FCFAF8"/>
          <w14:ligatures w14:val="none"/>
        </w:rPr>
        <w:t xml:space="preserve">* The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Relief Layer (IKRL) can reduce migration complexity for selected legacy application behaviors by abstracting runtime authority handling.</w:t>
      </w:r>
    </w:p>
    <w:p w14:paraId="29A881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**H</w:t>
      </w:r>
      <w:proofErr w:type="gramStart"/>
      <w:r w:rsidRPr="00E531B1">
        <w:rPr>
          <w:rFonts w:ascii="Arial" w:eastAsia="Times New Roman" w:hAnsi="Arial" w:cs="Arial"/>
          <w:color w:val="2E2B29"/>
          <w:kern w:val="0"/>
          <w:sz w:val="27"/>
          <w:szCs w:val="27"/>
          <w:shd w:val="clear" w:color="auto" w:fill="FCFAF8"/>
          <w14:ligatures w14:val="none"/>
        </w:rPr>
        <w:t>4:*</w:t>
      </w:r>
      <w:proofErr w:type="gramEnd"/>
      <w:r w:rsidRPr="00E531B1">
        <w:rPr>
          <w:rFonts w:ascii="Arial" w:eastAsia="Times New Roman" w:hAnsi="Arial" w:cs="Arial"/>
          <w:color w:val="2E2B29"/>
          <w:kern w:val="0"/>
          <w:sz w:val="27"/>
          <w:szCs w:val="27"/>
          <w:shd w:val="clear" w:color="auto" w:fill="FCFAF8"/>
          <w14:ligatures w14:val="none"/>
        </w:rPr>
        <w:t>* The performance overhead introduced by intent mediation remains acceptable for the classes of applications evaluated in the study.</w:t>
      </w:r>
    </w:p>
    <w:p w14:paraId="406DAF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AF14D1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6270B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2E584E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5. Conceptual Architecture of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p>
    <w:p w14:paraId="7A29A3C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7C28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differs fundamentally from conventional portability frameworks because it is positioned at the **semantic </w:t>
      </w:r>
      <w:proofErr w:type="gramStart"/>
      <w:r w:rsidRPr="00E531B1">
        <w:rPr>
          <w:rFonts w:ascii="Arial" w:eastAsia="Times New Roman" w:hAnsi="Arial" w:cs="Arial"/>
          <w:color w:val="2E2B29"/>
          <w:kern w:val="0"/>
          <w:sz w:val="27"/>
          <w:szCs w:val="27"/>
          <w:shd w:val="clear" w:color="auto" w:fill="FCFAF8"/>
          <w14:ligatures w14:val="none"/>
        </w:rPr>
        <w:t>authorization boundary</w:t>
      </w:r>
      <w:proofErr w:type="gramEnd"/>
      <w:r w:rsidRPr="00E531B1">
        <w:rPr>
          <w:rFonts w:ascii="Arial" w:eastAsia="Times New Roman" w:hAnsi="Arial" w:cs="Arial"/>
          <w:color w:val="2E2B29"/>
          <w:kern w:val="0"/>
          <w:sz w:val="27"/>
          <w:szCs w:val="27"/>
          <w:shd w:val="clear" w:color="auto" w:fill="FCFAF8"/>
          <w14:ligatures w14:val="none"/>
        </w:rPr>
        <w:t>**, not only at the user interface or runtime abstraction layer.</w:t>
      </w:r>
    </w:p>
    <w:p w14:paraId="782FC31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5B327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Traditional model:</w:t>
      </w:r>
    </w:p>
    <w:p w14:paraId="54AB468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9BCD62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**Application → Platform API → Resource**</w:t>
      </w:r>
    </w:p>
    <w:p w14:paraId="6C7133D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DFBC5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model:</w:t>
      </w:r>
    </w:p>
    <w:p w14:paraId="1B4936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2C1ED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**User Intent → Intent Broker → Capability Token → Local Enforcement Adapter → Resource**</w:t>
      </w:r>
    </w:p>
    <w:p w14:paraId="44C7AC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B404C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shift changes the basis of execution authority from:</w:t>
      </w:r>
    </w:p>
    <w:p w14:paraId="2CBBAC3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permission logic,</w:t>
      </w:r>
    </w:p>
    <w:p w14:paraId="36C9B09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w:t>
      </w:r>
    </w:p>
    <w:p w14:paraId="728759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verified, scoped, and portable semantic intent.</w:t>
      </w:r>
    </w:p>
    <w:p w14:paraId="4D7618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691F7B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5.1 Primary Architectural Subsystems</w:t>
      </w:r>
    </w:p>
    <w:p w14:paraId="68D8DCF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2A257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Layer | Role |</w:t>
      </w:r>
    </w:p>
    <w:p w14:paraId="08F7834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1A745F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Parser** | Captures human interaction signals and application action requests |</w:t>
      </w:r>
    </w:p>
    <w:p w14:paraId="7D8E5AA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**Secure Input Path** | Verifies authenticity and origin of interaction |</w:t>
      </w:r>
    </w:p>
    <w:p w14:paraId="5939A4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Broker** | Converts verified intent into scoped execution capability |</w:t>
      </w:r>
    </w:p>
    <w:p w14:paraId="1360BE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**Capability Engine** | Validates and enforces capability tokens |</w:t>
      </w:r>
    </w:p>
    <w:p w14:paraId="0175DB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**Policy Store** | Defines resource governance rules and capability constraints |</w:t>
      </w:r>
    </w:p>
    <w:p w14:paraId="216AD6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AC4975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architecture allows cross-platform portability to be governed through a shared execution logic rather than ad hoc per-platform translation.</w:t>
      </w:r>
    </w:p>
    <w:p w14:paraId="02EEEE5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3B2A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FD5C37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6B874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 Proposed System Model</w:t>
      </w:r>
    </w:p>
    <w:p w14:paraId="5D5A208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59F1B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thesis proposes an execution lifecycle built around five stages:</w:t>
      </w:r>
    </w:p>
    <w:p w14:paraId="23F302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CB284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6.1 Intent Capture</w:t>
      </w:r>
    </w:p>
    <w:p w14:paraId="278EDA0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system records a user or process request and associates it with contextual metadata.</w:t>
      </w:r>
    </w:p>
    <w:p w14:paraId="2E4E50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63B2F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6.2 Context Verification</w:t>
      </w:r>
    </w:p>
    <w:p w14:paraId="44D5661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runtime verifies:</w:t>
      </w:r>
    </w:p>
    <w:p w14:paraId="49B9D7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actor identity,</w:t>
      </w:r>
    </w:p>
    <w:p w14:paraId="798DE36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device context,</w:t>
      </w:r>
    </w:p>
    <w:p w14:paraId="5358E6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 source,</w:t>
      </w:r>
    </w:p>
    <w:p w14:paraId="149BAD0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relevant policy constraints.</w:t>
      </w:r>
    </w:p>
    <w:p w14:paraId="3349BB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EB8CA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6.3 Capability Token Minting</w:t>
      </w:r>
    </w:p>
    <w:p w14:paraId="0237B9F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The broker issues a capability token representing a narrow, time-bounded execution right.</w:t>
      </w:r>
    </w:p>
    <w:p w14:paraId="2EE5CE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142715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6.4 Policy Evaluation</w:t>
      </w:r>
    </w:p>
    <w:p w14:paraId="2D03E9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token is evaluated against policy and trust constraints before being accepted.</w:t>
      </w:r>
    </w:p>
    <w:p w14:paraId="0A1389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9C5B7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6.5 Resource Access Enforcement</w:t>
      </w:r>
    </w:p>
    <w:p w14:paraId="4B6ECE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platform-specific enforcement adapter interprets the token and grants or denies access.</w:t>
      </w:r>
    </w:p>
    <w:p w14:paraId="7500B37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6F1B50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6.6 Token Structure</w:t>
      </w:r>
    </w:p>
    <w:p w14:paraId="71BA64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Each capability token includes:</w:t>
      </w:r>
    </w:p>
    <w:p w14:paraId="169EE06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actor identity</w:t>
      </w:r>
    </w:p>
    <w:p w14:paraId="6813E1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device identity</w:t>
      </w:r>
    </w:p>
    <w:p w14:paraId="5DABBA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target resource scope</w:t>
      </w:r>
    </w:p>
    <w:p w14:paraId="201BEA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allowed operation</w:t>
      </w:r>
    </w:p>
    <w:p w14:paraId="69FA30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expiration window</w:t>
      </w:r>
    </w:p>
    <w:p w14:paraId="3E2CF61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optional use count</w:t>
      </w:r>
    </w:p>
    <w:p w14:paraId="5DEA917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delegation constraints</w:t>
      </w:r>
    </w:p>
    <w:p w14:paraId="0ADCA2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context-binding metadata</w:t>
      </w:r>
    </w:p>
    <w:p w14:paraId="4D56FC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D25C0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creates a common semantic representation that can be interpreted by local enforcement engines across different systems.</w:t>
      </w:r>
    </w:p>
    <w:p w14:paraId="4C576B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0C809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52063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6C72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7. Migration Model for Legacy Software Systems</w:t>
      </w:r>
    </w:p>
    <w:p w14:paraId="273207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560CEA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One of the most practical and costly challenges in software engineering is legacy migration. Existing systems often rely on platform-dependent assumptions, making transition to new </w:t>
      </w:r>
      <w:proofErr w:type="gramStart"/>
      <w:r w:rsidRPr="00E531B1">
        <w:rPr>
          <w:rFonts w:ascii="Arial" w:eastAsia="Times New Roman" w:hAnsi="Arial" w:cs="Arial"/>
          <w:color w:val="2E2B29"/>
          <w:kern w:val="0"/>
          <w:sz w:val="27"/>
          <w:szCs w:val="27"/>
          <w:shd w:val="clear" w:color="auto" w:fill="FCFAF8"/>
          <w14:ligatures w14:val="none"/>
        </w:rPr>
        <w:t>architectures</w:t>
      </w:r>
      <w:proofErr w:type="gramEnd"/>
      <w:r w:rsidRPr="00E531B1">
        <w:rPr>
          <w:rFonts w:ascii="Arial" w:eastAsia="Times New Roman" w:hAnsi="Arial" w:cs="Arial"/>
          <w:color w:val="2E2B29"/>
          <w:kern w:val="0"/>
          <w:sz w:val="27"/>
          <w:szCs w:val="27"/>
          <w:shd w:val="clear" w:color="auto" w:fill="FCFAF8"/>
          <w14:ligatures w14:val="none"/>
        </w:rPr>
        <w:t xml:space="preserve"> expensive and error-prone.</w:t>
      </w:r>
    </w:p>
    <w:p w14:paraId="2DE5D9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5CE54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To address this,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introduces a compatibility bridge called the:</w:t>
      </w:r>
    </w:p>
    <w:p w14:paraId="379F249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F4C3F1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Relief Layer (IKRL)</w:t>
      </w:r>
    </w:p>
    <w:p w14:paraId="5B1CA3E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4C8B3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IKRL is designed to allow existing software to </w:t>
      </w:r>
      <w:proofErr w:type="gramStart"/>
      <w:r w:rsidRPr="00E531B1">
        <w:rPr>
          <w:rFonts w:ascii="Arial" w:eastAsia="Times New Roman" w:hAnsi="Arial" w:cs="Arial"/>
          <w:color w:val="2E2B29"/>
          <w:kern w:val="0"/>
          <w:sz w:val="27"/>
          <w:szCs w:val="27"/>
          <w:shd w:val="clear" w:color="auto" w:fill="FCFAF8"/>
          <w14:ligatures w14:val="none"/>
        </w:rPr>
        <w:t>execute</w:t>
      </w:r>
      <w:proofErr w:type="gramEnd"/>
      <w:r w:rsidRPr="00E531B1">
        <w:rPr>
          <w:rFonts w:ascii="Arial" w:eastAsia="Times New Roman" w:hAnsi="Arial" w:cs="Arial"/>
          <w:color w:val="2E2B29"/>
          <w:kern w:val="0"/>
          <w:sz w:val="27"/>
          <w:szCs w:val="27"/>
          <w:shd w:val="clear" w:color="auto" w:fill="FCFAF8"/>
          <w14:ligatures w14:val="none"/>
        </w:rPr>
        <w:t xml:space="preserve"> within an intent-aware runtime environment without requiring immediate binary rewriting.</w:t>
      </w:r>
    </w:p>
    <w:p w14:paraId="5291926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5A9CE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7.1 Migration Pipeline</w:t>
      </w:r>
    </w:p>
    <w:p w14:paraId="4E6EC14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FA570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Stage | Action |</w:t>
      </w:r>
    </w:p>
    <w:p w14:paraId="63E8856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6A52713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**Observation** | Capture existing runtime permission behavior |</w:t>
      </w:r>
    </w:p>
    <w:p w14:paraId="77CD6E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**Classification** | Map observed behavior to intent categories |</w:t>
      </w:r>
    </w:p>
    <w:p w14:paraId="1F15B89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**Translation** | Convert API requests into capability requests |</w:t>
      </w:r>
    </w:p>
    <w:p w14:paraId="1F581F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 Apply scoped execution tokens through runtime mediation |</w:t>
      </w:r>
    </w:p>
    <w:p w14:paraId="12CAA6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586D4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This migration model is important because it frames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not merely as a new framework for new applications, but as a practical pathway for modernizing old ones.</w:t>
      </w:r>
    </w:p>
    <w:p w14:paraId="7264B4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63E0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EA1D1B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0F6C2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8. Cross-Platform Enforcement Strategy</w:t>
      </w:r>
    </w:p>
    <w:p w14:paraId="758CC5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7C090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separates:</w:t>
      </w:r>
    </w:p>
    <w:p w14:paraId="15732A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E3D21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**execution authority**  </w:t>
      </w:r>
    </w:p>
    <w:p w14:paraId="0A33A7B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from</w:t>
      </w:r>
      <w:proofErr w:type="gramEnd"/>
      <w:r w:rsidRPr="00E531B1">
        <w:rPr>
          <w:rFonts w:ascii="Arial" w:eastAsia="Times New Roman" w:hAnsi="Arial" w:cs="Arial"/>
          <w:color w:val="2E2B29"/>
          <w:kern w:val="0"/>
          <w:sz w:val="27"/>
          <w:szCs w:val="27"/>
          <w:shd w:val="clear" w:color="auto" w:fill="FCFAF8"/>
          <w14:ligatures w14:val="none"/>
        </w:rPr>
        <w:t xml:space="preserve">  </w:t>
      </w:r>
    </w:p>
    <w:p w14:paraId="7AB522F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**platform-specific implementation**</w:t>
      </w:r>
    </w:p>
    <w:p w14:paraId="120B4C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8769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is the key to its universal applicability.</w:t>
      </w:r>
    </w:p>
    <w:p w14:paraId="23E233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7E96A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8.1 Example Enforcement Mapping</w:t>
      </w:r>
    </w:p>
    <w:p w14:paraId="10A4D19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E090FE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 | Enforcement Target |</w:t>
      </w:r>
    </w:p>
    <w:p w14:paraId="5CB300E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5A3699C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**Windows** | VBS + secure UI overlay + </w:t>
      </w:r>
      <w:proofErr w:type="spellStart"/>
      <w:r w:rsidRPr="00E531B1">
        <w:rPr>
          <w:rFonts w:ascii="Arial" w:eastAsia="Times New Roman" w:hAnsi="Arial" w:cs="Arial"/>
          <w:color w:val="2E2B29"/>
          <w:kern w:val="0"/>
          <w:sz w:val="27"/>
          <w:szCs w:val="27"/>
          <w:shd w:val="clear" w:color="auto" w:fill="FCFAF8"/>
          <w14:ligatures w14:val="none"/>
        </w:rPr>
        <w:t>syscall</w:t>
      </w:r>
      <w:proofErr w:type="spellEnd"/>
      <w:r w:rsidRPr="00E531B1">
        <w:rPr>
          <w:rFonts w:ascii="Arial" w:eastAsia="Times New Roman" w:hAnsi="Arial" w:cs="Arial"/>
          <w:color w:val="2E2B29"/>
          <w:kern w:val="0"/>
          <w:sz w:val="27"/>
          <w:szCs w:val="27"/>
          <w:shd w:val="clear" w:color="auto" w:fill="FCFAF8"/>
          <w14:ligatures w14:val="none"/>
        </w:rPr>
        <w:t xml:space="preserve"> interception |</w:t>
      </w:r>
    </w:p>
    <w:p w14:paraId="7BB624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**Linux** | LSM hooks + seccomp/</w:t>
      </w:r>
      <w:proofErr w:type="spellStart"/>
      <w:r w:rsidRPr="00E531B1">
        <w:rPr>
          <w:rFonts w:ascii="Arial" w:eastAsia="Times New Roman" w:hAnsi="Arial" w:cs="Arial"/>
          <w:color w:val="2E2B29"/>
          <w:kern w:val="0"/>
          <w:sz w:val="27"/>
          <w:szCs w:val="27"/>
          <w:shd w:val="clear" w:color="auto" w:fill="FCFAF8"/>
          <w14:ligatures w14:val="none"/>
        </w:rPr>
        <w:t>eBPF</w:t>
      </w:r>
      <w:proofErr w:type="spellEnd"/>
      <w:r w:rsidRPr="00E531B1">
        <w:rPr>
          <w:rFonts w:ascii="Arial" w:eastAsia="Times New Roman" w:hAnsi="Arial" w:cs="Arial"/>
          <w:color w:val="2E2B29"/>
          <w:kern w:val="0"/>
          <w:sz w:val="27"/>
          <w:szCs w:val="27"/>
          <w:shd w:val="clear" w:color="auto" w:fill="FCFAF8"/>
          <w14:ligatures w14:val="none"/>
        </w:rPr>
        <w:t xml:space="preserve"> mediation |</w:t>
      </w:r>
    </w:p>
    <w:p w14:paraId="15A098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 Binder mediation + privileged service bridge |</w:t>
      </w:r>
    </w:p>
    <w:p w14:paraId="4D095E8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**Embedded** | Trusted Execution Environment or supervisor layer |</w:t>
      </w:r>
    </w:p>
    <w:p w14:paraId="7B7BF3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**Cloud** | Policy-verified token gateways and workload brokers |</w:t>
      </w:r>
    </w:p>
    <w:p w14:paraId="5D385D0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55709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In this model, applications do not need to be rewritten to match every OS permission system. Instead, local adapters interpret shared capability semantics.</w:t>
      </w:r>
    </w:p>
    <w:p w14:paraId="26CD40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B35FA7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50D5AE9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097EC7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 Defined Methodology</w:t>
      </w:r>
    </w:p>
    <w:p w14:paraId="4F5847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ADC7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adopts a **design science and empirical systems evaluation methodology**. It combines:</w:t>
      </w:r>
    </w:p>
    <w:p w14:paraId="0DC6C0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E2867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1. conceptual systems architecture design,</w:t>
      </w:r>
    </w:p>
    <w:p w14:paraId="394DD12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2. prototype implementation,</w:t>
      </w:r>
    </w:p>
    <w:p w14:paraId="795CE4E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3. cross-platform experimental testing,</w:t>
      </w:r>
    </w:p>
    <w:p w14:paraId="7BC5A2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4. comparative framework analysis,</w:t>
      </w:r>
    </w:p>
    <w:p w14:paraId="67FD67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5. migration case-study evaluation.</w:t>
      </w:r>
    </w:p>
    <w:p w14:paraId="7F6C6EC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E2E06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9.1 Methodological Rationale</w:t>
      </w:r>
    </w:p>
    <w:p w14:paraId="03C778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Because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is both a conceptual framework and a practical runtime model, the thesis must assess both:</w:t>
      </w:r>
    </w:p>
    <w:p w14:paraId="166E6E8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architectural coherence,</w:t>
      </w:r>
    </w:p>
    <w:p w14:paraId="259302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empirical feasibility.</w:t>
      </w:r>
    </w:p>
    <w:p w14:paraId="13D0806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0DA34A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9.2 Research Method Type</w:t>
      </w:r>
    </w:p>
    <w:p w14:paraId="0E239B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is a form of:</w:t>
      </w:r>
    </w:p>
    <w:p w14:paraId="07020E8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**design science research**, because it creates and evaluates an </w:t>
      </w:r>
      <w:proofErr w:type="gramStart"/>
      <w:r w:rsidRPr="00E531B1">
        <w:rPr>
          <w:rFonts w:ascii="Arial" w:eastAsia="Times New Roman" w:hAnsi="Arial" w:cs="Arial"/>
          <w:color w:val="2E2B29"/>
          <w:kern w:val="0"/>
          <w:sz w:val="27"/>
          <w:szCs w:val="27"/>
          <w:shd w:val="clear" w:color="auto" w:fill="FCFAF8"/>
          <w14:ligatures w14:val="none"/>
        </w:rPr>
        <w:t>artifact;</w:t>
      </w:r>
      <w:proofErr w:type="gramEnd"/>
    </w:p>
    <w:p w14:paraId="74F377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**experimental software engineering**, because it measures implementation </w:t>
      </w:r>
      <w:proofErr w:type="gramStart"/>
      <w:r w:rsidRPr="00E531B1">
        <w:rPr>
          <w:rFonts w:ascii="Arial" w:eastAsia="Times New Roman" w:hAnsi="Arial" w:cs="Arial"/>
          <w:color w:val="2E2B29"/>
          <w:kern w:val="0"/>
          <w:sz w:val="27"/>
          <w:szCs w:val="27"/>
          <w:shd w:val="clear" w:color="auto" w:fill="FCFAF8"/>
          <w14:ligatures w14:val="none"/>
        </w:rPr>
        <w:t>outcomes;</w:t>
      </w:r>
      <w:proofErr w:type="gramEnd"/>
    </w:p>
    <w:p w14:paraId="3B47E6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**systems research**, because it concerns runtime execution and OS mediation.</w:t>
      </w:r>
    </w:p>
    <w:p w14:paraId="50707B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643DD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49193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FCCFDD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10. Experimental Methodology</w:t>
      </w:r>
    </w:p>
    <w:p w14:paraId="4632E72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9DB09B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 evaluate feasibility, the thesis proposes three experimental prototype tracks.</w:t>
      </w:r>
    </w:p>
    <w:p w14:paraId="53110B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FFC7CC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44C72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3DEFFB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1 — Desktop File Access Broker</w:t>
      </w:r>
    </w:p>
    <w:p w14:paraId="3D0601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A651D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042BCBF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Demonstrate scoped capability issuance for file system operations across desktop platforms.</w:t>
      </w:r>
    </w:p>
    <w:p w14:paraId="1F3DAF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7C24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Target platforms</w:t>
      </w:r>
    </w:p>
    <w:p w14:paraId="6190129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Windows</w:t>
      </w:r>
    </w:p>
    <w:p w14:paraId="6F2531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Linux</w:t>
      </w:r>
    </w:p>
    <w:p w14:paraId="00FBDE0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80823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321128A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issuance latency</w:t>
      </w:r>
    </w:p>
    <w:p w14:paraId="5750EF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overhead</w:t>
      </w:r>
    </w:p>
    <w:p w14:paraId="5706858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unauthorized access prevention rate</w:t>
      </w:r>
    </w:p>
    <w:p w14:paraId="303C634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 of enforcement logic</w:t>
      </w:r>
    </w:p>
    <w:p w14:paraId="17BA7F1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code volume</w:t>
      </w:r>
    </w:p>
    <w:p w14:paraId="68A9F0A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A819D4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397B23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1951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2 — Network Capability Enforcement Gateway</w:t>
      </w:r>
    </w:p>
    <w:p w14:paraId="1A49464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1A315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6FE2BF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Test destination-scoped capability tokens for outbound communication.</w:t>
      </w:r>
    </w:p>
    <w:p w14:paraId="68CFD76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86C26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34DD20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TLS integration compatibility</w:t>
      </w:r>
    </w:p>
    <w:p w14:paraId="22478A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replay resistance</w:t>
      </w:r>
    </w:p>
    <w:p w14:paraId="2DA70AE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bandwidth constraint enforcement</w:t>
      </w:r>
    </w:p>
    <w:p w14:paraId="7C5A898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connection setup overhead</w:t>
      </w:r>
    </w:p>
    <w:p w14:paraId="385BB83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behavior</w:t>
      </w:r>
      <w:proofErr w:type="gramEnd"/>
      <w:r w:rsidRPr="00E531B1">
        <w:rPr>
          <w:rFonts w:ascii="Arial" w:eastAsia="Times New Roman" w:hAnsi="Arial" w:cs="Arial"/>
          <w:color w:val="2E2B29"/>
          <w:kern w:val="0"/>
          <w:sz w:val="27"/>
          <w:szCs w:val="27"/>
          <w:shd w:val="clear" w:color="auto" w:fill="FCFAF8"/>
          <w14:ligatures w14:val="none"/>
        </w:rPr>
        <w:t xml:space="preserve"> consistency across environments</w:t>
      </w:r>
    </w:p>
    <w:p w14:paraId="31B6253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BE7AA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D746A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22D6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Prototype 3 — Mobile Camera Access Intent Validation Model</w:t>
      </w:r>
    </w:p>
    <w:p w14:paraId="6188C16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6F7F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Purpose</w:t>
      </w:r>
    </w:p>
    <w:p w14:paraId="0E77721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Test hardware-verified or secure-UI-verified intent for camera access.</w:t>
      </w:r>
    </w:p>
    <w:p w14:paraId="1761279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378A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Target platform</w:t>
      </w:r>
    </w:p>
    <w:p w14:paraId="3EBC58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or mobile simulator environment</w:t>
      </w:r>
    </w:p>
    <w:p w14:paraId="5AA3DD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7008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Evaluation metrics</w:t>
      </w:r>
    </w:p>
    <w:p w14:paraId="740EC6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spoof resistance</w:t>
      </w:r>
    </w:p>
    <w:p w14:paraId="75EB1CD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UI redressing mitigation</w:t>
      </w:r>
    </w:p>
    <w:p w14:paraId="57BD8E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issuance latency</w:t>
      </w:r>
    </w:p>
    <w:p w14:paraId="1E096DC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user interaction overhead</w:t>
      </w:r>
    </w:p>
    <w:p w14:paraId="6AC62A0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F478FE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w:t>
      </w:r>
    </w:p>
    <w:p w14:paraId="076996A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8C420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11. Performance Evaluation Plan</w:t>
      </w:r>
    </w:p>
    <w:p w14:paraId="1722F7A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82AC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performance impact of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will be evaluated across the following dimensions:</w:t>
      </w:r>
    </w:p>
    <w:p w14:paraId="373137A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6319C1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Metric | Description |</w:t>
      </w:r>
    </w:p>
    <w:p w14:paraId="683D4F8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1320EAF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mint latency** | Time required to generate scoped capability |</w:t>
      </w:r>
    </w:p>
    <w:p w14:paraId="70E23E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**Enforcement overhead** | Cost of validating token before resource access |</w:t>
      </w:r>
    </w:p>
    <w:p w14:paraId="327AEC2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**Migration complexity** | Engineering effort to move legacy behavior into runtime mediation |</w:t>
      </w:r>
    </w:p>
    <w:p w14:paraId="30C251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**Cross-platform parity** | Degree of behavioral consistency across target platforms |</w:t>
      </w:r>
    </w:p>
    <w:p w14:paraId="29D004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**Shared-code ratio** | Percentage of common logic reused across targets |</w:t>
      </w:r>
    </w:p>
    <w:p w14:paraId="2C53B35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**Platform-specific code reduction** | Reduction in target-specific implementation effort |</w:t>
      </w:r>
    </w:p>
    <w:p w14:paraId="2213C5C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B98485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Comparative baselines</w:t>
      </w:r>
    </w:p>
    <w:p w14:paraId="4C1B85D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The study may compare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against:</w:t>
      </w:r>
    </w:p>
    <w:p w14:paraId="56EAACA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Electron</w:t>
      </w:r>
    </w:p>
    <w:p w14:paraId="03EF30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Flutter</w:t>
      </w:r>
    </w:p>
    <w:p w14:paraId="0A1DEB4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native permission systems</w:t>
      </w:r>
    </w:p>
    <w:p w14:paraId="38D881D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Android Binder permission enforcement</w:t>
      </w:r>
    </w:p>
    <w:p w14:paraId="64FA475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conventional platform-specific implementations</w:t>
      </w:r>
    </w:p>
    <w:p w14:paraId="709072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097E9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0EF3A5A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2757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 Security Contribution Claim</w:t>
      </w:r>
    </w:p>
    <w:p w14:paraId="645992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B526E3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thesis makes a clear technical contribution by shifting execution control from:</w:t>
      </w:r>
    </w:p>
    <w:p w14:paraId="045BAE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C328E5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**application-declared permissions**</w:t>
      </w:r>
    </w:p>
    <w:p w14:paraId="4A8B34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78B2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to</w:t>
      </w:r>
    </w:p>
    <w:p w14:paraId="066197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8FB014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**user-verified and context-scoped capability authorization**</w:t>
      </w:r>
    </w:p>
    <w:p w14:paraId="006D8C2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A5F8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12.1 Security Advantages Expected</w:t>
      </w:r>
    </w:p>
    <w:p w14:paraId="4B2DB7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3D44C9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Threat | Mitigation |</w:t>
      </w:r>
    </w:p>
    <w:p w14:paraId="728C0A4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E531B1">
        <w:rPr>
          <w:rFonts w:ascii="Arial" w:eastAsia="Times New Roman" w:hAnsi="Arial" w:cs="Arial"/>
          <w:color w:val="2E2B29"/>
          <w:kern w:val="0"/>
          <w:sz w:val="27"/>
          <w:szCs w:val="27"/>
          <w:shd w:val="clear" w:color="auto" w:fill="FCFAF8"/>
          <w14:ligatures w14:val="none"/>
        </w:rPr>
        <w:t>|---|---|</w:t>
      </w:r>
      <w:proofErr w:type="gramEnd"/>
    </w:p>
    <w:p w14:paraId="017377E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API misuse | Intent validation and scoped issuance |</w:t>
      </w:r>
    </w:p>
    <w:p w14:paraId="45CB834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Token replay | Context hash binding and expiry |</w:t>
      </w:r>
    </w:p>
    <w:p w14:paraId="2B77202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OS compromise exposure | Enclave or trusted boundary isolation (where available) |</w:t>
      </w:r>
    </w:p>
    <w:p w14:paraId="1418ED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UI spoofing | Secure input / secure compositor path |</w:t>
      </w:r>
    </w:p>
    <w:p w14:paraId="1B6E750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Overbroad permissions | Narrow action-specific token scope |</w:t>
      </w:r>
    </w:p>
    <w:p w14:paraId="778D366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F6D26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12.2 Security Model Contribution</w:t>
      </w:r>
    </w:p>
    <w:p w14:paraId="197BF2C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This thesis </w:t>
      </w:r>
      <w:proofErr w:type="gramStart"/>
      <w:r w:rsidRPr="00E531B1">
        <w:rPr>
          <w:rFonts w:ascii="Arial" w:eastAsia="Times New Roman" w:hAnsi="Arial" w:cs="Arial"/>
          <w:color w:val="2E2B29"/>
          <w:kern w:val="0"/>
          <w:sz w:val="27"/>
          <w:szCs w:val="27"/>
          <w:shd w:val="clear" w:color="auto" w:fill="FCFAF8"/>
          <w14:ligatures w14:val="none"/>
        </w:rPr>
        <w:t>contributes</w:t>
      </w:r>
      <w:proofErr w:type="gramEnd"/>
      <w:r w:rsidRPr="00E531B1">
        <w:rPr>
          <w:rFonts w:ascii="Arial" w:eastAsia="Times New Roman" w:hAnsi="Arial" w:cs="Arial"/>
          <w:color w:val="2E2B29"/>
          <w:kern w:val="0"/>
          <w:sz w:val="27"/>
          <w:szCs w:val="27"/>
          <w:shd w:val="clear" w:color="auto" w:fill="FCFAF8"/>
          <w14:ligatures w14:val="none"/>
        </w:rPr>
        <w:t xml:space="preserve"> a hybrid model that combines:</w:t>
      </w:r>
    </w:p>
    <w:p w14:paraId="431E50B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capability-based security</w:t>
      </w:r>
    </w:p>
    <w:p w14:paraId="7D0AE6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intent-aware authorization</w:t>
      </w:r>
    </w:p>
    <w:p w14:paraId="26267B5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portability-oriented execution abstraction</w:t>
      </w:r>
    </w:p>
    <w:p w14:paraId="2D55D33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optional enclave-anchored trust boundaries</w:t>
      </w:r>
    </w:p>
    <w:p w14:paraId="50953B2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80A196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That is a novel contribution relative to conventional cross-platform frameworks.</w:t>
      </w:r>
    </w:p>
    <w:p w14:paraId="067DA2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CAC61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2A1E474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6A26B3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13. Technical Contribution Claim</w:t>
      </w:r>
    </w:p>
    <w:p w14:paraId="7FF78AF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69C420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thesis claims the following technical contributions to software engineering research:</w:t>
      </w:r>
    </w:p>
    <w:p w14:paraId="439F29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BFB29C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1  </w:t>
      </w:r>
    </w:p>
    <w:p w14:paraId="7D7F1C0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formal definition of **intent-driven capability mediation** as a cross-platform execution model.</w:t>
      </w:r>
    </w:p>
    <w:p w14:paraId="1063E74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3AB7BD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2  </w:t>
      </w:r>
    </w:p>
    <w:p w14:paraId="44BB793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portable **capability token architecture** that can serve as a shared enforcement primitive across heterogeneous operating systems.</w:t>
      </w:r>
    </w:p>
    <w:p w14:paraId="6725379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9D1D60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3  </w:t>
      </w:r>
    </w:p>
    <w:p w14:paraId="220C72E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**migration compatibility framework** for adapting legacy software into intent-aware runtime mediation.</w:t>
      </w:r>
    </w:p>
    <w:p w14:paraId="52A1EAA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8B2F7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4  </w:t>
      </w:r>
    </w:p>
    <w:p w14:paraId="74E03BA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A prototype **cross-platform broker implementation** demonstrating practical feasibility.</w:t>
      </w:r>
    </w:p>
    <w:p w14:paraId="595EB12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0BF9D8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Contribution 5  </w:t>
      </w:r>
    </w:p>
    <w:p w14:paraId="720C2FB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new **security-aware portability model** that integrates verified user intent into software execution semantics.</w:t>
      </w:r>
    </w:p>
    <w:p w14:paraId="5890801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A8EB3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These claims are important because they define what the thesis contributes beyond implementation alone.</w:t>
      </w:r>
    </w:p>
    <w:p w14:paraId="0F9356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256F1C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C8626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17EDF3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14. Expected Academic Contribution</w:t>
      </w:r>
    </w:p>
    <w:p w14:paraId="3B4683D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B3DC6A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research is expected to contribute to:</w:t>
      </w:r>
    </w:p>
    <w:p w14:paraId="2BFA90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software architecture</w:t>
      </w:r>
    </w:p>
    <w:p w14:paraId="46850DF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cross-platform engineering</w:t>
      </w:r>
    </w:p>
    <w:p w14:paraId="79762D7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systems security</w:t>
      </w:r>
      <w:proofErr w:type="gramEnd"/>
    </w:p>
    <w:p w14:paraId="45BB6C4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w:t>
      </w:r>
      <w:proofErr w:type="gramStart"/>
      <w:r w:rsidRPr="00E531B1">
        <w:rPr>
          <w:rFonts w:ascii="Arial" w:eastAsia="Times New Roman" w:hAnsi="Arial" w:cs="Arial"/>
          <w:color w:val="2E2B29"/>
          <w:kern w:val="0"/>
          <w:sz w:val="27"/>
          <w:szCs w:val="27"/>
          <w:shd w:val="clear" w:color="auto" w:fill="FCFAF8"/>
          <w14:ligatures w14:val="none"/>
        </w:rPr>
        <w:t>runtime</w:t>
      </w:r>
      <w:proofErr w:type="gramEnd"/>
      <w:r w:rsidRPr="00E531B1">
        <w:rPr>
          <w:rFonts w:ascii="Arial" w:eastAsia="Times New Roman" w:hAnsi="Arial" w:cs="Arial"/>
          <w:color w:val="2E2B29"/>
          <w:kern w:val="0"/>
          <w:sz w:val="27"/>
          <w:szCs w:val="27"/>
          <w:shd w:val="clear" w:color="auto" w:fill="FCFAF8"/>
          <w14:ligatures w14:val="none"/>
        </w:rPr>
        <w:t xml:space="preserve"> portability research</w:t>
      </w:r>
    </w:p>
    <w:p w14:paraId="42349F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software migration methodology</w:t>
      </w:r>
    </w:p>
    <w:p w14:paraId="77D034D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87530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It is particularly relevant to the intersection of:</w:t>
      </w:r>
    </w:p>
    <w:p w14:paraId="2789EFD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platform abstraction,</w:t>
      </w:r>
    </w:p>
    <w:p w14:paraId="71C1F37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execution control,</w:t>
      </w:r>
    </w:p>
    <w:p w14:paraId="38A56A6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portability,</w:t>
      </w:r>
    </w:p>
    <w:p w14:paraId="3CEFD35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and secure software modernization.</w:t>
      </w:r>
    </w:p>
    <w:p w14:paraId="578BE6A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D1D89E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613F99C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FBA9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15. Long-Term Vision</w:t>
      </w:r>
    </w:p>
    <w:p w14:paraId="549FD30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26E926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represents a shift toward:</w:t>
      </w:r>
    </w:p>
    <w:p w14:paraId="36F22B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37C3B1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**intent-centric operating and execution environments**</w:t>
      </w:r>
    </w:p>
    <w:p w14:paraId="4FF4073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FC6DB9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rather than:</w:t>
      </w:r>
    </w:p>
    <w:p w14:paraId="6AE24827"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5F6F16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**application-centric authority models**</w:t>
      </w:r>
    </w:p>
    <w:p w14:paraId="6D97281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AEB2033"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 xml:space="preserve">In the long term, this thesis positions </w:t>
      </w:r>
      <w:proofErr w:type="spellStart"/>
      <w:r w:rsidRPr="00E531B1">
        <w:rPr>
          <w:rFonts w:ascii="Arial" w:eastAsia="Times New Roman" w:hAnsi="Arial" w:cs="Arial"/>
          <w:color w:val="2E2B29"/>
          <w:kern w:val="0"/>
          <w:sz w:val="27"/>
          <w:szCs w:val="27"/>
          <w:shd w:val="clear" w:color="auto" w:fill="FCFAF8"/>
          <w14:ligatures w14:val="none"/>
        </w:rPr>
        <w:t>IntentKernel</w:t>
      </w:r>
      <w:proofErr w:type="spellEnd"/>
      <w:r w:rsidRPr="00E531B1">
        <w:rPr>
          <w:rFonts w:ascii="Arial" w:eastAsia="Times New Roman" w:hAnsi="Arial" w:cs="Arial"/>
          <w:color w:val="2E2B29"/>
          <w:kern w:val="0"/>
          <w:sz w:val="27"/>
          <w:szCs w:val="27"/>
          <w:shd w:val="clear" w:color="auto" w:fill="FCFAF8"/>
          <w14:ligatures w14:val="none"/>
        </w:rPr>
        <w:t xml:space="preserve"> not merely as another cross-platform framework, but as a foundation for universal execution semantics spanning desktop, mobile, cloud, embedded, and edge systems.</w:t>
      </w:r>
    </w:p>
    <w:p w14:paraId="093F36F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592BA366"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provides a strong closing direction for the thesis, connecting present experiments to a broader systems vision.</w:t>
      </w:r>
    </w:p>
    <w:p w14:paraId="7A2876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7D6305F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5AE7DC7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C01D36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16. Suggested Chapter Placement</w:t>
      </w:r>
    </w:p>
    <w:p w14:paraId="3D1871F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DD8A5C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This expanded section could appear in the thesis as:</w:t>
      </w:r>
    </w:p>
    <w:p w14:paraId="2B5CEB6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26C0CBE1"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1:*</w:t>
      </w:r>
      <w:proofErr w:type="gramEnd"/>
      <w:r w:rsidRPr="00E531B1">
        <w:rPr>
          <w:rFonts w:ascii="Arial" w:eastAsia="Times New Roman" w:hAnsi="Arial" w:cs="Arial"/>
          <w:color w:val="2E2B29"/>
          <w:kern w:val="0"/>
          <w:sz w:val="27"/>
          <w:szCs w:val="27"/>
          <w:shd w:val="clear" w:color="auto" w:fill="FCFAF8"/>
          <w14:ligatures w14:val="none"/>
        </w:rPr>
        <w:t>* Problem Statement and Research Questions</w:t>
      </w:r>
    </w:p>
    <w:p w14:paraId="4D5A465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3:*</w:t>
      </w:r>
      <w:proofErr w:type="gramEnd"/>
      <w:r w:rsidRPr="00E531B1">
        <w:rPr>
          <w:rFonts w:ascii="Arial" w:eastAsia="Times New Roman" w:hAnsi="Arial" w:cs="Arial"/>
          <w:color w:val="2E2B29"/>
          <w:kern w:val="0"/>
          <w:sz w:val="27"/>
          <w:szCs w:val="27"/>
          <w:shd w:val="clear" w:color="auto" w:fill="FCFAF8"/>
          <w14:ligatures w14:val="none"/>
        </w:rPr>
        <w:t>* Conceptual Architecture</w:t>
      </w:r>
    </w:p>
    <w:p w14:paraId="1B48412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4:*</w:t>
      </w:r>
      <w:proofErr w:type="gramEnd"/>
      <w:r w:rsidRPr="00E531B1">
        <w:rPr>
          <w:rFonts w:ascii="Arial" w:eastAsia="Times New Roman" w:hAnsi="Arial" w:cs="Arial"/>
          <w:color w:val="2E2B29"/>
          <w:kern w:val="0"/>
          <w:sz w:val="27"/>
          <w:szCs w:val="27"/>
          <w:shd w:val="clear" w:color="auto" w:fill="FCFAF8"/>
          <w14:ligatures w14:val="none"/>
        </w:rPr>
        <w:t>* Methodology</w:t>
      </w:r>
    </w:p>
    <w:p w14:paraId="3DF86A0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**Chapter </w:t>
      </w:r>
      <w:proofErr w:type="gramStart"/>
      <w:r w:rsidRPr="00E531B1">
        <w:rPr>
          <w:rFonts w:ascii="Arial" w:eastAsia="Times New Roman" w:hAnsi="Arial" w:cs="Arial"/>
          <w:color w:val="2E2B29"/>
          <w:kern w:val="0"/>
          <w:sz w:val="27"/>
          <w:szCs w:val="27"/>
          <w:shd w:val="clear" w:color="auto" w:fill="FCFAF8"/>
          <w14:ligatures w14:val="none"/>
        </w:rPr>
        <w:t>5:*</w:t>
      </w:r>
      <w:proofErr w:type="gramEnd"/>
      <w:r w:rsidRPr="00E531B1">
        <w:rPr>
          <w:rFonts w:ascii="Arial" w:eastAsia="Times New Roman" w:hAnsi="Arial" w:cs="Arial"/>
          <w:color w:val="2E2B29"/>
          <w:kern w:val="0"/>
          <w:sz w:val="27"/>
          <w:szCs w:val="27"/>
          <w:shd w:val="clear" w:color="auto" w:fill="FCFAF8"/>
          <w14:ligatures w14:val="none"/>
        </w:rPr>
        <w:t>* Contribution Claim and Prototype Design</w:t>
      </w:r>
    </w:p>
    <w:p w14:paraId="7E0982B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DE861F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67036FF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9EC1148"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17. Final Academic Strength</w:t>
      </w:r>
    </w:p>
    <w:p w14:paraId="405FBED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429F79B"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With these additions, your proposal now contains the three elements that make it academically defensible:</w:t>
      </w:r>
    </w:p>
    <w:p w14:paraId="490CCE8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B5CB78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identifies a clear research gap  </w:t>
      </w:r>
    </w:p>
    <w:p w14:paraId="7EF8F09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No current framework provides intent-aware, capability-portable execution semantics across heterogeneous systems.</w:t>
      </w:r>
    </w:p>
    <w:p w14:paraId="2F3275B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3DDAFBC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proposes a method of investigation  </w:t>
      </w:r>
    </w:p>
    <w:p w14:paraId="14F98BF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Prototype design, cross-platform experiments, migration case studies, and performance/security evaluation.</w:t>
      </w:r>
    </w:p>
    <w:p w14:paraId="447A21B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C6C7E2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xml:space="preserve">### It states a concrete contribution  </w:t>
      </w:r>
    </w:p>
    <w:p w14:paraId="092FECF2"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A new execution substrate model for secure, portable cross-platform software behavior.</w:t>
      </w:r>
    </w:p>
    <w:p w14:paraId="0EA1A66E"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6A7A8B5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w:t>
      </w:r>
    </w:p>
    <w:p w14:paraId="7A41AB4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4455A97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If you want, I can now turn this into one of the following:</w:t>
      </w:r>
    </w:p>
    <w:p w14:paraId="25537494"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AC21A5"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lastRenderedPageBreak/>
        <w:t>1. **A full professor-style thesis proposal document**</w:t>
      </w:r>
    </w:p>
    <w:p w14:paraId="1F935C2F"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2. **Chapter 1 in full formal academic writing**</w:t>
      </w:r>
    </w:p>
    <w:p w14:paraId="7344351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3. **Chapter 4 methodology in full detail**</w:t>
      </w:r>
    </w:p>
    <w:p w14:paraId="1AB682A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4. **A defense-ready research synopsis**</w:t>
      </w:r>
    </w:p>
    <w:p w14:paraId="66BF613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5. **A university submission format with title page, abstract, aims, objectives, questions, methodology, references**</w:t>
      </w:r>
    </w:p>
    <w:p w14:paraId="570244D0"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0D16CFBC"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The best next step is:</w:t>
      </w:r>
    </w:p>
    <w:p w14:paraId="3F2C0F8D"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85D6D2A"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r w:rsidRPr="00E531B1">
        <w:rPr>
          <w:rFonts w:ascii="Arial" w:eastAsia="Times New Roman" w:hAnsi="Arial" w:cs="Arial"/>
          <w:color w:val="2E2B29"/>
          <w:kern w:val="0"/>
          <w:sz w:val="27"/>
          <w:szCs w:val="27"/>
          <w:shd w:val="clear" w:color="auto" w:fill="FCFAF8"/>
          <w14:ligatures w14:val="none"/>
        </w:rPr>
        <w:t>## **Chapter 1 in full formal academic style**</w:t>
      </w:r>
    </w:p>
    <w:p w14:paraId="5331AF09" w14:textId="77777777" w:rsidR="00E531B1" w:rsidRPr="00E531B1" w:rsidRDefault="00E531B1" w:rsidP="00E531B1">
      <w:pPr>
        <w:spacing w:after="0" w:line="240" w:lineRule="auto"/>
        <w:rPr>
          <w:rFonts w:ascii="Arial" w:eastAsia="Times New Roman" w:hAnsi="Arial" w:cs="Arial"/>
          <w:color w:val="2E2B29"/>
          <w:kern w:val="0"/>
          <w:sz w:val="27"/>
          <w:szCs w:val="27"/>
          <w:shd w:val="clear" w:color="auto" w:fill="FCFAF8"/>
          <w14:ligatures w14:val="none"/>
        </w:rPr>
      </w:pPr>
    </w:p>
    <w:p w14:paraId="176475C0" w14:textId="3414D0C0" w:rsidR="00AD0927" w:rsidRDefault="00E531B1" w:rsidP="00E531B1">
      <w:r w:rsidRPr="00E531B1">
        <w:rPr>
          <w:rFonts w:ascii="Arial" w:eastAsia="Times New Roman" w:hAnsi="Arial" w:cs="Arial"/>
          <w:color w:val="2E2B29"/>
          <w:kern w:val="0"/>
          <w:sz w:val="27"/>
          <w:szCs w:val="27"/>
          <w:shd w:val="clear" w:color="auto" w:fill="FCFAF8"/>
          <w14:ligatures w14:val="none"/>
        </w:rPr>
        <w:t>because that will let you submit the proposal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B1"/>
    <w:rsid w:val="000170E4"/>
    <w:rsid w:val="00397D11"/>
    <w:rsid w:val="00682C75"/>
    <w:rsid w:val="00AD0927"/>
    <w:rsid w:val="00E53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B6DD"/>
  <w15:chartTrackingRefBased/>
  <w15:docId w15:val="{B2260F61-6BE9-4C59-AB0B-F747D6AB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1B1"/>
    <w:rPr>
      <w:rFonts w:eastAsiaTheme="majorEastAsia" w:cstheme="majorBidi"/>
      <w:color w:val="272727" w:themeColor="text1" w:themeTint="D8"/>
    </w:rPr>
  </w:style>
  <w:style w:type="paragraph" w:styleId="Title">
    <w:name w:val="Title"/>
    <w:basedOn w:val="Normal"/>
    <w:next w:val="Normal"/>
    <w:link w:val="TitleChar"/>
    <w:uiPriority w:val="10"/>
    <w:qFormat/>
    <w:rsid w:val="00E5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1B1"/>
    <w:pPr>
      <w:spacing w:before="160"/>
      <w:jc w:val="center"/>
    </w:pPr>
    <w:rPr>
      <w:i/>
      <w:iCs/>
      <w:color w:val="404040" w:themeColor="text1" w:themeTint="BF"/>
    </w:rPr>
  </w:style>
  <w:style w:type="character" w:customStyle="1" w:styleId="QuoteChar">
    <w:name w:val="Quote Char"/>
    <w:basedOn w:val="DefaultParagraphFont"/>
    <w:link w:val="Quote"/>
    <w:uiPriority w:val="29"/>
    <w:rsid w:val="00E531B1"/>
    <w:rPr>
      <w:i/>
      <w:iCs/>
      <w:color w:val="404040" w:themeColor="text1" w:themeTint="BF"/>
    </w:rPr>
  </w:style>
  <w:style w:type="paragraph" w:styleId="ListParagraph">
    <w:name w:val="List Paragraph"/>
    <w:basedOn w:val="Normal"/>
    <w:uiPriority w:val="34"/>
    <w:qFormat/>
    <w:rsid w:val="00E531B1"/>
    <w:pPr>
      <w:ind w:left="720"/>
      <w:contextualSpacing/>
    </w:pPr>
  </w:style>
  <w:style w:type="character" w:styleId="IntenseEmphasis">
    <w:name w:val="Intense Emphasis"/>
    <w:basedOn w:val="DefaultParagraphFont"/>
    <w:uiPriority w:val="21"/>
    <w:qFormat/>
    <w:rsid w:val="00E531B1"/>
    <w:rPr>
      <w:i/>
      <w:iCs/>
      <w:color w:val="0F4761" w:themeColor="accent1" w:themeShade="BF"/>
    </w:rPr>
  </w:style>
  <w:style w:type="paragraph" w:styleId="IntenseQuote">
    <w:name w:val="Intense Quote"/>
    <w:basedOn w:val="Normal"/>
    <w:next w:val="Normal"/>
    <w:link w:val="IntenseQuoteChar"/>
    <w:uiPriority w:val="30"/>
    <w:qFormat/>
    <w:rsid w:val="00E5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1B1"/>
    <w:rPr>
      <w:i/>
      <w:iCs/>
      <w:color w:val="0F4761" w:themeColor="accent1" w:themeShade="BF"/>
    </w:rPr>
  </w:style>
  <w:style w:type="character" w:styleId="IntenseReference">
    <w:name w:val="Intense Reference"/>
    <w:basedOn w:val="DefaultParagraphFont"/>
    <w:uiPriority w:val="32"/>
    <w:qFormat/>
    <w:rsid w:val="00E53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2321</Words>
  <Characters>13236</Characters>
  <Application>Microsoft Office Word</Application>
  <DocSecurity>0</DocSecurity>
  <Lines>110</Lines>
  <Paragraphs>31</Paragraphs>
  <ScaleCrop>false</ScaleCrop>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2026-03-31T10:54:00Z</dcterms:created>
  <dcterms:modified xsi:type="dcterms:W3CDTF">2026-03-31T10:57:00Z</dcterms:modified>
</cp:coreProperties>
</file>