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73217" w14:textId="6E5C2182"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What you have now is much closer to what a faculty advisor or thesis committee would expect. It introduces the three missing academic layers:</w:t>
      </w:r>
    </w:p>
    <w:p w14:paraId="74E9943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3FE8D9F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a formal problem statement,</w:t>
      </w:r>
    </w:p>
    <w:p w14:paraId="62FF225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a defined methodology,</w:t>
      </w:r>
    </w:p>
    <w:p w14:paraId="70D61BC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and a technical contribution claim.</w:t>
      </w:r>
    </w:p>
    <w:p w14:paraId="60F3B06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7FC2370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Below is a **refined and expanded professor-ready thesis section** that incorporates your structure, tightens the language, and makes it read like a strong software engineering / systems architecture master’s thesis proposal.</w:t>
      </w:r>
    </w:p>
    <w:p w14:paraId="58C6E84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1CAD87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3DDF4F2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3AEC8A06"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Exploring Cross-Platform Development with </w:t>
      </w: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r w:rsidRPr="00E531B1">
        <w:rPr>
          <w:rFonts w:ascii="Arial" w:eastAsia="Times New Roman" w:hAnsi="Arial" w:cs="Arial"/>
          <w:color w:val="2E2B29"/>
          <w:kern w:val="0"/>
          <w:sz w:val="27"/>
          <w:szCs w:val="27"/>
          <w:shd w:val="clear" w:color="auto" w:fill="FCFAF8"/>
          <w14:ligatures w14:val="none"/>
        </w:rPr>
        <w:t xml:space="preserve">  </w:t>
      </w:r>
    </w:p>
    <w:p w14:paraId="1F77CF8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Toward a Unified Intent-Driven Software Execution Model</w:t>
      </w:r>
    </w:p>
    <w:p w14:paraId="5260AB6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19D88C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73962B9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3140BA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1. Formal Research Problem Statement</w:t>
      </w:r>
    </w:p>
    <w:p w14:paraId="130F51B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DBFC49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Cross-platform software development remains one of the most persistent challenges in modern software engineering. Although existing frameworks such as Electron, Flutter, React Native, Qt, Xamarin, and .NET MAUI seek to reduce platform fragmentation, they remain limited by compatibility abstractions that operate above the operating system enforcement boundary. As a result, these frameworks often introduce runtime overhead, inconsistent platform behavior, expanded attack surfaces, duplicated integration effort, and reduced control over security semantics.</w:t>
      </w:r>
    </w:p>
    <w:p w14:paraId="50E56AC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C3F698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At present, most cross-platform frameworks are designed around the translation of user interface components, language runtimes, or packaging models. They do not address a deeper systems problem: the absence of a shared execution authority model that can be interpreted consistently across heterogeneous operating systems.</w:t>
      </w:r>
    </w:p>
    <w:p w14:paraId="77BF5FB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3C6DD6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The central problem addressed by this thesis is therefore:</w:t>
      </w:r>
    </w:p>
    <w:p w14:paraId="7F2757D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3625E4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E531B1">
        <w:rPr>
          <w:rFonts w:ascii="Arial" w:eastAsia="Times New Roman" w:hAnsi="Arial" w:cs="Arial"/>
          <w:color w:val="2E2B29"/>
          <w:kern w:val="0"/>
          <w:sz w:val="27"/>
          <w:szCs w:val="27"/>
          <w:shd w:val="clear" w:color="auto" w:fill="FCFAF8"/>
          <w14:ligatures w14:val="none"/>
        </w:rPr>
        <w:t>&gt; **</w:t>
      </w:r>
      <w:proofErr w:type="gramEnd"/>
      <w:r w:rsidRPr="00E531B1">
        <w:rPr>
          <w:rFonts w:ascii="Arial" w:eastAsia="Times New Roman" w:hAnsi="Arial" w:cs="Arial"/>
          <w:color w:val="2E2B29"/>
          <w:kern w:val="0"/>
          <w:sz w:val="27"/>
          <w:szCs w:val="27"/>
          <w:shd w:val="clear" w:color="auto" w:fill="FCFAF8"/>
          <w14:ligatures w14:val="none"/>
        </w:rPr>
        <w:t xml:space="preserve">There is currently no intent-aware execution substrate capable of translating verified user intent into secure, portable capability enforcement across heterogeneous operating </w:t>
      </w:r>
      <w:proofErr w:type="gramStart"/>
      <w:r w:rsidRPr="00E531B1">
        <w:rPr>
          <w:rFonts w:ascii="Arial" w:eastAsia="Times New Roman" w:hAnsi="Arial" w:cs="Arial"/>
          <w:color w:val="2E2B29"/>
          <w:kern w:val="0"/>
          <w:sz w:val="27"/>
          <w:szCs w:val="27"/>
          <w:shd w:val="clear" w:color="auto" w:fill="FCFAF8"/>
          <w14:ligatures w14:val="none"/>
        </w:rPr>
        <w:t>systems.*</w:t>
      </w:r>
      <w:proofErr w:type="gramEnd"/>
      <w:r w:rsidRPr="00E531B1">
        <w:rPr>
          <w:rFonts w:ascii="Arial" w:eastAsia="Times New Roman" w:hAnsi="Arial" w:cs="Arial"/>
          <w:color w:val="2E2B29"/>
          <w:kern w:val="0"/>
          <w:sz w:val="27"/>
          <w:szCs w:val="27"/>
          <w:shd w:val="clear" w:color="auto" w:fill="FCFAF8"/>
          <w14:ligatures w14:val="none"/>
        </w:rPr>
        <w:t>*</w:t>
      </w:r>
    </w:p>
    <w:p w14:paraId="0FC87FA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19D4D3D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lastRenderedPageBreak/>
        <w:t>This problem is significant because modern software must increasingly operate across desktops, mobile platforms, cloud services, embedded systems, and edge devices, while also meeting growing expectations around security, portability, maintainability, and migration support. Existing frameworks provide partial portability, but they do not offer a unified model in which application actions can be governed according to verified intent rather than platform-specific permission systems.</w:t>
      </w:r>
    </w:p>
    <w:p w14:paraId="14CF100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6A7D116"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r w:rsidRPr="00E531B1">
        <w:rPr>
          <w:rFonts w:ascii="Arial" w:eastAsia="Times New Roman" w:hAnsi="Arial" w:cs="Arial"/>
          <w:color w:val="2E2B29"/>
          <w:kern w:val="0"/>
          <w:sz w:val="27"/>
          <w:szCs w:val="27"/>
          <w:shd w:val="clear" w:color="auto" w:fill="FCFAF8"/>
          <w14:ligatures w14:val="none"/>
        </w:rPr>
        <w:t xml:space="preserve"> is proposed as a new architectural layer positioned between applications and platform-specific enforcement engines. Rather than treating platform APIs as the fundamental source of authority, </w:t>
      </w: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r w:rsidRPr="00E531B1">
        <w:rPr>
          <w:rFonts w:ascii="Arial" w:eastAsia="Times New Roman" w:hAnsi="Arial" w:cs="Arial"/>
          <w:color w:val="2E2B29"/>
          <w:kern w:val="0"/>
          <w:sz w:val="27"/>
          <w:szCs w:val="27"/>
          <w:shd w:val="clear" w:color="auto" w:fill="FCFAF8"/>
          <w14:ligatures w14:val="none"/>
        </w:rPr>
        <w:t xml:space="preserve"> treats **semantic intent** as the primary execution primitive. This thesis investigates whether such a model can provide a viable foundation for cross-platform execution portability and simplified software transition.</w:t>
      </w:r>
    </w:p>
    <w:p w14:paraId="4F0D175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444BF4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1C6B688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5F96CDE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2. Research Aim</w:t>
      </w:r>
    </w:p>
    <w:p w14:paraId="3766DBB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0087E96"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The aim of this thesis is to design, prototype, and evaluate </w:t>
      </w: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r w:rsidRPr="00E531B1">
        <w:rPr>
          <w:rFonts w:ascii="Arial" w:eastAsia="Times New Roman" w:hAnsi="Arial" w:cs="Arial"/>
          <w:color w:val="2E2B29"/>
          <w:kern w:val="0"/>
          <w:sz w:val="27"/>
          <w:szCs w:val="27"/>
          <w:shd w:val="clear" w:color="auto" w:fill="FCFAF8"/>
          <w14:ligatures w14:val="none"/>
        </w:rPr>
        <w:t xml:space="preserve"> as a unified, intent-driven execution substrate capable of improving cross-platform portability, reducing platform-specific permission complexity, and supporting the migration of legacy software systems into more portable execution environments.</w:t>
      </w:r>
    </w:p>
    <w:p w14:paraId="60ECF85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7DFEFB4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39FA3DE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502513B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3. Research Questions</w:t>
      </w:r>
    </w:p>
    <w:p w14:paraId="3973378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142688F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This thesis addresses the following primary research questions:</w:t>
      </w:r>
    </w:p>
    <w:p w14:paraId="256151C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18B4EA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RQ1  </w:t>
      </w:r>
    </w:p>
    <w:p w14:paraId="785462A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**Can an intent-driven execution broker reduce platform-specific permission logic without weakening security </w:t>
      </w:r>
      <w:proofErr w:type="gramStart"/>
      <w:r w:rsidRPr="00E531B1">
        <w:rPr>
          <w:rFonts w:ascii="Arial" w:eastAsia="Times New Roman" w:hAnsi="Arial" w:cs="Arial"/>
          <w:color w:val="2E2B29"/>
          <w:kern w:val="0"/>
          <w:sz w:val="27"/>
          <w:szCs w:val="27"/>
          <w:shd w:val="clear" w:color="auto" w:fill="FCFAF8"/>
          <w14:ligatures w14:val="none"/>
        </w:rPr>
        <w:t>guarantees?*</w:t>
      </w:r>
      <w:proofErr w:type="gramEnd"/>
      <w:r w:rsidRPr="00E531B1">
        <w:rPr>
          <w:rFonts w:ascii="Arial" w:eastAsia="Times New Roman" w:hAnsi="Arial" w:cs="Arial"/>
          <w:color w:val="2E2B29"/>
          <w:kern w:val="0"/>
          <w:sz w:val="27"/>
          <w:szCs w:val="27"/>
          <w:shd w:val="clear" w:color="auto" w:fill="FCFAF8"/>
          <w14:ligatures w14:val="none"/>
        </w:rPr>
        <w:t>*</w:t>
      </w:r>
    </w:p>
    <w:p w14:paraId="585AB88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B64FA1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RQ2  </w:t>
      </w:r>
    </w:p>
    <w:p w14:paraId="5BDC0EC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**Can capability-scoped intent tokens function as a portable enforcement primitive across heterogeneous operating systems such as Windows, Linux, Android, and embedded </w:t>
      </w:r>
      <w:proofErr w:type="gramStart"/>
      <w:r w:rsidRPr="00E531B1">
        <w:rPr>
          <w:rFonts w:ascii="Arial" w:eastAsia="Times New Roman" w:hAnsi="Arial" w:cs="Arial"/>
          <w:color w:val="2E2B29"/>
          <w:kern w:val="0"/>
          <w:sz w:val="27"/>
          <w:szCs w:val="27"/>
          <w:shd w:val="clear" w:color="auto" w:fill="FCFAF8"/>
          <w14:ligatures w14:val="none"/>
        </w:rPr>
        <w:t>environments?*</w:t>
      </w:r>
      <w:proofErr w:type="gramEnd"/>
      <w:r w:rsidRPr="00E531B1">
        <w:rPr>
          <w:rFonts w:ascii="Arial" w:eastAsia="Times New Roman" w:hAnsi="Arial" w:cs="Arial"/>
          <w:color w:val="2E2B29"/>
          <w:kern w:val="0"/>
          <w:sz w:val="27"/>
          <w:szCs w:val="27"/>
          <w:shd w:val="clear" w:color="auto" w:fill="FCFAF8"/>
          <w14:ligatures w14:val="none"/>
        </w:rPr>
        <w:t>*</w:t>
      </w:r>
    </w:p>
    <w:p w14:paraId="2430369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8AA5B0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RQ3  </w:t>
      </w:r>
    </w:p>
    <w:p w14:paraId="6A73DDA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lastRenderedPageBreak/>
        <w:t xml:space="preserve">**Does an </w:t>
      </w: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r w:rsidRPr="00E531B1">
        <w:rPr>
          <w:rFonts w:ascii="Arial" w:eastAsia="Times New Roman" w:hAnsi="Arial" w:cs="Arial"/>
          <w:color w:val="2E2B29"/>
          <w:kern w:val="0"/>
          <w:sz w:val="27"/>
          <w:szCs w:val="27"/>
          <w:shd w:val="clear" w:color="auto" w:fill="FCFAF8"/>
          <w14:ligatures w14:val="none"/>
        </w:rPr>
        <w:t xml:space="preserve">-style mediation layer improve migration efficiency when transitioning legacy software systems toward cross-platform </w:t>
      </w:r>
      <w:proofErr w:type="gramStart"/>
      <w:r w:rsidRPr="00E531B1">
        <w:rPr>
          <w:rFonts w:ascii="Arial" w:eastAsia="Times New Roman" w:hAnsi="Arial" w:cs="Arial"/>
          <w:color w:val="2E2B29"/>
          <w:kern w:val="0"/>
          <w:sz w:val="27"/>
          <w:szCs w:val="27"/>
          <w:shd w:val="clear" w:color="auto" w:fill="FCFAF8"/>
          <w14:ligatures w14:val="none"/>
        </w:rPr>
        <w:t>architectures?*</w:t>
      </w:r>
      <w:proofErr w:type="gramEnd"/>
      <w:r w:rsidRPr="00E531B1">
        <w:rPr>
          <w:rFonts w:ascii="Arial" w:eastAsia="Times New Roman" w:hAnsi="Arial" w:cs="Arial"/>
          <w:color w:val="2E2B29"/>
          <w:kern w:val="0"/>
          <w:sz w:val="27"/>
          <w:szCs w:val="27"/>
          <w:shd w:val="clear" w:color="auto" w:fill="FCFAF8"/>
          <w14:ligatures w14:val="none"/>
        </w:rPr>
        <w:t>*</w:t>
      </w:r>
    </w:p>
    <w:p w14:paraId="7A0B715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408D5E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RQ4  </w:t>
      </w:r>
    </w:p>
    <w:p w14:paraId="0201CB2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**What performance, usability, and architectural trade-offs emerge when API-centric execution control is replaced with intent-verified capability </w:t>
      </w:r>
      <w:proofErr w:type="gramStart"/>
      <w:r w:rsidRPr="00E531B1">
        <w:rPr>
          <w:rFonts w:ascii="Arial" w:eastAsia="Times New Roman" w:hAnsi="Arial" w:cs="Arial"/>
          <w:color w:val="2E2B29"/>
          <w:kern w:val="0"/>
          <w:sz w:val="27"/>
          <w:szCs w:val="27"/>
          <w:shd w:val="clear" w:color="auto" w:fill="FCFAF8"/>
          <w14:ligatures w14:val="none"/>
        </w:rPr>
        <w:t>issuance?*</w:t>
      </w:r>
      <w:proofErr w:type="gramEnd"/>
      <w:r w:rsidRPr="00E531B1">
        <w:rPr>
          <w:rFonts w:ascii="Arial" w:eastAsia="Times New Roman" w:hAnsi="Arial" w:cs="Arial"/>
          <w:color w:val="2E2B29"/>
          <w:kern w:val="0"/>
          <w:sz w:val="27"/>
          <w:szCs w:val="27"/>
          <w:shd w:val="clear" w:color="auto" w:fill="FCFAF8"/>
          <w14:ligatures w14:val="none"/>
        </w:rPr>
        <w:t>*</w:t>
      </w:r>
    </w:p>
    <w:p w14:paraId="19DBED7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531B49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7EE9E4D6"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DFCD9B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4. Research Hypotheses</w:t>
      </w:r>
    </w:p>
    <w:p w14:paraId="1839BBA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79E155C6"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To operationalize the research questions, the thesis will evaluate the following hypotheses:</w:t>
      </w:r>
    </w:p>
    <w:p w14:paraId="54A4982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96DB02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**H</w:t>
      </w:r>
      <w:proofErr w:type="gramStart"/>
      <w:r w:rsidRPr="00E531B1">
        <w:rPr>
          <w:rFonts w:ascii="Arial" w:eastAsia="Times New Roman" w:hAnsi="Arial" w:cs="Arial"/>
          <w:color w:val="2E2B29"/>
          <w:kern w:val="0"/>
          <w:sz w:val="27"/>
          <w:szCs w:val="27"/>
          <w:shd w:val="clear" w:color="auto" w:fill="FCFAF8"/>
          <w14:ligatures w14:val="none"/>
        </w:rPr>
        <w:t>1:*</w:t>
      </w:r>
      <w:proofErr w:type="gramEnd"/>
      <w:r w:rsidRPr="00E531B1">
        <w:rPr>
          <w:rFonts w:ascii="Arial" w:eastAsia="Times New Roman" w:hAnsi="Arial" w:cs="Arial"/>
          <w:color w:val="2E2B29"/>
          <w:kern w:val="0"/>
          <w:sz w:val="27"/>
          <w:szCs w:val="27"/>
          <w:shd w:val="clear" w:color="auto" w:fill="FCFAF8"/>
          <w14:ligatures w14:val="none"/>
        </w:rPr>
        <w:t>* An intent-driven broker model can reduce the amount of platform-specific permission logic required in application implementations.</w:t>
      </w:r>
    </w:p>
    <w:p w14:paraId="100C043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**H</w:t>
      </w:r>
      <w:proofErr w:type="gramStart"/>
      <w:r w:rsidRPr="00E531B1">
        <w:rPr>
          <w:rFonts w:ascii="Arial" w:eastAsia="Times New Roman" w:hAnsi="Arial" w:cs="Arial"/>
          <w:color w:val="2E2B29"/>
          <w:kern w:val="0"/>
          <w:sz w:val="27"/>
          <w:szCs w:val="27"/>
          <w:shd w:val="clear" w:color="auto" w:fill="FCFAF8"/>
          <w14:ligatures w14:val="none"/>
        </w:rPr>
        <w:t>2:*</w:t>
      </w:r>
      <w:proofErr w:type="gramEnd"/>
      <w:r w:rsidRPr="00E531B1">
        <w:rPr>
          <w:rFonts w:ascii="Arial" w:eastAsia="Times New Roman" w:hAnsi="Arial" w:cs="Arial"/>
          <w:color w:val="2E2B29"/>
          <w:kern w:val="0"/>
          <w:sz w:val="27"/>
          <w:szCs w:val="27"/>
          <w:shd w:val="clear" w:color="auto" w:fill="FCFAF8"/>
          <w14:ligatures w14:val="none"/>
        </w:rPr>
        <w:t>* Capability-scoped intent tokens can be mapped consistently across at least three heterogeneous target platforms.</w:t>
      </w:r>
    </w:p>
    <w:p w14:paraId="380B6ED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**H</w:t>
      </w:r>
      <w:proofErr w:type="gramStart"/>
      <w:r w:rsidRPr="00E531B1">
        <w:rPr>
          <w:rFonts w:ascii="Arial" w:eastAsia="Times New Roman" w:hAnsi="Arial" w:cs="Arial"/>
          <w:color w:val="2E2B29"/>
          <w:kern w:val="0"/>
          <w:sz w:val="27"/>
          <w:szCs w:val="27"/>
          <w:shd w:val="clear" w:color="auto" w:fill="FCFAF8"/>
          <w14:ligatures w14:val="none"/>
        </w:rPr>
        <w:t>3:*</w:t>
      </w:r>
      <w:proofErr w:type="gramEnd"/>
      <w:r w:rsidRPr="00E531B1">
        <w:rPr>
          <w:rFonts w:ascii="Arial" w:eastAsia="Times New Roman" w:hAnsi="Arial" w:cs="Arial"/>
          <w:color w:val="2E2B29"/>
          <w:kern w:val="0"/>
          <w:sz w:val="27"/>
          <w:szCs w:val="27"/>
          <w:shd w:val="clear" w:color="auto" w:fill="FCFAF8"/>
          <w14:ligatures w14:val="none"/>
        </w:rPr>
        <w:t xml:space="preserve">* The </w:t>
      </w: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r w:rsidRPr="00E531B1">
        <w:rPr>
          <w:rFonts w:ascii="Arial" w:eastAsia="Times New Roman" w:hAnsi="Arial" w:cs="Arial"/>
          <w:color w:val="2E2B29"/>
          <w:kern w:val="0"/>
          <w:sz w:val="27"/>
          <w:szCs w:val="27"/>
          <w:shd w:val="clear" w:color="auto" w:fill="FCFAF8"/>
          <w14:ligatures w14:val="none"/>
        </w:rPr>
        <w:t xml:space="preserve"> Relief Layer (IKRL) can reduce migration complexity for selected legacy application behaviors by abstracting runtime authority handling.</w:t>
      </w:r>
    </w:p>
    <w:p w14:paraId="29A8811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**H</w:t>
      </w:r>
      <w:proofErr w:type="gramStart"/>
      <w:r w:rsidRPr="00E531B1">
        <w:rPr>
          <w:rFonts w:ascii="Arial" w:eastAsia="Times New Roman" w:hAnsi="Arial" w:cs="Arial"/>
          <w:color w:val="2E2B29"/>
          <w:kern w:val="0"/>
          <w:sz w:val="27"/>
          <w:szCs w:val="27"/>
          <w:shd w:val="clear" w:color="auto" w:fill="FCFAF8"/>
          <w14:ligatures w14:val="none"/>
        </w:rPr>
        <w:t>4:*</w:t>
      </w:r>
      <w:proofErr w:type="gramEnd"/>
      <w:r w:rsidRPr="00E531B1">
        <w:rPr>
          <w:rFonts w:ascii="Arial" w:eastAsia="Times New Roman" w:hAnsi="Arial" w:cs="Arial"/>
          <w:color w:val="2E2B29"/>
          <w:kern w:val="0"/>
          <w:sz w:val="27"/>
          <w:szCs w:val="27"/>
          <w:shd w:val="clear" w:color="auto" w:fill="FCFAF8"/>
          <w14:ligatures w14:val="none"/>
        </w:rPr>
        <w:t>* The performance overhead introduced by intent mediation remains acceptable for the classes of applications evaluated in the study.</w:t>
      </w:r>
    </w:p>
    <w:p w14:paraId="406DAF7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AF14D1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26270B3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2E584E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5. Conceptual Architecture of </w:t>
      </w: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p>
    <w:p w14:paraId="7A29A3C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A7C28A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r w:rsidRPr="00E531B1">
        <w:rPr>
          <w:rFonts w:ascii="Arial" w:eastAsia="Times New Roman" w:hAnsi="Arial" w:cs="Arial"/>
          <w:color w:val="2E2B29"/>
          <w:kern w:val="0"/>
          <w:sz w:val="27"/>
          <w:szCs w:val="27"/>
          <w:shd w:val="clear" w:color="auto" w:fill="FCFAF8"/>
          <w14:ligatures w14:val="none"/>
        </w:rPr>
        <w:t xml:space="preserve"> differs fundamentally from conventional portability frameworks because it is positioned at the **semantic </w:t>
      </w:r>
      <w:proofErr w:type="gramStart"/>
      <w:r w:rsidRPr="00E531B1">
        <w:rPr>
          <w:rFonts w:ascii="Arial" w:eastAsia="Times New Roman" w:hAnsi="Arial" w:cs="Arial"/>
          <w:color w:val="2E2B29"/>
          <w:kern w:val="0"/>
          <w:sz w:val="27"/>
          <w:szCs w:val="27"/>
          <w:shd w:val="clear" w:color="auto" w:fill="FCFAF8"/>
          <w14:ligatures w14:val="none"/>
        </w:rPr>
        <w:t>authorization boundary</w:t>
      </w:r>
      <w:proofErr w:type="gramEnd"/>
      <w:r w:rsidRPr="00E531B1">
        <w:rPr>
          <w:rFonts w:ascii="Arial" w:eastAsia="Times New Roman" w:hAnsi="Arial" w:cs="Arial"/>
          <w:color w:val="2E2B29"/>
          <w:kern w:val="0"/>
          <w:sz w:val="27"/>
          <w:szCs w:val="27"/>
          <w:shd w:val="clear" w:color="auto" w:fill="FCFAF8"/>
          <w14:ligatures w14:val="none"/>
        </w:rPr>
        <w:t>**, not only at the user interface or runtime abstraction layer.</w:t>
      </w:r>
    </w:p>
    <w:p w14:paraId="782FC31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5B5B327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Traditional model:</w:t>
      </w:r>
    </w:p>
    <w:p w14:paraId="54AB468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9BCD62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**Application → Platform API → Resource**</w:t>
      </w:r>
    </w:p>
    <w:p w14:paraId="6C7133D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DDFBC5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r w:rsidRPr="00E531B1">
        <w:rPr>
          <w:rFonts w:ascii="Arial" w:eastAsia="Times New Roman" w:hAnsi="Arial" w:cs="Arial"/>
          <w:color w:val="2E2B29"/>
          <w:kern w:val="0"/>
          <w:sz w:val="27"/>
          <w:szCs w:val="27"/>
          <w:shd w:val="clear" w:color="auto" w:fill="FCFAF8"/>
          <w14:ligatures w14:val="none"/>
        </w:rPr>
        <w:t xml:space="preserve"> model:</w:t>
      </w:r>
    </w:p>
    <w:p w14:paraId="1B4936A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2C1EDA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**User Intent → Intent Broker → Capability Token → Local Enforcement Adapter → Resource**</w:t>
      </w:r>
    </w:p>
    <w:p w14:paraId="44C7ACE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3B404C4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This shift changes the basis of execution authority from:</w:t>
      </w:r>
    </w:p>
    <w:p w14:paraId="2CBBAC3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platform-specific permission logic,</w:t>
      </w:r>
    </w:p>
    <w:p w14:paraId="36C9B09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to</w:t>
      </w:r>
    </w:p>
    <w:p w14:paraId="7287593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verified, scoped, and portable semantic intent.</w:t>
      </w:r>
    </w:p>
    <w:p w14:paraId="4D76186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691F7B6"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5.1 Primary Architectural Subsystems</w:t>
      </w:r>
    </w:p>
    <w:p w14:paraId="68D8DCF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2A2572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Layer | Role |</w:t>
      </w:r>
    </w:p>
    <w:p w14:paraId="08F7834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E531B1">
        <w:rPr>
          <w:rFonts w:ascii="Arial" w:eastAsia="Times New Roman" w:hAnsi="Arial" w:cs="Arial"/>
          <w:color w:val="2E2B29"/>
          <w:kern w:val="0"/>
          <w:sz w:val="27"/>
          <w:szCs w:val="27"/>
          <w:shd w:val="clear" w:color="auto" w:fill="FCFAF8"/>
          <w14:ligatures w14:val="none"/>
        </w:rPr>
        <w:t>|---|---|</w:t>
      </w:r>
      <w:proofErr w:type="gramEnd"/>
    </w:p>
    <w:p w14:paraId="1A745FD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**Intent Parser** | Captures human interaction signals and application action requests |</w:t>
      </w:r>
    </w:p>
    <w:p w14:paraId="7D8E5AA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**Secure Input Path** | Verifies authenticity and origin of interaction |</w:t>
      </w:r>
    </w:p>
    <w:p w14:paraId="5939A44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**Intent Broker** | Converts verified intent into scoped execution capability |</w:t>
      </w:r>
    </w:p>
    <w:p w14:paraId="1360BE6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**Capability Engine** | Validates and enforces capability tokens |</w:t>
      </w:r>
    </w:p>
    <w:p w14:paraId="0175DB4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**Policy Store** | Defines resource governance rules and capability constraints |</w:t>
      </w:r>
    </w:p>
    <w:p w14:paraId="216AD6F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1AC4975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This architecture allows cross-platform portability to be governed through a shared execution logic rather than ad hoc per-platform translation.</w:t>
      </w:r>
    </w:p>
    <w:p w14:paraId="02EEEE5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33B2A6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2FD5C37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36B8748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6. Proposed System Model</w:t>
      </w:r>
    </w:p>
    <w:p w14:paraId="5D5A208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59F1B9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The thesis proposes an execution lifecycle built around five stages:</w:t>
      </w:r>
    </w:p>
    <w:p w14:paraId="23F3027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3CB2846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6.1 Intent Capture</w:t>
      </w:r>
    </w:p>
    <w:p w14:paraId="278EDA0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The system records a user or process request and associates it with contextual metadata.</w:t>
      </w:r>
    </w:p>
    <w:p w14:paraId="2E4E501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D63B2F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6.2 Context Verification</w:t>
      </w:r>
    </w:p>
    <w:p w14:paraId="44D5661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The runtime verifies:</w:t>
      </w:r>
    </w:p>
    <w:p w14:paraId="49B9D78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actor identity,</w:t>
      </w:r>
    </w:p>
    <w:p w14:paraId="798DE36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device context,</w:t>
      </w:r>
    </w:p>
    <w:p w14:paraId="5358E6D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intent source,</w:t>
      </w:r>
    </w:p>
    <w:p w14:paraId="149BAD0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relevant policy constraints.</w:t>
      </w:r>
    </w:p>
    <w:p w14:paraId="3349BBD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EB8CA5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6.3 Capability Token Minting</w:t>
      </w:r>
    </w:p>
    <w:p w14:paraId="0237B9F6"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The broker issues a capability token representing a narrow, time-bounded execution right.</w:t>
      </w:r>
    </w:p>
    <w:p w14:paraId="2EE5CEF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142715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6.4 Policy Evaluation</w:t>
      </w:r>
    </w:p>
    <w:p w14:paraId="2D03E92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The token is evaluated against policy and trust constraints before being accepted.</w:t>
      </w:r>
    </w:p>
    <w:p w14:paraId="0A1389D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A9C5B7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6.5 Resource Access Enforcement</w:t>
      </w:r>
    </w:p>
    <w:p w14:paraId="4B6ECEC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A platform-specific enforcement adapter interprets the token and grants or denies access.</w:t>
      </w:r>
    </w:p>
    <w:p w14:paraId="7500B376"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36F1B50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6.6 Token Structure</w:t>
      </w:r>
    </w:p>
    <w:p w14:paraId="71BA641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Each capability token includes:</w:t>
      </w:r>
    </w:p>
    <w:p w14:paraId="169EE06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actor identity</w:t>
      </w:r>
    </w:p>
    <w:p w14:paraId="6813E10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device identity</w:t>
      </w:r>
    </w:p>
    <w:p w14:paraId="5DABBA6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target resource scope</w:t>
      </w:r>
    </w:p>
    <w:p w14:paraId="201BEA5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allowed operation</w:t>
      </w:r>
    </w:p>
    <w:p w14:paraId="69FA30B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expiration window</w:t>
      </w:r>
    </w:p>
    <w:p w14:paraId="3E2CF61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optional use count</w:t>
      </w:r>
    </w:p>
    <w:p w14:paraId="5DEA917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delegation constraints</w:t>
      </w:r>
    </w:p>
    <w:p w14:paraId="0ADCA29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context-binding metadata</w:t>
      </w:r>
    </w:p>
    <w:p w14:paraId="4D56FC9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1D25C08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This creates a common semantic representation that can be interpreted by local enforcement engines across different systems.</w:t>
      </w:r>
    </w:p>
    <w:p w14:paraId="4C576B9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50C8097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252063F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6A6C72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7. Migration Model for Legacy Software Systems</w:t>
      </w:r>
    </w:p>
    <w:p w14:paraId="273207C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560CEA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One of the most practical and costly challenges in software engineering is legacy migration. Existing systems often rely on platform-dependent assumptions, making transition to new </w:t>
      </w:r>
      <w:proofErr w:type="gramStart"/>
      <w:r w:rsidRPr="00E531B1">
        <w:rPr>
          <w:rFonts w:ascii="Arial" w:eastAsia="Times New Roman" w:hAnsi="Arial" w:cs="Arial"/>
          <w:color w:val="2E2B29"/>
          <w:kern w:val="0"/>
          <w:sz w:val="27"/>
          <w:szCs w:val="27"/>
          <w:shd w:val="clear" w:color="auto" w:fill="FCFAF8"/>
          <w14:ligatures w14:val="none"/>
        </w:rPr>
        <w:t>architectures</w:t>
      </w:r>
      <w:proofErr w:type="gramEnd"/>
      <w:r w:rsidRPr="00E531B1">
        <w:rPr>
          <w:rFonts w:ascii="Arial" w:eastAsia="Times New Roman" w:hAnsi="Arial" w:cs="Arial"/>
          <w:color w:val="2E2B29"/>
          <w:kern w:val="0"/>
          <w:sz w:val="27"/>
          <w:szCs w:val="27"/>
          <w:shd w:val="clear" w:color="auto" w:fill="FCFAF8"/>
          <w14:ligatures w14:val="none"/>
        </w:rPr>
        <w:t xml:space="preserve"> expensive and error-prone.</w:t>
      </w:r>
    </w:p>
    <w:p w14:paraId="2DE5D94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5CE54F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To address this, </w:t>
      </w: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r w:rsidRPr="00E531B1">
        <w:rPr>
          <w:rFonts w:ascii="Arial" w:eastAsia="Times New Roman" w:hAnsi="Arial" w:cs="Arial"/>
          <w:color w:val="2E2B29"/>
          <w:kern w:val="0"/>
          <w:sz w:val="27"/>
          <w:szCs w:val="27"/>
          <w:shd w:val="clear" w:color="auto" w:fill="FCFAF8"/>
          <w14:ligatures w14:val="none"/>
        </w:rPr>
        <w:t xml:space="preserve"> introduces a compatibility bridge called the:</w:t>
      </w:r>
    </w:p>
    <w:p w14:paraId="379F249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F4C3F1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w:t>
      </w: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r w:rsidRPr="00E531B1">
        <w:rPr>
          <w:rFonts w:ascii="Arial" w:eastAsia="Times New Roman" w:hAnsi="Arial" w:cs="Arial"/>
          <w:color w:val="2E2B29"/>
          <w:kern w:val="0"/>
          <w:sz w:val="27"/>
          <w:szCs w:val="27"/>
          <w:shd w:val="clear" w:color="auto" w:fill="FCFAF8"/>
          <w14:ligatures w14:val="none"/>
        </w:rPr>
        <w:t xml:space="preserve"> Relief Layer (IKRL)</w:t>
      </w:r>
    </w:p>
    <w:p w14:paraId="5B1CA3E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74C8B34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IKRL is designed to allow existing software to </w:t>
      </w:r>
      <w:proofErr w:type="gramStart"/>
      <w:r w:rsidRPr="00E531B1">
        <w:rPr>
          <w:rFonts w:ascii="Arial" w:eastAsia="Times New Roman" w:hAnsi="Arial" w:cs="Arial"/>
          <w:color w:val="2E2B29"/>
          <w:kern w:val="0"/>
          <w:sz w:val="27"/>
          <w:szCs w:val="27"/>
          <w:shd w:val="clear" w:color="auto" w:fill="FCFAF8"/>
          <w14:ligatures w14:val="none"/>
        </w:rPr>
        <w:t>execute</w:t>
      </w:r>
      <w:proofErr w:type="gramEnd"/>
      <w:r w:rsidRPr="00E531B1">
        <w:rPr>
          <w:rFonts w:ascii="Arial" w:eastAsia="Times New Roman" w:hAnsi="Arial" w:cs="Arial"/>
          <w:color w:val="2E2B29"/>
          <w:kern w:val="0"/>
          <w:sz w:val="27"/>
          <w:szCs w:val="27"/>
          <w:shd w:val="clear" w:color="auto" w:fill="FCFAF8"/>
          <w14:ligatures w14:val="none"/>
        </w:rPr>
        <w:t xml:space="preserve"> within an intent-aware runtime environment without requiring immediate binary rewriting.</w:t>
      </w:r>
    </w:p>
    <w:p w14:paraId="5291926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35A9CEC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7.1 Migration Pipeline</w:t>
      </w:r>
    </w:p>
    <w:p w14:paraId="4E6EC14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9FA570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lastRenderedPageBreak/>
        <w:t>| Stage | Action |</w:t>
      </w:r>
    </w:p>
    <w:p w14:paraId="63E8856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E531B1">
        <w:rPr>
          <w:rFonts w:ascii="Arial" w:eastAsia="Times New Roman" w:hAnsi="Arial" w:cs="Arial"/>
          <w:color w:val="2E2B29"/>
          <w:kern w:val="0"/>
          <w:sz w:val="27"/>
          <w:szCs w:val="27"/>
          <w:shd w:val="clear" w:color="auto" w:fill="FCFAF8"/>
          <w14:ligatures w14:val="none"/>
        </w:rPr>
        <w:t>|---|---|</w:t>
      </w:r>
      <w:proofErr w:type="gramEnd"/>
    </w:p>
    <w:p w14:paraId="6A52713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**Observation** | Capture existing runtime permission behavior |</w:t>
      </w:r>
    </w:p>
    <w:p w14:paraId="77CD6E8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**Classification** | Map observed behavior to intent categories |</w:t>
      </w:r>
    </w:p>
    <w:p w14:paraId="1F15B89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**Translation** | Convert API requests into capability requests |</w:t>
      </w:r>
    </w:p>
    <w:p w14:paraId="1F581FD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**Enforcement** | Apply scoped execution tokens through runtime mediation |</w:t>
      </w:r>
    </w:p>
    <w:p w14:paraId="12CAA63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3586D4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This migration model is important because it frames </w:t>
      </w: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r w:rsidRPr="00E531B1">
        <w:rPr>
          <w:rFonts w:ascii="Arial" w:eastAsia="Times New Roman" w:hAnsi="Arial" w:cs="Arial"/>
          <w:color w:val="2E2B29"/>
          <w:kern w:val="0"/>
          <w:sz w:val="27"/>
          <w:szCs w:val="27"/>
          <w:shd w:val="clear" w:color="auto" w:fill="FCFAF8"/>
          <w14:ligatures w14:val="none"/>
        </w:rPr>
        <w:t xml:space="preserve"> not merely as a new framework for new applications, but as a practical pathway for modernizing old ones.</w:t>
      </w:r>
    </w:p>
    <w:p w14:paraId="7264B44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1C63E05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3EA1D1B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0F6C26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8. Cross-Platform Enforcement Strategy</w:t>
      </w:r>
    </w:p>
    <w:p w14:paraId="758CC55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347C090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r w:rsidRPr="00E531B1">
        <w:rPr>
          <w:rFonts w:ascii="Arial" w:eastAsia="Times New Roman" w:hAnsi="Arial" w:cs="Arial"/>
          <w:color w:val="2E2B29"/>
          <w:kern w:val="0"/>
          <w:sz w:val="27"/>
          <w:szCs w:val="27"/>
          <w:shd w:val="clear" w:color="auto" w:fill="FCFAF8"/>
          <w14:ligatures w14:val="none"/>
        </w:rPr>
        <w:t xml:space="preserve"> separates:</w:t>
      </w:r>
    </w:p>
    <w:p w14:paraId="15732AC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7E3D214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**execution authority**  </w:t>
      </w:r>
    </w:p>
    <w:p w14:paraId="0A33A7B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E531B1">
        <w:rPr>
          <w:rFonts w:ascii="Arial" w:eastAsia="Times New Roman" w:hAnsi="Arial" w:cs="Arial"/>
          <w:color w:val="2E2B29"/>
          <w:kern w:val="0"/>
          <w:sz w:val="27"/>
          <w:szCs w:val="27"/>
          <w:shd w:val="clear" w:color="auto" w:fill="FCFAF8"/>
          <w14:ligatures w14:val="none"/>
        </w:rPr>
        <w:t>from</w:t>
      </w:r>
      <w:proofErr w:type="gramEnd"/>
      <w:r w:rsidRPr="00E531B1">
        <w:rPr>
          <w:rFonts w:ascii="Arial" w:eastAsia="Times New Roman" w:hAnsi="Arial" w:cs="Arial"/>
          <w:color w:val="2E2B29"/>
          <w:kern w:val="0"/>
          <w:sz w:val="27"/>
          <w:szCs w:val="27"/>
          <w:shd w:val="clear" w:color="auto" w:fill="FCFAF8"/>
          <w14:ligatures w14:val="none"/>
        </w:rPr>
        <w:t xml:space="preserve">  </w:t>
      </w:r>
    </w:p>
    <w:p w14:paraId="7AB522F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**platform-specific implementation**</w:t>
      </w:r>
    </w:p>
    <w:p w14:paraId="120B4CA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5687695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This is the key to its universal applicability.</w:t>
      </w:r>
    </w:p>
    <w:p w14:paraId="23E233C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37E96A6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8.1 Example Enforcement Mapping</w:t>
      </w:r>
    </w:p>
    <w:p w14:paraId="10A4D196"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1E090FE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Platform | Enforcement Target |</w:t>
      </w:r>
    </w:p>
    <w:p w14:paraId="5CB300E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E531B1">
        <w:rPr>
          <w:rFonts w:ascii="Arial" w:eastAsia="Times New Roman" w:hAnsi="Arial" w:cs="Arial"/>
          <w:color w:val="2E2B29"/>
          <w:kern w:val="0"/>
          <w:sz w:val="27"/>
          <w:szCs w:val="27"/>
          <w:shd w:val="clear" w:color="auto" w:fill="FCFAF8"/>
          <w14:ligatures w14:val="none"/>
        </w:rPr>
        <w:t>|---|---|</w:t>
      </w:r>
      <w:proofErr w:type="gramEnd"/>
    </w:p>
    <w:p w14:paraId="5A3699C6"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**Windows** | VBS + secure UI overlay + </w:t>
      </w:r>
      <w:proofErr w:type="spellStart"/>
      <w:r w:rsidRPr="00E531B1">
        <w:rPr>
          <w:rFonts w:ascii="Arial" w:eastAsia="Times New Roman" w:hAnsi="Arial" w:cs="Arial"/>
          <w:color w:val="2E2B29"/>
          <w:kern w:val="0"/>
          <w:sz w:val="27"/>
          <w:szCs w:val="27"/>
          <w:shd w:val="clear" w:color="auto" w:fill="FCFAF8"/>
          <w14:ligatures w14:val="none"/>
        </w:rPr>
        <w:t>syscall</w:t>
      </w:r>
      <w:proofErr w:type="spellEnd"/>
      <w:r w:rsidRPr="00E531B1">
        <w:rPr>
          <w:rFonts w:ascii="Arial" w:eastAsia="Times New Roman" w:hAnsi="Arial" w:cs="Arial"/>
          <w:color w:val="2E2B29"/>
          <w:kern w:val="0"/>
          <w:sz w:val="27"/>
          <w:szCs w:val="27"/>
          <w:shd w:val="clear" w:color="auto" w:fill="FCFAF8"/>
          <w14:ligatures w14:val="none"/>
        </w:rPr>
        <w:t xml:space="preserve"> interception |</w:t>
      </w:r>
    </w:p>
    <w:p w14:paraId="7BB6246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**Linux** | LSM hooks + seccomp/</w:t>
      </w:r>
      <w:proofErr w:type="spellStart"/>
      <w:r w:rsidRPr="00E531B1">
        <w:rPr>
          <w:rFonts w:ascii="Arial" w:eastAsia="Times New Roman" w:hAnsi="Arial" w:cs="Arial"/>
          <w:color w:val="2E2B29"/>
          <w:kern w:val="0"/>
          <w:sz w:val="27"/>
          <w:szCs w:val="27"/>
          <w:shd w:val="clear" w:color="auto" w:fill="FCFAF8"/>
          <w14:ligatures w14:val="none"/>
        </w:rPr>
        <w:t>eBPF</w:t>
      </w:r>
      <w:proofErr w:type="spellEnd"/>
      <w:r w:rsidRPr="00E531B1">
        <w:rPr>
          <w:rFonts w:ascii="Arial" w:eastAsia="Times New Roman" w:hAnsi="Arial" w:cs="Arial"/>
          <w:color w:val="2E2B29"/>
          <w:kern w:val="0"/>
          <w:sz w:val="27"/>
          <w:szCs w:val="27"/>
          <w:shd w:val="clear" w:color="auto" w:fill="FCFAF8"/>
          <w14:ligatures w14:val="none"/>
        </w:rPr>
        <w:t xml:space="preserve"> mediation |</w:t>
      </w:r>
    </w:p>
    <w:p w14:paraId="15A0988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**Android** | Binder mediation + privileged service bridge |</w:t>
      </w:r>
    </w:p>
    <w:p w14:paraId="4D095E8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**Embedded** | Trusted Execution Environment or supervisor layer |</w:t>
      </w:r>
    </w:p>
    <w:p w14:paraId="7B7BF37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**Cloud** | Policy-verified token gateways and workload brokers |</w:t>
      </w:r>
    </w:p>
    <w:p w14:paraId="5D385D0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5655709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In this model, applications do not need to be rewritten to match every OS permission system. Instead, local adapters interpret shared capability semantics.</w:t>
      </w:r>
    </w:p>
    <w:p w14:paraId="26CD40A6"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B35FA7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50D5AE9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3097EC7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9. Defined Methodology</w:t>
      </w:r>
    </w:p>
    <w:p w14:paraId="4F58472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8ADC76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This thesis adopts a **design science and empirical systems evaluation methodology**. It combines:</w:t>
      </w:r>
    </w:p>
    <w:p w14:paraId="0DC6C0E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1CE2867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1. conceptual systems architecture design,</w:t>
      </w:r>
    </w:p>
    <w:p w14:paraId="394DD12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2. prototype implementation,</w:t>
      </w:r>
    </w:p>
    <w:p w14:paraId="795CE4E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3. cross-platform experimental testing,</w:t>
      </w:r>
    </w:p>
    <w:p w14:paraId="7BC5A2A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4. comparative framework analysis,</w:t>
      </w:r>
    </w:p>
    <w:p w14:paraId="67FD672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5. migration case-study evaluation.</w:t>
      </w:r>
    </w:p>
    <w:p w14:paraId="7F6C6EC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7DE2E06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9.1 Methodological Rationale</w:t>
      </w:r>
    </w:p>
    <w:p w14:paraId="03C778B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Because </w:t>
      </w: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r w:rsidRPr="00E531B1">
        <w:rPr>
          <w:rFonts w:ascii="Arial" w:eastAsia="Times New Roman" w:hAnsi="Arial" w:cs="Arial"/>
          <w:color w:val="2E2B29"/>
          <w:kern w:val="0"/>
          <w:sz w:val="27"/>
          <w:szCs w:val="27"/>
          <w:shd w:val="clear" w:color="auto" w:fill="FCFAF8"/>
          <w14:ligatures w14:val="none"/>
        </w:rPr>
        <w:t xml:space="preserve"> is both a conceptual framework and a practical runtime model, the thesis must assess both:</w:t>
      </w:r>
    </w:p>
    <w:p w14:paraId="166E6E8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architectural coherence,</w:t>
      </w:r>
    </w:p>
    <w:p w14:paraId="2593026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and empirical feasibility.</w:t>
      </w:r>
    </w:p>
    <w:p w14:paraId="13D0806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0DA34A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9.2 Research Method Type</w:t>
      </w:r>
    </w:p>
    <w:p w14:paraId="0E239B1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This is a form of:</w:t>
      </w:r>
    </w:p>
    <w:p w14:paraId="07020E8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**design science research**, because it creates and evaluates an </w:t>
      </w:r>
      <w:proofErr w:type="gramStart"/>
      <w:r w:rsidRPr="00E531B1">
        <w:rPr>
          <w:rFonts w:ascii="Arial" w:eastAsia="Times New Roman" w:hAnsi="Arial" w:cs="Arial"/>
          <w:color w:val="2E2B29"/>
          <w:kern w:val="0"/>
          <w:sz w:val="27"/>
          <w:szCs w:val="27"/>
          <w:shd w:val="clear" w:color="auto" w:fill="FCFAF8"/>
          <w14:ligatures w14:val="none"/>
        </w:rPr>
        <w:t>artifact;</w:t>
      </w:r>
      <w:proofErr w:type="gramEnd"/>
    </w:p>
    <w:p w14:paraId="74F377C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**experimental software engineering**, because it measures implementation </w:t>
      </w:r>
      <w:proofErr w:type="gramStart"/>
      <w:r w:rsidRPr="00E531B1">
        <w:rPr>
          <w:rFonts w:ascii="Arial" w:eastAsia="Times New Roman" w:hAnsi="Arial" w:cs="Arial"/>
          <w:color w:val="2E2B29"/>
          <w:kern w:val="0"/>
          <w:sz w:val="27"/>
          <w:szCs w:val="27"/>
          <w:shd w:val="clear" w:color="auto" w:fill="FCFAF8"/>
          <w14:ligatures w14:val="none"/>
        </w:rPr>
        <w:t>outcomes;</w:t>
      </w:r>
      <w:proofErr w:type="gramEnd"/>
    </w:p>
    <w:p w14:paraId="3B47E6D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**systems research**, because it concerns runtime execution and OS mediation.</w:t>
      </w:r>
    </w:p>
    <w:p w14:paraId="50707BA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643DD6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7491934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FCCFDD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10. Experimental Methodology</w:t>
      </w:r>
    </w:p>
    <w:p w14:paraId="4632E72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9DB09B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To evaluate feasibility, the thesis proposes three experimental prototype tracks.</w:t>
      </w:r>
    </w:p>
    <w:p w14:paraId="53110BB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FFC7CC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244C72D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3DEFFB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Prototype 1 — Desktop File Access Broker</w:t>
      </w:r>
    </w:p>
    <w:p w14:paraId="3D06011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A651D8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Purpose</w:t>
      </w:r>
    </w:p>
    <w:p w14:paraId="042BCBF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Demonstrate scoped capability issuance for file system operations across desktop platforms.</w:t>
      </w:r>
    </w:p>
    <w:p w14:paraId="1F3DAF5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1C7C247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Target platforms</w:t>
      </w:r>
    </w:p>
    <w:p w14:paraId="6190129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Windows</w:t>
      </w:r>
    </w:p>
    <w:p w14:paraId="6F2531F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lastRenderedPageBreak/>
        <w:t>- Linux</w:t>
      </w:r>
    </w:p>
    <w:p w14:paraId="00FBDE0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5980823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Evaluation metrics</w:t>
      </w:r>
    </w:p>
    <w:p w14:paraId="321128A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token issuance latency</w:t>
      </w:r>
    </w:p>
    <w:p w14:paraId="5750EFA6"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enforcement overhead</w:t>
      </w:r>
    </w:p>
    <w:p w14:paraId="5706858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unauthorized access prevention rate</w:t>
      </w:r>
    </w:p>
    <w:p w14:paraId="303C634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portability of enforcement logic</w:t>
      </w:r>
    </w:p>
    <w:p w14:paraId="17BA7F1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platform-specific code volume</w:t>
      </w:r>
    </w:p>
    <w:p w14:paraId="68A9F0A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5A819D4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397B23C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419511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Prototype 2 — Network Capability Enforcement Gateway</w:t>
      </w:r>
    </w:p>
    <w:p w14:paraId="1A49464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81A315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Purpose</w:t>
      </w:r>
    </w:p>
    <w:p w14:paraId="6FE2BF3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Test destination-scoped capability tokens for outbound communication.</w:t>
      </w:r>
    </w:p>
    <w:p w14:paraId="68CFD76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886C26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Evaluation metrics</w:t>
      </w:r>
    </w:p>
    <w:p w14:paraId="34DD20F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TLS integration compatibility</w:t>
      </w:r>
    </w:p>
    <w:p w14:paraId="22478AD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replay resistance</w:t>
      </w:r>
    </w:p>
    <w:p w14:paraId="2DA70AE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bandwidth constraint enforcement</w:t>
      </w:r>
    </w:p>
    <w:p w14:paraId="7C5A898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connection setup overhead</w:t>
      </w:r>
    </w:p>
    <w:p w14:paraId="385BB83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w:t>
      </w:r>
      <w:proofErr w:type="gramStart"/>
      <w:r w:rsidRPr="00E531B1">
        <w:rPr>
          <w:rFonts w:ascii="Arial" w:eastAsia="Times New Roman" w:hAnsi="Arial" w:cs="Arial"/>
          <w:color w:val="2E2B29"/>
          <w:kern w:val="0"/>
          <w:sz w:val="27"/>
          <w:szCs w:val="27"/>
          <w:shd w:val="clear" w:color="auto" w:fill="FCFAF8"/>
          <w14:ligatures w14:val="none"/>
        </w:rPr>
        <w:t>behavior</w:t>
      </w:r>
      <w:proofErr w:type="gramEnd"/>
      <w:r w:rsidRPr="00E531B1">
        <w:rPr>
          <w:rFonts w:ascii="Arial" w:eastAsia="Times New Roman" w:hAnsi="Arial" w:cs="Arial"/>
          <w:color w:val="2E2B29"/>
          <w:kern w:val="0"/>
          <w:sz w:val="27"/>
          <w:szCs w:val="27"/>
          <w:shd w:val="clear" w:color="auto" w:fill="FCFAF8"/>
          <w14:ligatures w14:val="none"/>
        </w:rPr>
        <w:t xml:space="preserve"> consistency across environments</w:t>
      </w:r>
    </w:p>
    <w:p w14:paraId="31B6253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33BE7AA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2D746A6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622D66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Prototype 3 — Mobile Camera Access Intent Validation Model</w:t>
      </w:r>
    </w:p>
    <w:p w14:paraId="6188C16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566F7F6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Purpose</w:t>
      </w:r>
    </w:p>
    <w:p w14:paraId="0E77721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Test hardware-verified or secure-UI-verified intent for camera access.</w:t>
      </w:r>
    </w:p>
    <w:p w14:paraId="1761279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5378A2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Target platform</w:t>
      </w:r>
    </w:p>
    <w:p w14:paraId="3EBC58B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Android or mobile simulator environment</w:t>
      </w:r>
    </w:p>
    <w:p w14:paraId="5AA3DD5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5B7008C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Evaluation metrics</w:t>
      </w:r>
    </w:p>
    <w:p w14:paraId="740EC6B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spoof resistance</w:t>
      </w:r>
    </w:p>
    <w:p w14:paraId="75EB1CD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UI redressing mitigation</w:t>
      </w:r>
    </w:p>
    <w:p w14:paraId="57BD8E5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token issuance latency</w:t>
      </w:r>
    </w:p>
    <w:p w14:paraId="1E096DC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user interaction overhead</w:t>
      </w:r>
    </w:p>
    <w:p w14:paraId="6AC62A0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F478FE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076996A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78C4209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lastRenderedPageBreak/>
        <w:t>## 11. Performance Evaluation Plan</w:t>
      </w:r>
    </w:p>
    <w:p w14:paraId="1722F7A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3382ACF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The performance impact of </w:t>
      </w: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r w:rsidRPr="00E531B1">
        <w:rPr>
          <w:rFonts w:ascii="Arial" w:eastAsia="Times New Roman" w:hAnsi="Arial" w:cs="Arial"/>
          <w:color w:val="2E2B29"/>
          <w:kern w:val="0"/>
          <w:sz w:val="27"/>
          <w:szCs w:val="27"/>
          <w:shd w:val="clear" w:color="auto" w:fill="FCFAF8"/>
          <w14:ligatures w14:val="none"/>
        </w:rPr>
        <w:t xml:space="preserve"> will be evaluated across the following dimensions:</w:t>
      </w:r>
    </w:p>
    <w:p w14:paraId="373137A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76319C1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Metric | Description |</w:t>
      </w:r>
    </w:p>
    <w:p w14:paraId="683D4F8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E531B1">
        <w:rPr>
          <w:rFonts w:ascii="Arial" w:eastAsia="Times New Roman" w:hAnsi="Arial" w:cs="Arial"/>
          <w:color w:val="2E2B29"/>
          <w:kern w:val="0"/>
          <w:sz w:val="27"/>
          <w:szCs w:val="27"/>
          <w:shd w:val="clear" w:color="auto" w:fill="FCFAF8"/>
          <w14:ligatures w14:val="none"/>
        </w:rPr>
        <w:t>|---|---|</w:t>
      </w:r>
      <w:proofErr w:type="gramEnd"/>
    </w:p>
    <w:p w14:paraId="1320EAF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**Token mint latency** | Time required to generate scoped capability |</w:t>
      </w:r>
    </w:p>
    <w:p w14:paraId="70E23E3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**Enforcement overhead** | Cost of validating token before resource access |</w:t>
      </w:r>
    </w:p>
    <w:p w14:paraId="327AEC2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**Migration complexity** | Engineering effort to move legacy behavior into runtime mediation |</w:t>
      </w:r>
    </w:p>
    <w:p w14:paraId="30C251F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**Cross-platform parity** | Degree of behavioral consistency across target platforms |</w:t>
      </w:r>
    </w:p>
    <w:p w14:paraId="29D004C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**Shared-code ratio** | Percentage of common logic reused across targets |</w:t>
      </w:r>
    </w:p>
    <w:p w14:paraId="2C53B356"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**Platform-specific code reduction** | Reduction in target-specific implementation effort |</w:t>
      </w:r>
    </w:p>
    <w:p w14:paraId="2213C5C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B98485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Comparative baselines</w:t>
      </w:r>
    </w:p>
    <w:p w14:paraId="4C1B85D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The study may compare </w:t>
      </w: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r w:rsidRPr="00E531B1">
        <w:rPr>
          <w:rFonts w:ascii="Arial" w:eastAsia="Times New Roman" w:hAnsi="Arial" w:cs="Arial"/>
          <w:color w:val="2E2B29"/>
          <w:kern w:val="0"/>
          <w:sz w:val="27"/>
          <w:szCs w:val="27"/>
          <w:shd w:val="clear" w:color="auto" w:fill="FCFAF8"/>
          <w14:ligatures w14:val="none"/>
        </w:rPr>
        <w:t xml:space="preserve"> against:</w:t>
      </w:r>
    </w:p>
    <w:p w14:paraId="56EAACA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Electron</w:t>
      </w:r>
    </w:p>
    <w:p w14:paraId="03EF305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Flutter</w:t>
      </w:r>
    </w:p>
    <w:p w14:paraId="0A1DEB4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native permission systems</w:t>
      </w:r>
    </w:p>
    <w:p w14:paraId="38D881D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Android Binder permission enforcement</w:t>
      </w:r>
    </w:p>
    <w:p w14:paraId="64FA475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conventional platform-specific implementations</w:t>
      </w:r>
    </w:p>
    <w:p w14:paraId="709072F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7097E9D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0EF3A5A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342757A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12. Security Contribution Claim</w:t>
      </w:r>
    </w:p>
    <w:p w14:paraId="6459926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5B526E3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This thesis makes a clear technical contribution by shifting execution control from:</w:t>
      </w:r>
    </w:p>
    <w:p w14:paraId="045BAE1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C328E5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**application-declared permissions**</w:t>
      </w:r>
    </w:p>
    <w:p w14:paraId="4A8B34E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5978B26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to</w:t>
      </w:r>
    </w:p>
    <w:p w14:paraId="0661976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8FB014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**user-verified and context-scoped capability authorization**</w:t>
      </w:r>
    </w:p>
    <w:p w14:paraId="006D8C2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5A5F82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12.1 Security Advantages Expected</w:t>
      </w:r>
    </w:p>
    <w:p w14:paraId="4B2DB70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33D44C9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Threat | Mitigation |</w:t>
      </w:r>
    </w:p>
    <w:p w14:paraId="728C0A4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E531B1">
        <w:rPr>
          <w:rFonts w:ascii="Arial" w:eastAsia="Times New Roman" w:hAnsi="Arial" w:cs="Arial"/>
          <w:color w:val="2E2B29"/>
          <w:kern w:val="0"/>
          <w:sz w:val="27"/>
          <w:szCs w:val="27"/>
          <w:shd w:val="clear" w:color="auto" w:fill="FCFAF8"/>
          <w14:ligatures w14:val="none"/>
        </w:rPr>
        <w:lastRenderedPageBreak/>
        <w:t>|---|---|</w:t>
      </w:r>
      <w:proofErr w:type="gramEnd"/>
    </w:p>
    <w:p w14:paraId="017377E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API misuse | Intent validation and scoped issuance |</w:t>
      </w:r>
    </w:p>
    <w:p w14:paraId="45CB834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Token replay | Context hash binding and expiry |</w:t>
      </w:r>
    </w:p>
    <w:p w14:paraId="2B77202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OS compromise exposure | Enclave or trusted boundary isolation (where available) |</w:t>
      </w:r>
    </w:p>
    <w:p w14:paraId="1418EDF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UI spoofing | Secure input / secure compositor path |</w:t>
      </w:r>
    </w:p>
    <w:p w14:paraId="1B6E750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Overbroad permissions | Narrow action-specific token scope |</w:t>
      </w:r>
    </w:p>
    <w:p w14:paraId="778D366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7F6D26F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12.2 Security Model Contribution</w:t>
      </w:r>
    </w:p>
    <w:p w14:paraId="197BF2C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This thesis </w:t>
      </w:r>
      <w:proofErr w:type="gramStart"/>
      <w:r w:rsidRPr="00E531B1">
        <w:rPr>
          <w:rFonts w:ascii="Arial" w:eastAsia="Times New Roman" w:hAnsi="Arial" w:cs="Arial"/>
          <w:color w:val="2E2B29"/>
          <w:kern w:val="0"/>
          <w:sz w:val="27"/>
          <w:szCs w:val="27"/>
          <w:shd w:val="clear" w:color="auto" w:fill="FCFAF8"/>
          <w14:ligatures w14:val="none"/>
        </w:rPr>
        <w:t>contributes</w:t>
      </w:r>
      <w:proofErr w:type="gramEnd"/>
      <w:r w:rsidRPr="00E531B1">
        <w:rPr>
          <w:rFonts w:ascii="Arial" w:eastAsia="Times New Roman" w:hAnsi="Arial" w:cs="Arial"/>
          <w:color w:val="2E2B29"/>
          <w:kern w:val="0"/>
          <w:sz w:val="27"/>
          <w:szCs w:val="27"/>
          <w:shd w:val="clear" w:color="auto" w:fill="FCFAF8"/>
          <w14:ligatures w14:val="none"/>
        </w:rPr>
        <w:t xml:space="preserve"> a hybrid model that combines:</w:t>
      </w:r>
    </w:p>
    <w:p w14:paraId="431E50B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capability-based security</w:t>
      </w:r>
    </w:p>
    <w:p w14:paraId="7D0AE60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intent-aware authorization</w:t>
      </w:r>
    </w:p>
    <w:p w14:paraId="26267B5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portability-oriented execution abstraction</w:t>
      </w:r>
    </w:p>
    <w:p w14:paraId="2D55D33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optional enclave-anchored trust boundaries</w:t>
      </w:r>
    </w:p>
    <w:p w14:paraId="50953B2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80A196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That is a novel contribution relative to conventional cross-platform frameworks.</w:t>
      </w:r>
    </w:p>
    <w:p w14:paraId="067DA25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1CCAC61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2A1E474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6A26B3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13. Technical Contribution Claim</w:t>
      </w:r>
    </w:p>
    <w:p w14:paraId="7FF78AF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569C420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The thesis claims the following technical contributions to software engineering research:</w:t>
      </w:r>
    </w:p>
    <w:p w14:paraId="439F292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BFB29C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Contribution 1  </w:t>
      </w:r>
    </w:p>
    <w:p w14:paraId="7D7F1C0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A formal definition of **intent-driven capability mediation** as a cross-platform execution model.</w:t>
      </w:r>
    </w:p>
    <w:p w14:paraId="1063E74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3AB7BD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Contribution 2  </w:t>
      </w:r>
    </w:p>
    <w:p w14:paraId="44BB793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A portable **capability token architecture** that can serve as a shared enforcement primitive across heterogeneous operating systems.</w:t>
      </w:r>
    </w:p>
    <w:p w14:paraId="6725379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19D1D606"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Contribution 3  </w:t>
      </w:r>
    </w:p>
    <w:p w14:paraId="220C72E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A **migration compatibility framework** for adapting legacy software into intent-aware runtime mediation.</w:t>
      </w:r>
    </w:p>
    <w:p w14:paraId="52A1EAA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8B2F7F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Contribution 4  </w:t>
      </w:r>
    </w:p>
    <w:p w14:paraId="74E03BA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A prototype **cross-platform broker implementation** demonstrating practical feasibility.</w:t>
      </w:r>
    </w:p>
    <w:p w14:paraId="595EB12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0BF9D8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lastRenderedPageBreak/>
        <w:t xml:space="preserve">### Contribution 5  </w:t>
      </w:r>
    </w:p>
    <w:p w14:paraId="720C2FB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A new **security-aware portability model** that integrates verified user intent into software execution semantics.</w:t>
      </w:r>
    </w:p>
    <w:p w14:paraId="58908016"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3A8EB3C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These claims are important because they define what the thesis contributes beyond implementation alone.</w:t>
      </w:r>
    </w:p>
    <w:p w14:paraId="0F93560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256F1C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7C86267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17EDF3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14. Expected Academic Contribution</w:t>
      </w:r>
    </w:p>
    <w:p w14:paraId="3B4683D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1B3DC6A6"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This research is expected to contribute to:</w:t>
      </w:r>
    </w:p>
    <w:p w14:paraId="2BFA907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software architecture</w:t>
      </w:r>
    </w:p>
    <w:p w14:paraId="46850DF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cross-platform engineering</w:t>
      </w:r>
    </w:p>
    <w:p w14:paraId="79762D7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w:t>
      </w:r>
      <w:proofErr w:type="gramStart"/>
      <w:r w:rsidRPr="00E531B1">
        <w:rPr>
          <w:rFonts w:ascii="Arial" w:eastAsia="Times New Roman" w:hAnsi="Arial" w:cs="Arial"/>
          <w:color w:val="2E2B29"/>
          <w:kern w:val="0"/>
          <w:sz w:val="27"/>
          <w:szCs w:val="27"/>
          <w:shd w:val="clear" w:color="auto" w:fill="FCFAF8"/>
          <w14:ligatures w14:val="none"/>
        </w:rPr>
        <w:t>systems security</w:t>
      </w:r>
      <w:proofErr w:type="gramEnd"/>
    </w:p>
    <w:p w14:paraId="45BB6C4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w:t>
      </w:r>
      <w:proofErr w:type="gramStart"/>
      <w:r w:rsidRPr="00E531B1">
        <w:rPr>
          <w:rFonts w:ascii="Arial" w:eastAsia="Times New Roman" w:hAnsi="Arial" w:cs="Arial"/>
          <w:color w:val="2E2B29"/>
          <w:kern w:val="0"/>
          <w:sz w:val="27"/>
          <w:szCs w:val="27"/>
          <w:shd w:val="clear" w:color="auto" w:fill="FCFAF8"/>
          <w14:ligatures w14:val="none"/>
        </w:rPr>
        <w:t>runtime</w:t>
      </w:r>
      <w:proofErr w:type="gramEnd"/>
      <w:r w:rsidRPr="00E531B1">
        <w:rPr>
          <w:rFonts w:ascii="Arial" w:eastAsia="Times New Roman" w:hAnsi="Arial" w:cs="Arial"/>
          <w:color w:val="2E2B29"/>
          <w:kern w:val="0"/>
          <w:sz w:val="27"/>
          <w:szCs w:val="27"/>
          <w:shd w:val="clear" w:color="auto" w:fill="FCFAF8"/>
          <w14:ligatures w14:val="none"/>
        </w:rPr>
        <w:t xml:space="preserve"> portability research</w:t>
      </w:r>
    </w:p>
    <w:p w14:paraId="42349F4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software migration methodology</w:t>
      </w:r>
    </w:p>
    <w:p w14:paraId="77D034D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987530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It is particularly relevant to the intersection of:</w:t>
      </w:r>
    </w:p>
    <w:p w14:paraId="2789EFD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platform abstraction,</w:t>
      </w:r>
    </w:p>
    <w:p w14:paraId="71C1F37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execution control,</w:t>
      </w:r>
    </w:p>
    <w:p w14:paraId="38A56A6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portability,</w:t>
      </w:r>
    </w:p>
    <w:p w14:paraId="3CEFD35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and secure software modernization.</w:t>
      </w:r>
    </w:p>
    <w:p w14:paraId="578BE6A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D1D89E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613F99C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5FFBA96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15. Long-Term Vision</w:t>
      </w:r>
    </w:p>
    <w:p w14:paraId="549FD30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126E926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r w:rsidRPr="00E531B1">
        <w:rPr>
          <w:rFonts w:ascii="Arial" w:eastAsia="Times New Roman" w:hAnsi="Arial" w:cs="Arial"/>
          <w:color w:val="2E2B29"/>
          <w:kern w:val="0"/>
          <w:sz w:val="27"/>
          <w:szCs w:val="27"/>
          <w:shd w:val="clear" w:color="auto" w:fill="FCFAF8"/>
          <w14:ligatures w14:val="none"/>
        </w:rPr>
        <w:t xml:space="preserve"> represents a shift toward:</w:t>
      </w:r>
    </w:p>
    <w:p w14:paraId="36F22B8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37C3B1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**intent-centric operating and execution environments**</w:t>
      </w:r>
    </w:p>
    <w:p w14:paraId="4FF4073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5FC6DB9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rather than:</w:t>
      </w:r>
    </w:p>
    <w:p w14:paraId="6AE2482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5F6F16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**application-centric authority models**</w:t>
      </w:r>
    </w:p>
    <w:p w14:paraId="6D97281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5AEB203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In the long term, this thesis positions </w:t>
      </w: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r w:rsidRPr="00E531B1">
        <w:rPr>
          <w:rFonts w:ascii="Arial" w:eastAsia="Times New Roman" w:hAnsi="Arial" w:cs="Arial"/>
          <w:color w:val="2E2B29"/>
          <w:kern w:val="0"/>
          <w:sz w:val="27"/>
          <w:szCs w:val="27"/>
          <w:shd w:val="clear" w:color="auto" w:fill="FCFAF8"/>
          <w14:ligatures w14:val="none"/>
        </w:rPr>
        <w:t xml:space="preserve"> not merely as another cross-platform framework, but as a foundation for universal execution semantics spanning desktop, mobile, cloud, embedded, and edge systems.</w:t>
      </w:r>
    </w:p>
    <w:p w14:paraId="093F36F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592BA366"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lastRenderedPageBreak/>
        <w:t>This provides a strong closing direction for the thesis, connecting present experiments to a broader systems vision.</w:t>
      </w:r>
    </w:p>
    <w:p w14:paraId="7A2876D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7D6305F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5AE7DC7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C01D36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16. Suggested Chapter Placement</w:t>
      </w:r>
    </w:p>
    <w:p w14:paraId="3D1871F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DD8A5C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This expanded section could appear in the thesis as:</w:t>
      </w:r>
    </w:p>
    <w:p w14:paraId="2B5CEB6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6C0CBE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**Chapter </w:t>
      </w:r>
      <w:proofErr w:type="gramStart"/>
      <w:r w:rsidRPr="00E531B1">
        <w:rPr>
          <w:rFonts w:ascii="Arial" w:eastAsia="Times New Roman" w:hAnsi="Arial" w:cs="Arial"/>
          <w:color w:val="2E2B29"/>
          <w:kern w:val="0"/>
          <w:sz w:val="27"/>
          <w:szCs w:val="27"/>
          <w:shd w:val="clear" w:color="auto" w:fill="FCFAF8"/>
          <w14:ligatures w14:val="none"/>
        </w:rPr>
        <w:t>1:*</w:t>
      </w:r>
      <w:proofErr w:type="gramEnd"/>
      <w:r w:rsidRPr="00E531B1">
        <w:rPr>
          <w:rFonts w:ascii="Arial" w:eastAsia="Times New Roman" w:hAnsi="Arial" w:cs="Arial"/>
          <w:color w:val="2E2B29"/>
          <w:kern w:val="0"/>
          <w:sz w:val="27"/>
          <w:szCs w:val="27"/>
          <w:shd w:val="clear" w:color="auto" w:fill="FCFAF8"/>
          <w14:ligatures w14:val="none"/>
        </w:rPr>
        <w:t>* Problem Statement and Research Questions</w:t>
      </w:r>
    </w:p>
    <w:p w14:paraId="4D5A465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**Chapter </w:t>
      </w:r>
      <w:proofErr w:type="gramStart"/>
      <w:r w:rsidRPr="00E531B1">
        <w:rPr>
          <w:rFonts w:ascii="Arial" w:eastAsia="Times New Roman" w:hAnsi="Arial" w:cs="Arial"/>
          <w:color w:val="2E2B29"/>
          <w:kern w:val="0"/>
          <w:sz w:val="27"/>
          <w:szCs w:val="27"/>
          <w:shd w:val="clear" w:color="auto" w:fill="FCFAF8"/>
          <w14:ligatures w14:val="none"/>
        </w:rPr>
        <w:t>3:*</w:t>
      </w:r>
      <w:proofErr w:type="gramEnd"/>
      <w:r w:rsidRPr="00E531B1">
        <w:rPr>
          <w:rFonts w:ascii="Arial" w:eastAsia="Times New Roman" w:hAnsi="Arial" w:cs="Arial"/>
          <w:color w:val="2E2B29"/>
          <w:kern w:val="0"/>
          <w:sz w:val="27"/>
          <w:szCs w:val="27"/>
          <w:shd w:val="clear" w:color="auto" w:fill="FCFAF8"/>
          <w14:ligatures w14:val="none"/>
        </w:rPr>
        <w:t>* Conceptual Architecture</w:t>
      </w:r>
    </w:p>
    <w:p w14:paraId="1B48412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**Chapter </w:t>
      </w:r>
      <w:proofErr w:type="gramStart"/>
      <w:r w:rsidRPr="00E531B1">
        <w:rPr>
          <w:rFonts w:ascii="Arial" w:eastAsia="Times New Roman" w:hAnsi="Arial" w:cs="Arial"/>
          <w:color w:val="2E2B29"/>
          <w:kern w:val="0"/>
          <w:sz w:val="27"/>
          <w:szCs w:val="27"/>
          <w:shd w:val="clear" w:color="auto" w:fill="FCFAF8"/>
          <w14:ligatures w14:val="none"/>
        </w:rPr>
        <w:t>4:*</w:t>
      </w:r>
      <w:proofErr w:type="gramEnd"/>
      <w:r w:rsidRPr="00E531B1">
        <w:rPr>
          <w:rFonts w:ascii="Arial" w:eastAsia="Times New Roman" w:hAnsi="Arial" w:cs="Arial"/>
          <w:color w:val="2E2B29"/>
          <w:kern w:val="0"/>
          <w:sz w:val="27"/>
          <w:szCs w:val="27"/>
          <w:shd w:val="clear" w:color="auto" w:fill="FCFAF8"/>
          <w14:ligatures w14:val="none"/>
        </w:rPr>
        <w:t>* Methodology</w:t>
      </w:r>
    </w:p>
    <w:p w14:paraId="3DF86A0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**Chapter </w:t>
      </w:r>
      <w:proofErr w:type="gramStart"/>
      <w:r w:rsidRPr="00E531B1">
        <w:rPr>
          <w:rFonts w:ascii="Arial" w:eastAsia="Times New Roman" w:hAnsi="Arial" w:cs="Arial"/>
          <w:color w:val="2E2B29"/>
          <w:kern w:val="0"/>
          <w:sz w:val="27"/>
          <w:szCs w:val="27"/>
          <w:shd w:val="clear" w:color="auto" w:fill="FCFAF8"/>
          <w14:ligatures w14:val="none"/>
        </w:rPr>
        <w:t>5:*</w:t>
      </w:r>
      <w:proofErr w:type="gramEnd"/>
      <w:r w:rsidRPr="00E531B1">
        <w:rPr>
          <w:rFonts w:ascii="Arial" w:eastAsia="Times New Roman" w:hAnsi="Arial" w:cs="Arial"/>
          <w:color w:val="2E2B29"/>
          <w:kern w:val="0"/>
          <w:sz w:val="27"/>
          <w:szCs w:val="27"/>
          <w:shd w:val="clear" w:color="auto" w:fill="FCFAF8"/>
          <w14:ligatures w14:val="none"/>
        </w:rPr>
        <w:t>* Contribution Claim and Prototype Design</w:t>
      </w:r>
    </w:p>
    <w:p w14:paraId="7E0982B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DE861F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67036FF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9EC114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17. Final Academic Strength</w:t>
      </w:r>
    </w:p>
    <w:p w14:paraId="405FBED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3429F79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With these additions, your proposal now contains the three elements that make it academically defensible:</w:t>
      </w:r>
    </w:p>
    <w:p w14:paraId="490CCE8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B5CB78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It identifies a clear research gap  </w:t>
      </w:r>
    </w:p>
    <w:p w14:paraId="7EF8F09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No current framework provides intent-aware, capability-portable execution semantics across heterogeneous systems.</w:t>
      </w:r>
    </w:p>
    <w:p w14:paraId="2F3275B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3DDAFBC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It proposes a method of investigation  </w:t>
      </w:r>
    </w:p>
    <w:p w14:paraId="14F98BF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Prototype design, cross-platform experiments, migration case studies, and performance/security evaluation.</w:t>
      </w:r>
    </w:p>
    <w:p w14:paraId="447A21B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1C6C7E2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It states a concrete contribution  </w:t>
      </w:r>
    </w:p>
    <w:p w14:paraId="092FECF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A new execution substrate model for secure, portable cross-platform software behavior.</w:t>
      </w:r>
    </w:p>
    <w:p w14:paraId="0EA1A66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A7A8B5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7A41AB4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455A97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If you want, I can now turn this into one of the following:</w:t>
      </w:r>
    </w:p>
    <w:p w14:paraId="2553749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DAC21A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1. **A full professor-style thesis proposal document**</w:t>
      </w:r>
    </w:p>
    <w:p w14:paraId="1F935C2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2. **Chapter 1 in full formal academic writing**</w:t>
      </w:r>
    </w:p>
    <w:p w14:paraId="7344351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3. **Chapter 4 methodology in full detail**</w:t>
      </w:r>
    </w:p>
    <w:p w14:paraId="1AB682A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4. **A defense-ready research synopsis**</w:t>
      </w:r>
    </w:p>
    <w:p w14:paraId="66BF613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lastRenderedPageBreak/>
        <w:t>5. **A university submission format with title page, abstract, aims, objectives, questions, methodology, references**</w:t>
      </w:r>
    </w:p>
    <w:p w14:paraId="570244D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D16CFB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The best next step is:</w:t>
      </w:r>
    </w:p>
    <w:p w14:paraId="3F2C0F8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185D6D2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**Chapter 1 in full formal academic style**</w:t>
      </w:r>
    </w:p>
    <w:p w14:paraId="5331AF0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176475C0" w14:textId="3414D0C0" w:rsidR="00AD0927" w:rsidRDefault="00E531B1" w:rsidP="00E531B1">
      <w:r w:rsidRPr="00E531B1">
        <w:rPr>
          <w:rFonts w:ascii="Arial" w:eastAsia="Times New Roman" w:hAnsi="Arial" w:cs="Arial"/>
          <w:color w:val="2E2B29"/>
          <w:kern w:val="0"/>
          <w:sz w:val="27"/>
          <w:szCs w:val="27"/>
          <w:shd w:val="clear" w:color="auto" w:fill="FCFAF8"/>
          <w14:ligatures w14:val="none"/>
        </w:rPr>
        <w:t>because that will let you submit the proposal or show it to a supervisor immediately.</w:t>
      </w:r>
    </w:p>
    <w:sectPr w:rsidR="00AD0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1B1"/>
    <w:rsid w:val="000170E4"/>
    <w:rsid w:val="000B523A"/>
    <w:rsid w:val="00397D11"/>
    <w:rsid w:val="00682C75"/>
    <w:rsid w:val="00AD0927"/>
    <w:rsid w:val="00E23291"/>
    <w:rsid w:val="00E53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FB6DD"/>
  <w15:chartTrackingRefBased/>
  <w15:docId w15:val="{B2260F61-6BE9-4C59-AB0B-F747D6AB0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3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3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3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3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3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1B1"/>
    <w:rPr>
      <w:rFonts w:eastAsiaTheme="majorEastAsia" w:cstheme="majorBidi"/>
      <w:color w:val="272727" w:themeColor="text1" w:themeTint="D8"/>
    </w:rPr>
  </w:style>
  <w:style w:type="paragraph" w:styleId="Title">
    <w:name w:val="Title"/>
    <w:basedOn w:val="Normal"/>
    <w:next w:val="Normal"/>
    <w:link w:val="TitleChar"/>
    <w:uiPriority w:val="10"/>
    <w:qFormat/>
    <w:rsid w:val="00E53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1B1"/>
    <w:pPr>
      <w:spacing w:before="160"/>
      <w:jc w:val="center"/>
    </w:pPr>
    <w:rPr>
      <w:i/>
      <w:iCs/>
      <w:color w:val="404040" w:themeColor="text1" w:themeTint="BF"/>
    </w:rPr>
  </w:style>
  <w:style w:type="character" w:customStyle="1" w:styleId="QuoteChar">
    <w:name w:val="Quote Char"/>
    <w:basedOn w:val="DefaultParagraphFont"/>
    <w:link w:val="Quote"/>
    <w:uiPriority w:val="29"/>
    <w:rsid w:val="00E531B1"/>
    <w:rPr>
      <w:i/>
      <w:iCs/>
      <w:color w:val="404040" w:themeColor="text1" w:themeTint="BF"/>
    </w:rPr>
  </w:style>
  <w:style w:type="paragraph" w:styleId="ListParagraph">
    <w:name w:val="List Paragraph"/>
    <w:basedOn w:val="Normal"/>
    <w:uiPriority w:val="34"/>
    <w:qFormat/>
    <w:rsid w:val="00E531B1"/>
    <w:pPr>
      <w:ind w:left="720"/>
      <w:contextualSpacing/>
    </w:pPr>
  </w:style>
  <w:style w:type="character" w:styleId="IntenseEmphasis">
    <w:name w:val="Intense Emphasis"/>
    <w:basedOn w:val="DefaultParagraphFont"/>
    <w:uiPriority w:val="21"/>
    <w:qFormat/>
    <w:rsid w:val="00E531B1"/>
    <w:rPr>
      <w:i/>
      <w:iCs/>
      <w:color w:val="0F4761" w:themeColor="accent1" w:themeShade="BF"/>
    </w:rPr>
  </w:style>
  <w:style w:type="paragraph" w:styleId="IntenseQuote">
    <w:name w:val="Intense Quote"/>
    <w:basedOn w:val="Normal"/>
    <w:next w:val="Normal"/>
    <w:link w:val="IntenseQuoteChar"/>
    <w:uiPriority w:val="30"/>
    <w:qFormat/>
    <w:rsid w:val="00E53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1B1"/>
    <w:rPr>
      <w:i/>
      <w:iCs/>
      <w:color w:val="0F4761" w:themeColor="accent1" w:themeShade="BF"/>
    </w:rPr>
  </w:style>
  <w:style w:type="character" w:styleId="IntenseReference">
    <w:name w:val="Intense Reference"/>
    <w:basedOn w:val="DefaultParagraphFont"/>
    <w:uiPriority w:val="32"/>
    <w:qFormat/>
    <w:rsid w:val="00E53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2320</Words>
  <Characters>13226</Characters>
  <Application>Microsoft Office Word</Application>
  <DocSecurity>0</DocSecurity>
  <Lines>110</Lines>
  <Paragraphs>31</Paragraphs>
  <ScaleCrop>false</ScaleCrop>
  <Company/>
  <LinksUpToDate>false</LinksUpToDate>
  <CharactersWithSpaces>15515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Owings</dc:creator>
  <cp:keywords/>
  <dc:description/>
  <cp:lastModifiedBy>Dan Owings</cp:lastModifiedBy>
  <cp:revision>2</cp:revision>
  <dcterms:created xsi:type="dcterms:W3CDTF">2026-04-01T00:14:00Z</dcterms:created>
  <dcterms:modified xsi:type="dcterms:W3CDTF">2026-04-01T00:14:00Z</dcterms:modified>
</cp:coreProperties>
</file>