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监测时间：2021-06-30 09:42:13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2011139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3427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40040916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1624959735000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1624959750000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1624959750000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1624959750000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124576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1624959750000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40572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1624959750000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1624959765000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2021-06-30 09:00:19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1624959765000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2021-06-30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1624959765000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2021-06-30 08:50:49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1624959765000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2021-06-30 09:00:01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1624959765000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2021-06-30 09:00:19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1624959765000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2021-06-30 09:00:19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59520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29701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29700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17467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56804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33814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31051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16073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14244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13913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14106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15229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17203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15932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18093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20210630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16720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16710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20210629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