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NOGA AHARONY</w:t>
      </w:r>
    </w:p>
    <w:p>
      <w:pPr>
        <w:pStyle w:val="Subtitle"/>
        <w:jc w:val="center"/>
      </w:pPr>
      <w:r>
        <w:t>PhD Candidate in Systems Biology, Columbia University</w:t>
      </w:r>
    </w:p>
    <w:p>
      <w:pPr>
        <w:spacing w:after="140"/>
        <w:jc w:val="center"/>
      </w:pPr>
      <w:r>
        <w:rPr>
          <w:color w:val="444444"/>
          <w:sz w:val="16"/>
        </w:rPr>
        <w:t>noga.aharony@columbia.edu | noga.science | github.com/nongiga | scholar.google.com/citations?user=nVw6rmsAAAAJ</w:t>
      </w:r>
    </w:p>
    <w:p>
      <w:pPr>
        <w:spacing w:after="100"/>
      </w:pPr>
      <w:r>
        <w:t>Computational biology PhD candidate developing evaluation frameworks and applications for genome language models. My work asks what these models learn, where they fail, and how they can be used in microbial genomics and biosurveillance, spanning genomic context, pathway-level reasoning, metagenomic binning, and detection across evolutionary distance.</w:t>
      </w:r>
    </w:p>
    <w:p>
      <w:pPr>
        <w:pStyle w:val="Heading1"/>
        <w:keepNext/>
      </w:pPr>
      <w:r>
        <w:t>EDUCATION</w:t>
      </w:r>
    </w:p>
    <w:tbl>
      <w:tblPr>
        <w:tblW w:type="auto" w:w="0"/>
        <w:jc w:val="left"/>
        <w:tblLayout w:type="fixed"/>
        <w:tblLook w:firstColumn="1" w:firstRow="1" w:lastColumn="0" w:lastRow="0" w:noHBand="0" w:noVBand="1" w:val="04A0"/>
        <w:tblBorders>
          <w:top w:val="nil" w:sz="2" w:space="0" w:color="E5E7EB"/>
          <w:left w:val="nil" w:sz="2" w:space="0" w:color="E5E7EB"/>
          <w:bottom w:val="nil" w:sz="2" w:space="0" w:color="E5E7EB"/>
          <w:right w:val="nil" w:sz="2" w:space="0" w:color="E5E7EB"/>
          <w:insideH w:val="single" w:sz="2" w:space="0" w:color="E5E7EB"/>
          <w:insideV w:val="nil" w:sz="2" w:space="0" w:color="E5E7EB"/>
        </w:tblBorders>
      </w:tblPr>
      <w:tblGrid>
        <w:gridCol w:w="5040"/>
        <w:gridCol w:w="5040"/>
      </w:tblGrid>
      <w:tr>
        <w:trPr>
          <w:cantSplit/>
        </w:trPr>
        <w:tc>
          <w:tcPr>
            <w:tcW w:type="dxa" w:w="1555"/>
            <w:vAlign w:val="top"/>
          </w:tcPr>
          <w:p>
            <w:pPr>
              <w:spacing w:after="20"/>
            </w:pPr>
            <w:r>
              <w:rPr>
                <w:b/>
                <w:color w:val="4B5563"/>
                <w:sz w:val="16"/>
              </w:rPr>
              <w:t>In progress</w:t>
            </w:r>
          </w:p>
        </w:tc>
        <w:tc>
          <w:tcPr>
            <w:tcW w:type="dxa" w:w="7805"/>
            <w:vAlign w:val="top"/>
          </w:tcPr>
          <w:p>
            <w:pPr>
              <w:spacing w:after="20"/>
            </w:pPr>
            <w:r>
              <w:rPr>
                <w:b/>
                <w:i w:val="0"/>
                <w:sz w:val="17"/>
              </w:rPr>
              <w:t>Doctor of Philosophy, Systems Biology</w:t>
            </w:r>
            <w:r>
              <w:rPr>
                <w:b w:val="0"/>
                <w:i w:val="0"/>
                <w:sz w:val="17"/>
              </w:rPr>
              <w:t>, Columbia University</w:t>
            </w:r>
            <w:r>
              <w:br/>
            </w:r>
            <w:r>
              <w:rPr>
                <w:b w:val="0"/>
                <w:i w:val="0"/>
                <w:sz w:val="17"/>
              </w:rPr>
              <w:t>Thesis: Systematic Evaluation Frameworks for Foundational Genome Language Models Development</w:t>
            </w:r>
            <w:r>
              <w:br/>
            </w:r>
            <w:r>
              <w:rPr>
                <w:b w:val="0"/>
                <w:i w:val="0"/>
                <w:sz w:val="17"/>
              </w:rPr>
              <w:t>Advisor: Mohammed AlQuraishi, PhD</w:t>
            </w:r>
          </w:p>
        </w:tc>
      </w:tr>
      <w:tr>
        <w:trPr>
          <w:cantSplit/>
        </w:trPr>
        <w:tc>
          <w:tcPr>
            <w:tcW w:type="dxa" w:w="1555"/>
            <w:vAlign w:val="top"/>
          </w:tcPr>
          <w:p>
            <w:pPr>
              <w:spacing w:after="20"/>
            </w:pPr>
            <w:r>
              <w:rPr>
                <w:b/>
                <w:color w:val="4B5563"/>
                <w:sz w:val="16"/>
              </w:rPr>
              <w:t>2021</w:t>
            </w:r>
          </w:p>
        </w:tc>
        <w:tc>
          <w:tcPr>
            <w:tcW w:type="dxa" w:w="7805"/>
            <w:vAlign w:val="top"/>
          </w:tcPr>
          <w:p>
            <w:pPr>
              <w:spacing w:after="20"/>
            </w:pPr>
            <w:r>
              <w:rPr>
                <w:b/>
                <w:i w:val="0"/>
                <w:sz w:val="17"/>
              </w:rPr>
              <w:t>Master of Science, Biology</w:t>
            </w:r>
            <w:r>
              <w:rPr>
                <w:b w:val="0"/>
                <w:i w:val="0"/>
                <w:sz w:val="17"/>
              </w:rPr>
              <w:t>, Technion - Israel Institute of Technology</w:t>
            </w:r>
            <w:r>
              <w:br/>
            </w:r>
            <w:r>
              <w:rPr>
                <w:b w:val="0"/>
                <w:i w:val="0"/>
                <w:sz w:val="17"/>
              </w:rPr>
              <w:t>Thesis: Rapid Gene Content Alteration in Recurring Infections</w:t>
            </w:r>
            <w:r>
              <w:br/>
            </w:r>
            <w:r>
              <w:rPr>
                <w:b w:val="0"/>
                <w:i w:val="0"/>
                <w:sz w:val="17"/>
              </w:rPr>
              <w:t>Advisor: Roy Kishony, PhD</w:t>
            </w:r>
          </w:p>
        </w:tc>
      </w:tr>
      <w:tr>
        <w:trPr>
          <w:cantSplit/>
        </w:trPr>
        <w:tc>
          <w:tcPr>
            <w:tcW w:type="dxa" w:w="1555"/>
            <w:vAlign w:val="top"/>
          </w:tcPr>
          <w:p>
            <w:pPr>
              <w:spacing w:after="20"/>
            </w:pPr>
            <w:r>
              <w:rPr>
                <w:b/>
                <w:color w:val="4B5563"/>
                <w:sz w:val="16"/>
              </w:rPr>
              <w:t>2019</w:t>
            </w:r>
          </w:p>
        </w:tc>
        <w:tc>
          <w:tcPr>
            <w:tcW w:type="dxa" w:w="7805"/>
            <w:vAlign w:val="top"/>
          </w:tcPr>
          <w:p>
            <w:pPr>
              <w:spacing w:after="20"/>
            </w:pPr>
            <w:r>
              <w:rPr>
                <w:b/>
                <w:i w:val="0"/>
                <w:sz w:val="17"/>
              </w:rPr>
              <w:t>Bachelor of Science, Honours Neuroscience</w:t>
            </w:r>
            <w:r>
              <w:rPr>
                <w:b w:val="0"/>
                <w:i w:val="0"/>
                <w:sz w:val="17"/>
              </w:rPr>
              <w:t>, McGill University</w:t>
            </w:r>
            <w:r>
              <w:br/>
            </w:r>
            <w:r>
              <w:rPr>
                <w:b w:val="0"/>
                <w:i w:val="0"/>
                <w:sz w:val="17"/>
              </w:rPr>
              <w:t>First Class Honours; Dean's Honours List; Dean's Multidisciplinary Research List</w:t>
            </w:r>
          </w:p>
        </w:tc>
      </w:tr>
    </w:tbl>
    <w:p>
      <w:pPr>
        <w:pStyle w:val="Heading1"/>
        <w:keepNext/>
      </w:pPr>
      <w:r>
        <w:t>CURRENT FELLOWSHIPS AND AFFILIATIONS</w:t>
      </w:r>
    </w:p>
    <w:tbl>
      <w:tblPr>
        <w:tblW w:type="auto" w:w="0"/>
        <w:jc w:val="left"/>
        <w:tblLayout w:type="fixed"/>
        <w:tblLook w:firstColumn="1" w:firstRow="1" w:lastColumn="0" w:lastRow="0" w:noHBand="0" w:noVBand="1" w:val="04A0"/>
        <w:tblBorders>
          <w:top w:val="nil" w:sz="2" w:space="0" w:color="E5E7EB"/>
          <w:left w:val="nil" w:sz="2" w:space="0" w:color="E5E7EB"/>
          <w:bottom w:val="nil" w:sz="2" w:space="0" w:color="E5E7EB"/>
          <w:right w:val="nil" w:sz="2" w:space="0" w:color="E5E7EB"/>
          <w:insideH w:val="single" w:sz="2" w:space="0" w:color="E5E7EB"/>
          <w:insideV w:val="nil" w:sz="2" w:space="0" w:color="E5E7EB"/>
        </w:tblBorders>
      </w:tblPr>
      <w:tblGrid>
        <w:gridCol w:w="5040"/>
        <w:gridCol w:w="5040"/>
      </w:tblGrid>
      <w:tr>
        <w:trPr>
          <w:cantSplit/>
        </w:trPr>
        <w:tc>
          <w:tcPr>
            <w:tcW w:type="dxa" w:w="1555"/>
            <w:vAlign w:val="top"/>
          </w:tcPr>
          <w:p>
            <w:pPr>
              <w:spacing w:after="20"/>
            </w:pPr>
            <w:r>
              <w:rPr>
                <w:b/>
                <w:color w:val="4B5563"/>
                <w:sz w:val="16"/>
              </w:rPr>
              <w:t>Aug–Oct 2026</w:t>
            </w:r>
          </w:p>
        </w:tc>
        <w:tc>
          <w:tcPr>
            <w:tcW w:type="dxa" w:w="7805"/>
            <w:vAlign w:val="top"/>
          </w:tcPr>
          <w:p>
            <w:pPr>
              <w:spacing w:after="20"/>
            </w:pPr>
            <w:r>
              <w:rPr>
                <w:b/>
                <w:i w:val="0"/>
                <w:sz w:val="17"/>
              </w:rPr>
              <w:t>Pivotal Research Frontier Biodefense Fellow</w:t>
            </w:r>
            <w:r>
              <w:rPr>
                <w:b w:val="0"/>
                <w:i w:val="0"/>
                <w:sz w:val="17"/>
              </w:rPr>
              <w:br/>
              <w:t>Developing reference-free methods to detect engineered DNA in metagenomic sequencing data.</w:t>
            </w:r>
          </w:p>
        </w:tc>
      </w:tr>
      <w:tr>
        <w:trPr>
          <w:cantSplit/>
        </w:trPr>
        <w:tc>
          <w:tcPr>
            <w:tcW w:type="dxa" w:w="1555"/>
            <w:vAlign w:val="top"/>
          </w:tcPr>
          <w:p>
            <w:pPr>
              <w:spacing w:after="20"/>
            </w:pPr>
            <w:r>
              <w:rPr>
                <w:b/>
                <w:color w:val="4B5563"/>
                <w:sz w:val="16"/>
              </w:rPr>
              <w:t>Sep–Dec 2026</w:t>
            </w:r>
          </w:p>
        </w:tc>
        <w:tc>
          <w:tcPr>
            <w:tcW w:type="dxa" w:w="7805"/>
            <w:vAlign w:val="top"/>
          </w:tcPr>
          <w:p>
            <w:pPr>
              <w:spacing w:after="20"/>
            </w:pPr>
            <w:r>
              <w:rPr>
                <w:b/>
                <w:i w:val="0"/>
                <w:sz w:val="17"/>
              </w:rPr>
              <w:t>ML Alignment &amp; Theory Scholars (MATS), Autumn 2026</w:t>
            </w:r>
            <w:r>
              <w:rPr>
                <w:b w:val="0"/>
                <w:i w:val="0"/>
                <w:sz w:val="17"/>
              </w:rPr>
              <w:br/>
              <w:t>Biosecurity stream in the Founding &amp; Field-Building track, mentored by Geoff Ralston and Charlie Petty; working on the Bio Action Plan for catastrophic biological risk in the age of AI.</w:t>
            </w:r>
          </w:p>
        </w:tc>
      </w:tr>
    </w:tbl>
    <w:p>
      <w:pPr>
        <w:pStyle w:val="Heading1"/>
        <w:keepNext/>
      </w:pPr>
      <w:r>
        <w:t>RESEARCH EXPERIENCE</w:t>
      </w:r>
    </w:p>
    <w:tbl>
      <w:tblPr>
        <w:tblW w:type="auto" w:w="0"/>
        <w:jc w:val="left"/>
        <w:tblLayout w:type="fixed"/>
        <w:tblLook w:firstColumn="1" w:firstRow="1" w:lastColumn="0" w:lastRow="0" w:noHBand="0" w:noVBand="1" w:val="04A0"/>
        <w:tblBorders>
          <w:top w:val="nil" w:sz="2" w:space="0" w:color="E5E7EB"/>
          <w:left w:val="nil" w:sz="2" w:space="0" w:color="E5E7EB"/>
          <w:bottom w:val="nil" w:sz="2" w:space="0" w:color="E5E7EB"/>
          <w:right w:val="nil" w:sz="2" w:space="0" w:color="E5E7EB"/>
          <w:insideH w:val="single" w:sz="2" w:space="0" w:color="E5E7EB"/>
          <w:insideV w:val="nil" w:sz="2" w:space="0" w:color="E5E7EB"/>
        </w:tblBorders>
      </w:tblPr>
      <w:tblGrid>
        <w:gridCol w:w="5040"/>
        <w:gridCol w:w="5040"/>
      </w:tblGrid>
      <w:tr>
        <w:trPr>
          <w:cantSplit/>
        </w:trPr>
        <w:tc>
          <w:tcPr>
            <w:tcW w:type="dxa" w:w="1555"/>
            <w:vAlign w:val="top"/>
          </w:tcPr>
          <w:p>
            <w:pPr>
              <w:spacing w:after="20"/>
            </w:pPr>
            <w:r>
              <w:rPr>
                <w:b/>
                <w:color w:val="4B5563"/>
                <w:sz w:val="16"/>
              </w:rPr>
              <w:t>2022-Present</w:t>
            </w:r>
          </w:p>
        </w:tc>
        <w:tc>
          <w:tcPr>
            <w:tcW w:type="dxa" w:w="7805"/>
            <w:vAlign w:val="top"/>
          </w:tcPr>
          <w:p>
            <w:pPr>
              <w:spacing w:after="20"/>
            </w:pPr>
            <w:r>
              <w:rPr>
                <w:b/>
                <w:i w:val="0"/>
                <w:sz w:val="17"/>
              </w:rPr>
              <w:t>Mohammed AlQuraishi Lab</w:t>
            </w:r>
            <w:r>
              <w:rPr>
                <w:b w:val="0"/>
                <w:i w:val="0"/>
                <w:sz w:val="17"/>
              </w:rPr>
              <w:t>, Columbia University, Program of Mathematical Genomics</w:t>
            </w:r>
            <w:r>
              <w:br/>
            </w:r>
            <w:r>
              <w:rPr>
                <w:b w:val="0"/>
                <w:i w:val="0"/>
                <w:sz w:val="17"/>
              </w:rPr>
              <w:t>Developing evaluation frameworks and applications for biological language models, especially genome language models, across genomic context use, pathway-level reasoning, wastewater pathogen monitoring, and protein-protein interaction prediction. Co-developing GeneCtx for dissecting genomic context use and WAVEBench for evaluating genomic foundation models under realistic metagenomic distribution shifts.</w:t>
            </w:r>
          </w:p>
        </w:tc>
      </w:tr>
      <w:tr>
        <w:trPr>
          <w:cantSplit/>
        </w:trPr>
        <w:tc>
          <w:tcPr>
            <w:tcW w:type="dxa" w:w="1555"/>
            <w:vAlign w:val="top"/>
          </w:tcPr>
          <w:p>
            <w:pPr>
              <w:spacing w:after="20"/>
            </w:pPr>
            <w:r>
              <w:rPr>
                <w:b/>
                <w:color w:val="4B5563"/>
                <w:sz w:val="16"/>
              </w:rPr>
              <w:t>2021-2023</w:t>
            </w:r>
          </w:p>
        </w:tc>
        <w:tc>
          <w:tcPr>
            <w:tcW w:type="dxa" w:w="7805"/>
            <w:vAlign w:val="top"/>
          </w:tcPr>
          <w:p>
            <w:pPr>
              <w:spacing w:after="20"/>
            </w:pPr>
            <w:r>
              <w:rPr>
                <w:b/>
                <w:i w:val="0"/>
                <w:sz w:val="17"/>
              </w:rPr>
              <w:t>Tal Korem Lab</w:t>
            </w:r>
            <w:r>
              <w:rPr>
                <w:b w:val="0"/>
                <w:i w:val="0"/>
                <w:sz w:val="17"/>
              </w:rPr>
              <w:t>, Columbia University, Program of Mathematical Genomics</w:t>
            </w:r>
            <w:r>
              <w:br/>
            </w:r>
            <w:r>
              <w:rPr>
                <w:b w:val="0"/>
                <w:i w:val="0"/>
                <w:sz w:val="17"/>
              </w:rPr>
              <w:t>Created a model to detect small RNAs in bacterial genomes.</w:t>
            </w:r>
          </w:p>
        </w:tc>
      </w:tr>
      <w:tr>
        <w:trPr>
          <w:cantSplit/>
        </w:trPr>
        <w:tc>
          <w:tcPr>
            <w:tcW w:type="dxa" w:w="1555"/>
            <w:vAlign w:val="top"/>
          </w:tcPr>
          <w:p>
            <w:pPr>
              <w:spacing w:after="20"/>
            </w:pPr>
            <w:r>
              <w:rPr>
                <w:b/>
                <w:color w:val="4B5563"/>
                <w:sz w:val="16"/>
              </w:rPr>
              <w:t>2022</w:t>
            </w:r>
          </w:p>
        </w:tc>
        <w:tc>
          <w:tcPr>
            <w:tcW w:type="dxa" w:w="7805"/>
            <w:vAlign w:val="top"/>
          </w:tcPr>
          <w:p>
            <w:pPr>
              <w:spacing w:after="20"/>
            </w:pPr>
            <w:r>
              <w:rPr>
                <w:b/>
                <w:i w:val="0"/>
                <w:sz w:val="17"/>
              </w:rPr>
              <w:t>Itsik Pe'er Lab</w:t>
            </w:r>
            <w:r>
              <w:rPr>
                <w:b w:val="0"/>
                <w:i w:val="0"/>
                <w:sz w:val="17"/>
              </w:rPr>
              <w:t>, Columbia University, Department of Computer Science</w:t>
            </w:r>
            <w:r>
              <w:br/>
            </w:r>
            <w:r>
              <w:rPr>
                <w:b w:val="0"/>
                <w:i w:val="0"/>
                <w:sz w:val="17"/>
              </w:rPr>
              <w:t>Developed a neural embedding model in hyperbolic spaces to better predict small proteins.</w:t>
            </w:r>
          </w:p>
        </w:tc>
      </w:tr>
      <w:tr>
        <w:trPr>
          <w:cantSplit/>
        </w:trPr>
        <w:tc>
          <w:tcPr>
            <w:tcW w:type="dxa" w:w="1555"/>
            <w:vAlign w:val="top"/>
          </w:tcPr>
          <w:p>
            <w:pPr>
              <w:spacing w:after="20"/>
            </w:pPr>
            <w:r>
              <w:rPr>
                <w:b/>
                <w:color w:val="4B5563"/>
                <w:sz w:val="16"/>
              </w:rPr>
              <w:t>2019-2021</w:t>
            </w:r>
          </w:p>
        </w:tc>
        <w:tc>
          <w:tcPr>
            <w:tcW w:type="dxa" w:w="7805"/>
            <w:vAlign w:val="top"/>
          </w:tcPr>
          <w:p>
            <w:pPr>
              <w:spacing w:after="20"/>
            </w:pPr>
            <w:r>
              <w:rPr>
                <w:b/>
                <w:i w:val="0"/>
                <w:sz w:val="17"/>
              </w:rPr>
              <w:t>Roy Kishony Lab</w:t>
            </w:r>
            <w:r>
              <w:rPr>
                <w:b w:val="0"/>
                <w:i w:val="0"/>
                <w:sz w:val="17"/>
              </w:rPr>
              <w:t>, Technion - Israel Institute of Technology, Department of Biology</w:t>
            </w:r>
            <w:r>
              <w:br/>
            </w:r>
            <w:r>
              <w:rPr>
                <w:b w:val="0"/>
                <w:i w:val="0"/>
                <w:sz w:val="17"/>
              </w:rPr>
              <w:t>Constructed a computational pipeline to identify mobile genetic elements in recurring infections. Designed experiments unraveling eco-evolutionary dynamics of microbial communities.</w:t>
            </w:r>
          </w:p>
        </w:tc>
      </w:tr>
      <w:tr>
        <w:trPr>
          <w:cantSplit/>
        </w:trPr>
        <w:tc>
          <w:tcPr>
            <w:tcW w:type="dxa" w:w="1555"/>
            <w:vAlign w:val="top"/>
          </w:tcPr>
          <w:p>
            <w:pPr>
              <w:spacing w:after="20"/>
            </w:pPr>
            <w:r>
              <w:rPr>
                <w:b/>
                <w:color w:val="4B5563"/>
                <w:sz w:val="16"/>
              </w:rPr>
              <w:t>2018-2019</w:t>
            </w:r>
          </w:p>
        </w:tc>
        <w:tc>
          <w:tcPr>
            <w:tcW w:type="dxa" w:w="7805"/>
            <w:vAlign w:val="top"/>
          </w:tcPr>
          <w:p>
            <w:pPr>
              <w:spacing w:after="20"/>
            </w:pPr>
            <w:r>
              <w:rPr>
                <w:b/>
                <w:i w:val="0"/>
                <w:sz w:val="17"/>
              </w:rPr>
              <w:t>Amine Kamen Lab</w:t>
            </w:r>
            <w:r>
              <w:rPr>
                <w:b w:val="0"/>
                <w:i w:val="0"/>
                <w:sz w:val="17"/>
              </w:rPr>
              <w:t>, McGill University, Department of Bioengineering</w:t>
            </w:r>
            <w:r>
              <w:br/>
            </w:r>
            <w:r>
              <w:rPr>
                <w:b w:val="0"/>
                <w:i w:val="0"/>
                <w:sz w:val="17"/>
              </w:rPr>
              <w:t>Designed and manufactured adeno-associated viruses carrying Cas9 for improved CAR-T cell engineering.</w:t>
            </w:r>
          </w:p>
        </w:tc>
      </w:tr>
      <w:tr>
        <w:trPr>
          <w:cantSplit/>
        </w:trPr>
        <w:tc>
          <w:tcPr>
            <w:tcW w:type="dxa" w:w="1555"/>
            <w:vAlign w:val="top"/>
          </w:tcPr>
          <w:p>
            <w:pPr>
              <w:spacing w:after="20"/>
            </w:pPr>
            <w:r>
              <w:rPr>
                <w:b/>
                <w:color w:val="4B5563"/>
                <w:sz w:val="16"/>
              </w:rPr>
              <w:t>2018</w:t>
            </w:r>
          </w:p>
        </w:tc>
        <w:tc>
          <w:tcPr>
            <w:tcW w:type="dxa" w:w="7805"/>
            <w:vAlign w:val="top"/>
          </w:tcPr>
          <w:p>
            <w:pPr>
              <w:spacing w:after="20"/>
            </w:pPr>
            <w:r>
              <w:rPr>
                <w:b/>
                <w:i w:val="0"/>
                <w:sz w:val="17"/>
              </w:rPr>
              <w:t>Center for Health Security</w:t>
            </w:r>
            <w:r>
              <w:rPr>
                <w:b w:val="0"/>
                <w:i w:val="0"/>
                <w:sz w:val="17"/>
              </w:rPr>
              <w:t>, Johns Hopkins University, School of Public Health</w:t>
            </w:r>
            <w:r>
              <w:br/>
            </w:r>
            <w:r>
              <w:rPr>
                <w:b w:val="0"/>
                <w:i w:val="0"/>
                <w:sz w:val="17"/>
              </w:rPr>
              <w:t xml:space="preserve">Surveyed DNA synthesis providers' sequence- and customer-screening practices; this work informed the Health Security governance paper </w:t>
            </w:r>
            <w:r>
              <w:rPr>
                <w:b w:val="0"/>
                <w:i/>
                <w:sz w:val="17"/>
              </w:rPr>
              <w:t>Strengthening Security for Gene Synthesis</w:t>
            </w:r>
            <w:r>
              <w:rPr>
                <w:b w:val="0"/>
                <w:i w:val="0"/>
                <w:sz w:val="17"/>
              </w:rPr>
              <w:t>. Studied safety, innovation, and community norms in the DIY biology community.</w:t>
            </w:r>
          </w:p>
        </w:tc>
      </w:tr>
      <w:tr>
        <w:trPr>
          <w:cantSplit/>
        </w:trPr>
        <w:tc>
          <w:tcPr>
            <w:tcW w:type="dxa" w:w="1555"/>
            <w:vAlign w:val="top"/>
          </w:tcPr>
          <w:p>
            <w:pPr>
              <w:spacing w:after="20"/>
            </w:pPr>
            <w:r>
              <w:rPr>
                <w:b/>
                <w:color w:val="4B5563"/>
                <w:sz w:val="16"/>
              </w:rPr>
              <w:t>2017-2018</w:t>
            </w:r>
          </w:p>
        </w:tc>
        <w:tc>
          <w:tcPr>
            <w:tcW w:type="dxa" w:w="7805"/>
            <w:vAlign w:val="top"/>
          </w:tcPr>
          <w:p>
            <w:pPr>
              <w:spacing w:after="20"/>
            </w:pPr>
            <w:r>
              <w:rPr>
                <w:b/>
                <w:i w:val="0"/>
                <w:sz w:val="17"/>
              </w:rPr>
              <w:t>Jonathan Kimmelman Lab</w:t>
            </w:r>
            <w:r>
              <w:rPr>
                <w:b w:val="0"/>
                <w:i w:val="0"/>
                <w:sz w:val="17"/>
              </w:rPr>
              <w:t>, McGill University, Biomedical Ethics Unit</w:t>
            </w:r>
            <w:r>
              <w:br/>
            </w:r>
            <w:r>
              <w:rPr>
                <w:b w:val="0"/>
                <w:i w:val="0"/>
                <w:sz w:val="17"/>
              </w:rPr>
              <w:t>Applied machine learning to analyze clinical trial design factors that influence forecasts of outcomes; contributed to a meta-analysis.</w:t>
            </w:r>
          </w:p>
        </w:tc>
      </w:tr>
      <w:tr>
        <w:trPr>
          <w:cantSplit/>
        </w:trPr>
        <w:tc>
          <w:tcPr>
            <w:tcW w:type="dxa" w:w="1555"/>
            <w:vAlign w:val="top"/>
          </w:tcPr>
          <w:p>
            <w:pPr>
              <w:spacing w:after="20"/>
            </w:pPr>
            <w:r>
              <w:rPr>
                <w:b/>
                <w:color w:val="4B5563"/>
                <w:sz w:val="16"/>
              </w:rPr>
              <w:t>2017</w:t>
            </w:r>
          </w:p>
        </w:tc>
        <w:tc>
          <w:tcPr>
            <w:tcW w:type="dxa" w:w="7805"/>
            <w:vAlign w:val="top"/>
          </w:tcPr>
          <w:p>
            <w:pPr>
              <w:spacing w:after="20"/>
            </w:pPr>
            <w:r>
              <w:rPr>
                <w:b/>
                <w:i w:val="0"/>
                <w:sz w:val="17"/>
              </w:rPr>
              <w:t>Edward Ruthazer Lab</w:t>
            </w:r>
            <w:r>
              <w:rPr>
                <w:b w:val="0"/>
                <w:i w:val="0"/>
                <w:sz w:val="17"/>
              </w:rPr>
              <w:t>, McGill University, Montreal Neurological Institute</w:t>
            </w:r>
            <w:r>
              <w:br/>
            </w:r>
            <w:r>
              <w:rPr>
                <w:b w:val="0"/>
                <w:i w:val="0"/>
                <w:sz w:val="17"/>
              </w:rPr>
              <w:t>Electroporated and imaged tadpoles to study structural plasticity in the developing visual system.</w:t>
            </w:r>
          </w:p>
        </w:tc>
      </w:tr>
      <w:tr>
        <w:trPr>
          <w:cantSplit/>
        </w:trPr>
        <w:tc>
          <w:tcPr>
            <w:tcW w:type="dxa" w:w="1555"/>
            <w:vAlign w:val="top"/>
          </w:tcPr>
          <w:p>
            <w:pPr>
              <w:spacing w:after="20"/>
            </w:pPr>
            <w:r>
              <w:rPr>
                <w:b/>
                <w:color w:val="4B5563"/>
                <w:sz w:val="16"/>
              </w:rPr>
              <w:t>2016-2017</w:t>
            </w:r>
          </w:p>
        </w:tc>
        <w:tc>
          <w:tcPr>
            <w:tcW w:type="dxa" w:w="7805"/>
            <w:vAlign w:val="top"/>
          </w:tcPr>
          <w:p>
            <w:pPr>
              <w:spacing w:after="20"/>
            </w:pPr>
            <w:r>
              <w:rPr>
                <w:b/>
                <w:i w:val="0"/>
                <w:sz w:val="17"/>
              </w:rPr>
              <w:t>Rafael Najmanovich Lab</w:t>
            </w:r>
            <w:r>
              <w:rPr>
                <w:b w:val="0"/>
                <w:i w:val="0"/>
                <w:sz w:val="17"/>
              </w:rPr>
              <w:t>, University of Montreal, Department of Pharmacology and Physiology</w:t>
            </w:r>
            <w:r>
              <w:br/>
            </w:r>
            <w:r>
              <w:rPr>
                <w:b w:val="0"/>
                <w:i w:val="0"/>
                <w:sz w:val="17"/>
              </w:rPr>
              <w:t xml:space="preserve">Developed software characterizing protein interfaces based on surrounding force fields. Modeled biophysical features of </w:t>
            </w:r>
            <w:r>
              <w:rPr>
                <w:b w:val="0"/>
                <w:i/>
                <w:sz w:val="17"/>
              </w:rPr>
              <w:t>C. difficile</w:t>
            </w:r>
            <w:r>
              <w:rPr>
                <w:b w:val="0"/>
                <w:i w:val="0"/>
                <w:sz w:val="17"/>
              </w:rPr>
              <w:t xml:space="preserve"> germination protease to identify candidate inhibiting ligands.</w:t>
            </w:r>
          </w:p>
        </w:tc>
      </w:tr>
    </w:tbl>
    <w:p>
      <w:pPr>
        <w:pStyle w:val="Heading1"/>
        <w:keepNext/>
      </w:pPr>
      <w:r>
        <w:t>PUBLICATIONS AND MANUSCRIPTS</w:t>
      </w:r>
    </w:p>
    <w:tbl>
      <w:tblPr>
        <w:tblW w:type="auto" w:w="0"/>
        <w:jc w:val="left"/>
        <w:tblLayout w:type="fixed"/>
        <w:tblLook w:firstColumn="1" w:firstRow="1" w:lastColumn="0" w:lastRow="0" w:noHBand="0" w:noVBand="1" w:val="04A0"/>
        <w:tblBorders>
          <w:top w:val="nil" w:sz="2" w:space="0" w:color="E5E7EB"/>
          <w:left w:val="nil" w:sz="2" w:space="0" w:color="E5E7EB"/>
          <w:bottom w:val="nil" w:sz="2" w:space="0" w:color="E5E7EB"/>
          <w:right w:val="nil" w:sz="2" w:space="0" w:color="E5E7EB"/>
          <w:insideH w:val="single" w:sz="2" w:space="0" w:color="E5E7EB"/>
          <w:insideV w:val="nil" w:sz="2" w:space="0" w:color="E5E7EB"/>
        </w:tblBorders>
      </w:tblPr>
      <w:tblGrid>
        <w:gridCol w:w="5040"/>
        <w:gridCol w:w="5040"/>
      </w:tblGrid>
      <w:tr>
        <w:trPr>
          <w:cantSplit/>
        </w:trPr>
        <w:tc>
          <w:tcPr>
            <w:tcW w:type="dxa" w:w="1555"/>
            <w:vAlign w:val="top"/>
          </w:tcPr>
          <w:p>
            <w:pPr>
              <w:spacing w:after="20"/>
            </w:pPr>
            <w:r>
              <w:rPr>
                <w:b/>
                <w:color w:val="4B5563"/>
                <w:sz w:val="16"/>
              </w:rPr>
              <w:t>2026</w:t>
            </w:r>
          </w:p>
        </w:tc>
        <w:tc>
          <w:tcPr>
            <w:tcW w:type="dxa" w:w="7805"/>
            <w:vAlign w:val="top"/>
          </w:tcPr>
          <w:p>
            <w:pPr>
              <w:spacing w:after="20"/>
            </w:pPr>
            <w:r>
              <w:rPr>
                <w:b w:val="0"/>
                <w:i w:val="0"/>
                <w:sz w:val="17"/>
              </w:rPr>
              <w:t xml:space="preserve">Le Lievre T*, </w:t>
            </w:r>
            <w:r>
              <w:rPr>
                <w:b/>
                <w:i w:val="0"/>
                <w:sz w:val="17"/>
              </w:rPr>
              <w:t>Aharony N*</w:t>
            </w:r>
            <w:r>
              <w:rPr>
                <w:b w:val="0"/>
                <w:i w:val="0"/>
                <w:sz w:val="17"/>
              </w:rPr>
              <w:t>, Wang S, Adams E, AlQuraishi M. GeneCtx: An Evaluation Framework for Dissecting Genomic Context Use in Genome Language Models. Submitted to NeurIPS 2026 Evaluations &amp; Datasets track.</w:t>
            </w:r>
          </w:p>
        </w:tc>
      </w:tr>
      <w:tr>
        <w:trPr>
          <w:cantSplit/>
        </w:trPr>
        <w:tc>
          <w:tcPr>
            <w:tcW w:type="dxa" w:w="1555"/>
            <w:vAlign w:val="top"/>
          </w:tcPr>
          <w:p>
            <w:pPr>
              <w:spacing w:after="20"/>
            </w:pPr>
            <w:r>
              <w:rPr>
                <w:b/>
                <w:color w:val="4B5563"/>
                <w:sz w:val="16"/>
              </w:rPr>
              <w:t>2023</w:t>
            </w:r>
          </w:p>
        </w:tc>
        <w:tc>
          <w:tcPr>
            <w:tcW w:type="dxa" w:w="7805"/>
            <w:vAlign w:val="top"/>
          </w:tcPr>
          <w:p>
            <w:pPr>
              <w:spacing w:after="20"/>
            </w:pPr>
            <w:r>
              <w:rPr>
                <w:b w:val="0"/>
                <w:i w:val="0"/>
                <w:sz w:val="17"/>
              </w:rPr>
              <w:t xml:space="preserve">Liang C, Wagstaff J, </w:t>
            </w:r>
            <w:r>
              <w:rPr>
                <w:b/>
                <w:i w:val="0"/>
                <w:sz w:val="17"/>
              </w:rPr>
              <w:t>Aharony N</w:t>
            </w:r>
            <w:r>
              <w:rPr>
                <w:b w:val="0"/>
                <w:i w:val="0"/>
                <w:sz w:val="17"/>
              </w:rPr>
              <w:t xml:space="preserve">, Schmit V, Manheim D. Managing the Transition to Widespread Metagenomic Monitoring: Policy Considerations for Future Biosurveillance. </w:t>
            </w:r>
            <w:r>
              <w:rPr>
                <w:b w:val="0"/>
                <w:i/>
                <w:sz w:val="17"/>
              </w:rPr>
              <w:t>Health Security</w:t>
            </w:r>
            <w:r>
              <w:rPr>
                <w:b w:val="0"/>
                <w:i w:val="0"/>
                <w:sz w:val="17"/>
              </w:rPr>
              <w:t>, 21(1), 34-45.</w:t>
            </w:r>
          </w:p>
        </w:tc>
      </w:tr>
      <w:tr>
        <w:trPr>
          <w:cantSplit/>
        </w:trPr>
        <w:tc>
          <w:tcPr>
            <w:tcW w:type="dxa" w:w="1555"/>
            <w:vAlign w:val="top"/>
          </w:tcPr>
          <w:p>
            <w:pPr>
              <w:spacing w:after="20"/>
            </w:pPr>
            <w:r>
              <w:rPr>
                <w:b/>
                <w:color w:val="4B5563"/>
                <w:sz w:val="16"/>
              </w:rPr>
              <w:t>2022</w:t>
            </w:r>
          </w:p>
        </w:tc>
        <w:tc>
          <w:tcPr>
            <w:tcW w:type="dxa" w:w="7805"/>
            <w:vAlign w:val="top"/>
          </w:tcPr>
          <w:p>
            <w:pPr>
              <w:spacing w:after="20"/>
            </w:pPr>
            <w:r>
              <w:rPr>
                <w:b w:val="0"/>
                <w:i w:val="0"/>
                <w:sz w:val="17"/>
              </w:rPr>
              <w:t xml:space="preserve">Myers A, Utpala S, Talbar S, Sanborn S, Shewmake C, Donnat C, Mathe J, Lupo U, Sonthalia R, Cui X, Szwagier T, Pignet A, Bergsson A, Hauberg S, Nielson D, Sommer S, Klindt D, Hermansen E, Vaupel M, Dunn B, Xiong J, </w:t>
            </w:r>
            <w:r>
              <w:rPr>
                <w:b/>
                <w:i w:val="0"/>
                <w:sz w:val="17"/>
              </w:rPr>
              <w:t>Aharony N</w:t>
            </w:r>
            <w:r>
              <w:rPr>
                <w:b w:val="0"/>
                <w:i w:val="0"/>
                <w:sz w:val="17"/>
              </w:rPr>
              <w:t>, Pe'er I, Ambellan F, Hanik M, Nava-Yazdani E, von Tycowicz C, Miolane N. ICLR 2022 Challenge for Computational Geometry &amp; Topology: Design and Results. arXiv.</w:t>
            </w:r>
          </w:p>
        </w:tc>
      </w:tr>
      <w:tr>
        <w:trPr>
          <w:cantSplit/>
        </w:trPr>
        <w:tc>
          <w:tcPr>
            <w:tcW w:type="dxa" w:w="1555"/>
            <w:vAlign w:val="top"/>
          </w:tcPr>
          <w:p>
            <w:pPr>
              <w:spacing w:after="20"/>
            </w:pPr>
            <w:r>
              <w:rPr>
                <w:b/>
                <w:color w:val="4B5563"/>
                <w:sz w:val="16"/>
              </w:rPr>
              <w:t>2021</w:t>
            </w:r>
          </w:p>
        </w:tc>
        <w:tc>
          <w:tcPr>
            <w:tcW w:type="dxa" w:w="7805"/>
            <w:vAlign w:val="top"/>
          </w:tcPr>
          <w:p>
            <w:pPr>
              <w:spacing w:after="20"/>
            </w:pPr>
            <w:r>
              <w:rPr>
                <w:b w:val="0"/>
                <w:i w:val="0"/>
                <w:sz w:val="17"/>
              </w:rPr>
              <w:t xml:space="preserve">Milman O*, Yelin I*, </w:t>
            </w:r>
            <w:r>
              <w:rPr>
                <w:b/>
                <w:i w:val="0"/>
                <w:sz w:val="17"/>
              </w:rPr>
              <w:t>Aharony N</w:t>
            </w:r>
            <w:r>
              <w:rPr>
                <w:b w:val="0"/>
                <w:i w:val="0"/>
                <w:sz w:val="17"/>
              </w:rPr>
              <w:t xml:space="preserve">, Katz R, Herzel E, Ben-Tov A, Kuint J, Gazit S, Chodick G, Patalon T, Kishony R. Community-level evidence for SARS-CoV-2 vaccine protection of unvaccinated individuals. </w:t>
            </w:r>
            <w:r>
              <w:rPr>
                <w:b w:val="0"/>
                <w:i/>
                <w:sz w:val="17"/>
              </w:rPr>
              <w:t>Nature Medicine</w:t>
            </w:r>
            <w:r>
              <w:rPr>
                <w:b w:val="0"/>
                <w:i w:val="0"/>
                <w:sz w:val="17"/>
              </w:rPr>
              <w:t>.</w:t>
            </w:r>
          </w:p>
        </w:tc>
      </w:tr>
      <w:tr>
        <w:trPr>
          <w:cantSplit/>
        </w:trPr>
        <w:tc>
          <w:tcPr>
            <w:tcW w:type="dxa" w:w="1555"/>
            <w:vAlign w:val="top"/>
          </w:tcPr>
          <w:p>
            <w:pPr>
              <w:spacing w:after="20"/>
            </w:pPr>
            <w:r>
              <w:rPr>
                <w:b/>
                <w:color w:val="4B5563"/>
                <w:sz w:val="16"/>
              </w:rPr>
              <w:t>2020</w:t>
            </w:r>
          </w:p>
        </w:tc>
        <w:tc>
          <w:tcPr>
            <w:tcW w:type="dxa" w:w="7805"/>
            <w:vAlign w:val="top"/>
          </w:tcPr>
          <w:p>
            <w:pPr>
              <w:spacing w:after="20"/>
            </w:pPr>
            <w:r>
              <w:rPr>
                <w:b w:val="0"/>
                <w:i w:val="0"/>
                <w:sz w:val="17"/>
              </w:rPr>
              <w:t xml:space="preserve">Yelin I*, </w:t>
            </w:r>
            <w:r>
              <w:rPr>
                <w:b/>
                <w:i w:val="0"/>
                <w:sz w:val="17"/>
              </w:rPr>
              <w:t>Aharony N*</w:t>
            </w:r>
            <w:r>
              <w:rPr>
                <w:b w:val="0"/>
                <w:i w:val="0"/>
                <w:sz w:val="17"/>
              </w:rPr>
              <w:t xml:space="preserve">, Shaer-Tamar E*, Argoetti A*, Messer E, Berenbaum D, Shafran E, Kuzil A, Gandali N, Hashimshony T, Mandel-Gutfreund Y, Halberthal M, Geffen Y, Szwarcwort-Cohen M, Kishony R. Evaluation of COVID-19 RT-qPCR test in multi-sample pools. </w:t>
            </w:r>
            <w:r>
              <w:rPr>
                <w:b w:val="0"/>
                <w:i/>
                <w:sz w:val="17"/>
              </w:rPr>
              <w:t>Clinical Infectious Diseases</w:t>
            </w:r>
            <w:r>
              <w:rPr>
                <w:b w:val="0"/>
                <w:i w:val="0"/>
                <w:sz w:val="17"/>
              </w:rPr>
              <w:t>.</w:t>
            </w:r>
          </w:p>
        </w:tc>
      </w:tr>
      <w:tr>
        <w:trPr>
          <w:cantSplit/>
        </w:trPr>
        <w:tc>
          <w:tcPr>
            <w:tcW w:type="dxa" w:w="1555"/>
            <w:vAlign w:val="top"/>
          </w:tcPr>
          <w:p>
            <w:pPr>
              <w:spacing w:after="20"/>
            </w:pPr>
            <w:r>
              <w:rPr>
                <w:b/>
                <w:color w:val="4B5563"/>
                <w:sz w:val="16"/>
              </w:rPr>
              <w:t>2019</w:t>
            </w:r>
          </w:p>
        </w:tc>
        <w:tc>
          <w:tcPr>
            <w:tcW w:type="dxa" w:w="7805"/>
            <w:vAlign w:val="top"/>
          </w:tcPr>
          <w:p>
            <w:pPr>
              <w:spacing w:after="20"/>
            </w:pPr>
            <w:r>
              <w:rPr>
                <w:b w:val="0"/>
                <w:i w:val="0"/>
                <w:sz w:val="17"/>
              </w:rPr>
              <w:t xml:space="preserve">Moco PD, </w:t>
            </w:r>
            <w:r>
              <w:rPr>
                <w:b/>
                <w:i w:val="0"/>
                <w:sz w:val="17"/>
              </w:rPr>
              <w:t>Aharony N</w:t>
            </w:r>
            <w:r>
              <w:rPr>
                <w:b w:val="0"/>
                <w:i w:val="0"/>
                <w:sz w:val="17"/>
              </w:rPr>
              <w:t xml:space="preserve">, Kamen A. Adeno-Associated Viral Vectors for Homology-Directed Generation of CAR-T cells. </w:t>
            </w:r>
            <w:r>
              <w:rPr>
                <w:b w:val="0"/>
                <w:i/>
                <w:sz w:val="17"/>
              </w:rPr>
              <w:t>Biotechnology Journal</w:t>
            </w:r>
            <w:r>
              <w:rPr>
                <w:b w:val="0"/>
                <w:i w:val="0"/>
                <w:sz w:val="17"/>
              </w:rPr>
              <w:t>.</w:t>
            </w:r>
          </w:p>
        </w:tc>
      </w:tr>
    </w:tbl>
    <w:p>
      <w:pPr/>
      <w:r>
        <w:rPr>
          <w:color w:val="555555"/>
          <w:sz w:val="16"/>
        </w:rPr>
        <w:t>* Equal contribution.</w:t>
      </w:r>
    </w:p>
    <w:p>
      <w:pPr>
        <w:pStyle w:val="Heading1"/>
        <w:keepNext/>
      </w:pPr>
      <w:r>
        <w:t>POSTERS AND TALKS</w:t>
      </w:r>
    </w:p>
    <w:tbl>
      <w:tr>
        <w:trPr>
          <w:cantSplit/>
        </w:trPr>
        <w:tc>
          <w:tcPr>
            <w:tcW w:type="dxa" w:w="1555"/>
            <w:vAlign w:val="top"/>
          </w:tcPr>
          <w:p>
            <w:pPr>
              <w:spacing w:after="20"/>
            </w:pPr>
            <w:r>
              <w:rPr>
                <w:b/>
                <w:color w:val="4B5563"/>
                <w:sz w:val="16"/>
              </w:rPr>
              <w:t>2026</w:t>
            </w:r>
          </w:p>
        </w:tc>
        <w:tc>
          <w:tcPr>
            <w:tcW w:type="dxa" w:w="7805"/>
            <w:vAlign w:val="top"/>
          </w:tcPr>
          <w:p>
            <w:pPr>
              <w:spacing w:after="20"/>
            </w:pPr>
            <w:r>
              <w:rPr>
                <w:b/>
                <w:i w:val="0"/>
                <w:sz w:val="17"/>
              </w:rPr>
              <w:t>Aharony N</w:t>
            </w:r>
            <w:r>
              <w:rPr>
                <w:b w:val="0"/>
                <w:i w:val="0"/>
                <w:sz w:val="17"/>
              </w:rPr>
              <w:t>, AlQuraishi M. Evaluating Genome Language Model Embeddings as Transferable Priors for Metagenomic Binning. Accepted poster, CIBB 2026. Rome, Italy, Sep 2–4, 2026.</w:t>
            </w:r>
          </w:p>
        </w:tc>
      </w:tr>
      <w:tr>
        <w:trPr>
          <w:cantSplit/>
        </w:trPr>
        <w:tc>
          <w:tcPr>
            <w:tcW w:type="dxa" w:w="1555"/>
            <w:vAlign w:val="top"/>
          </w:tcPr>
          <w:p>
            <w:pPr>
              <w:spacing w:after="20"/>
            </w:pPr>
            <w:r>
              <w:rPr>
                <w:b/>
                <w:color w:val="4B5563"/>
                <w:sz w:val="16"/>
              </w:rPr>
              <w:t>2026</w:t>
            </w:r>
          </w:p>
        </w:tc>
        <w:tc>
          <w:tcPr>
            <w:tcW w:type="dxa" w:w="7805"/>
            <w:vAlign w:val="top"/>
          </w:tcPr>
          <w:p>
            <w:pPr>
              <w:spacing w:after="20"/>
            </w:pPr>
            <w:r>
              <w:rPr>
                <w:b/>
                <w:i w:val="0"/>
                <w:sz w:val="17"/>
              </w:rPr>
              <w:t>Aharony N</w:t>
            </w:r>
            <w:r>
              <w:rPr>
                <w:b w:val="0"/>
                <w:i w:val="0"/>
                <w:sz w:val="17"/>
              </w:rPr>
              <w:t>, Wang S, Neiswanger W. Benchmarking Genome Language Models for Novel Virus Detection in Wastewater Across Evolutionary Distance. Selected oral presentation, ASM BIG 2026. Washington, DC, Oct 11–14, 2026; talk Oct 13.</w:t>
            </w:r>
          </w:p>
        </w:tc>
      </w:tr>
      <w:tblPr>
        <w:tblW w:type="auto" w:w="0"/>
        <w:jc w:val="left"/>
        <w:tblLayout w:type="fixed"/>
        <w:tblLook w:firstColumn="1" w:firstRow="1" w:lastColumn="0" w:lastRow="0" w:noHBand="0" w:noVBand="1" w:val="04A0"/>
        <w:tblBorders>
          <w:top w:val="nil" w:sz="2" w:space="0" w:color="E5E7EB"/>
          <w:left w:val="nil" w:sz="2" w:space="0" w:color="E5E7EB"/>
          <w:bottom w:val="nil" w:sz="2" w:space="0" w:color="E5E7EB"/>
          <w:right w:val="nil" w:sz="2" w:space="0" w:color="E5E7EB"/>
          <w:insideH w:val="single" w:sz="2" w:space="0" w:color="E5E7EB"/>
          <w:insideV w:val="nil" w:sz="2" w:space="0" w:color="E5E7EB"/>
        </w:tblBorders>
      </w:tblPr>
      <w:tblGrid>
        <w:gridCol w:w="5040"/>
        <w:gridCol w:w="5040"/>
      </w:tblGrid>
      <w:tr>
        <w:trPr>
          <w:cantSplit/>
        </w:trPr>
        <w:tc>
          <w:tcPr>
            <w:tcW w:type="dxa" w:w="1555"/>
            <w:vAlign w:val="top"/>
          </w:tcPr>
          <w:p>
            <w:pPr>
              <w:spacing w:after="20"/>
            </w:pPr>
            <w:r>
              <w:rPr>
                <w:b/>
                <w:color w:val="4B5563"/>
                <w:sz w:val="16"/>
              </w:rPr>
              <w:t>2026</w:t>
            </w:r>
          </w:p>
        </w:tc>
        <w:tc>
          <w:tcPr>
            <w:tcW w:type="dxa" w:w="7805"/>
            <w:vAlign w:val="top"/>
          </w:tcPr>
          <w:p>
            <w:pPr>
              <w:spacing w:after="20"/>
            </w:pPr>
            <w:r>
              <w:rPr>
                <w:b/>
                <w:i w:val="0"/>
                <w:sz w:val="17"/>
              </w:rPr>
              <w:t xml:space="preserve">Le Lievre T*, </w:t>
            </w:r>
            <w:r>
              <w:rPr>
                <w:b w:val="0"/>
                <w:i w:val="0"/>
                <w:sz w:val="17"/>
              </w:rPr>
              <w:t>Aharony N*</w:t>
            </w:r>
            <w:r>
              <w:rPr>
                <w:b/>
                <w:i w:val="0"/>
                <w:sz w:val="17"/>
              </w:rPr>
              <w:t>, AlQuraishi M. PRIME-Bench: A Benchmark for Pathway-Level Reasoning in Genome Language Models. Poster, ISMB 2026.</w:t>
            </w:r>
          </w:p>
        </w:tc>
      </w:tr>
      <w:tr>
        <w:trPr>
          <w:cantSplit/>
        </w:trPr>
        <w:tc>
          <w:tcPr>
            <w:tcW w:type="dxa" w:w="1555"/>
            <w:vAlign w:val="top"/>
          </w:tcPr>
          <w:p>
            <w:pPr>
              <w:spacing w:after="20"/>
            </w:pPr>
            <w:r>
              <w:rPr>
                <w:b/>
                <w:color w:val="4B5563"/>
                <w:sz w:val="16"/>
              </w:rPr>
              <w:t>2026</w:t>
            </w:r>
          </w:p>
        </w:tc>
        <w:tc>
          <w:tcPr>
            <w:tcW w:type="dxa" w:w="7805"/>
            <w:vAlign w:val="top"/>
          </w:tcPr>
          <w:p>
            <w:pPr>
              <w:spacing w:after="20"/>
            </w:pPr>
            <w:r>
              <w:rPr>
                <w:b/>
                <w:i w:val="0"/>
                <w:sz w:val="17"/>
              </w:rPr>
              <w:t>Aharony N</w:t>
            </w:r>
            <w:r>
              <w:rPr>
                <w:b w:val="0"/>
                <w:i w:val="0"/>
                <w:sz w:val="17"/>
              </w:rPr>
              <w:t>. Who Holds the Reins in Agent-Assisted Systems Biology? Accepted poster and extended abstract, NE AI Agents Day 2026.</w:t>
            </w:r>
          </w:p>
        </w:tc>
      </w:tr>
      <w:tr>
        <w:trPr>
          <w:cantSplit/>
        </w:trPr>
        <w:tc>
          <w:tcPr>
            <w:tcW w:type="dxa" w:w="1555"/>
            <w:vAlign w:val="top"/>
          </w:tcPr>
          <w:p>
            <w:pPr>
              <w:spacing w:after="20"/>
            </w:pPr>
            <w:r>
              <w:rPr>
                <w:b/>
                <w:color w:val="4B5563"/>
                <w:sz w:val="16"/>
              </w:rPr>
              <w:t>2026</w:t>
            </w:r>
          </w:p>
        </w:tc>
        <w:tc>
          <w:tcPr>
            <w:tcW w:type="dxa" w:w="7805"/>
            <w:vAlign w:val="top"/>
          </w:tcPr>
          <w:p>
            <w:pPr>
              <w:spacing w:after="20"/>
            </w:pPr>
            <w:r>
              <w:rPr>
                <w:b/>
                <w:i w:val="0"/>
                <w:sz w:val="17"/>
              </w:rPr>
              <w:t>Aharony N</w:t>
            </w:r>
            <w:r>
              <w:rPr>
                <w:b w:val="0"/>
                <w:i w:val="0"/>
                <w:sz w:val="17"/>
              </w:rPr>
              <w:t>, AlQuraishi M. Evaluating Genome Language Models for Metagenomic Binning. Accepted poster, Pioneering Israeli Science Conference / ScienceAbroad 2026.</w:t>
            </w:r>
          </w:p>
        </w:tc>
      </w:tr>
      <w:tr>
        <w:trPr>
          <w:cantSplit/>
        </w:trPr>
        <w:tc>
          <w:tcPr>
            <w:tcW w:type="dxa" w:w="1555"/>
            <w:vAlign w:val="top"/>
          </w:tcPr>
          <w:p>
            <w:pPr>
              <w:spacing w:after="20"/>
            </w:pPr>
            <w:r>
              <w:rPr>
                <w:b/>
                <w:color w:val="4B5563"/>
                <w:sz w:val="16"/>
              </w:rPr>
              <w:t>2026</w:t>
            </w:r>
          </w:p>
        </w:tc>
        <w:tc>
          <w:tcPr>
            <w:tcW w:type="dxa" w:w="7805"/>
            <w:vAlign w:val="top"/>
          </w:tcPr>
          <w:p>
            <w:pPr>
              <w:spacing w:after="20"/>
            </w:pPr>
            <w:r>
              <w:rPr>
                <w:b/>
                <w:i w:val="0"/>
                <w:sz w:val="17"/>
              </w:rPr>
              <w:t>Aharony N</w:t>
            </w:r>
            <w:r>
              <w:rPr>
                <w:b w:val="0"/>
                <w:i w:val="0"/>
                <w:sz w:val="17"/>
              </w:rPr>
              <w:t>. Rapid Talks and Panel: 2024 Innovative Tools &amp; Solutions Award Recipients. Flash talk and panelist, PRI.</w:t>
            </w:r>
          </w:p>
        </w:tc>
      </w:tr>
      <w:tr>
        <w:trPr>
          <w:cantSplit/>
        </w:trPr>
        <w:tc>
          <w:tcPr>
            <w:tcW w:type="dxa" w:w="1555"/>
            <w:vAlign w:val="top"/>
          </w:tcPr>
          <w:p>
            <w:pPr>
              <w:spacing w:after="20"/>
            </w:pPr>
            <w:r>
              <w:rPr>
                <w:b/>
                <w:color w:val="4B5563"/>
                <w:sz w:val="16"/>
              </w:rPr>
              <w:t>2025</w:t>
            </w:r>
          </w:p>
        </w:tc>
        <w:tc>
          <w:tcPr>
            <w:tcW w:type="dxa" w:w="7805"/>
            <w:vAlign w:val="top"/>
          </w:tcPr>
          <w:p>
            <w:pPr>
              <w:spacing w:after="20"/>
            </w:pPr>
            <w:r>
              <w:rPr>
                <w:b/>
                <w:i w:val="0"/>
                <w:sz w:val="17"/>
              </w:rPr>
              <w:t>Aharony N</w:t>
            </w:r>
            <w:r>
              <w:rPr>
                <w:b w:val="0"/>
                <w:i w:val="0"/>
                <w:sz w:val="17"/>
              </w:rPr>
              <w:t>. Genome Language Models Reading the Future of Pandemics in Wastewater. Flash talk, PRI Innovation Showcase.</w:t>
            </w:r>
          </w:p>
        </w:tc>
      </w:tr>
      <w:tr>
        <w:trPr>
          <w:cantSplit/>
        </w:trPr>
        <w:tc>
          <w:tcPr>
            <w:tcW w:type="dxa" w:w="1555"/>
            <w:vAlign w:val="top"/>
          </w:tcPr>
          <w:p>
            <w:pPr>
              <w:spacing w:after="20"/>
            </w:pPr>
            <w:r>
              <w:rPr>
                <w:b/>
                <w:color w:val="4B5563"/>
                <w:sz w:val="16"/>
              </w:rPr>
              <w:t>2022</w:t>
            </w:r>
          </w:p>
        </w:tc>
        <w:tc>
          <w:tcPr>
            <w:tcW w:type="dxa" w:w="7805"/>
            <w:vAlign w:val="top"/>
          </w:tcPr>
          <w:p>
            <w:pPr>
              <w:spacing w:after="20"/>
            </w:pPr>
            <w:r>
              <w:rPr>
                <w:b/>
                <w:i w:val="0"/>
                <w:sz w:val="17"/>
              </w:rPr>
              <w:t>Aharony N</w:t>
            </w:r>
            <w:r>
              <w:rPr>
                <w:b w:val="0"/>
                <w:i w:val="0"/>
                <w:sz w:val="17"/>
              </w:rPr>
              <w:t>. Computational Methods for Pandemic Pathogen Detection. Flash talk, Singer Symposium.</w:t>
            </w:r>
          </w:p>
        </w:tc>
      </w:tr>
      <w:tr>
        <w:trPr>
          <w:cantSplit/>
        </w:trPr>
        <w:tc>
          <w:tcPr>
            <w:tcW w:type="dxa" w:w="1555"/>
            <w:vAlign w:val="top"/>
          </w:tcPr>
          <w:p>
            <w:pPr>
              <w:spacing w:after="20"/>
            </w:pPr>
            <w:r>
              <w:rPr>
                <w:b/>
                <w:color w:val="4B5563"/>
                <w:sz w:val="16"/>
              </w:rPr>
              <w:t>2021</w:t>
            </w:r>
          </w:p>
        </w:tc>
        <w:tc>
          <w:tcPr>
            <w:tcW w:type="dxa" w:w="7805"/>
            <w:vAlign w:val="top"/>
          </w:tcPr>
          <w:p>
            <w:pPr>
              <w:spacing w:after="20"/>
            </w:pPr>
            <w:r>
              <w:rPr>
                <w:b/>
                <w:i w:val="0"/>
                <w:sz w:val="17"/>
              </w:rPr>
              <w:t>Aharony N</w:t>
            </w:r>
            <w:r>
              <w:rPr>
                <w:b w:val="0"/>
                <w:i w:val="0"/>
                <w:sz w:val="17"/>
              </w:rPr>
              <w:t>, Kishony R. Rapid Alteration in Genetic Content Upon Recurring Infection. Poster, EMBL Symposium: New Approaches and Concepts in Microbiology.</w:t>
            </w:r>
          </w:p>
        </w:tc>
      </w:tr>
      <w:tr>
        <w:trPr>
          <w:cantSplit/>
        </w:trPr>
        <w:tc>
          <w:tcPr>
            <w:tcW w:type="dxa" w:w="1555"/>
            <w:vAlign w:val="top"/>
          </w:tcPr>
          <w:p>
            <w:pPr>
              <w:spacing w:after="20"/>
            </w:pPr>
            <w:r>
              <w:rPr>
                <w:b/>
                <w:color w:val="4B5563"/>
                <w:sz w:val="16"/>
              </w:rPr>
              <w:t>2020</w:t>
            </w:r>
          </w:p>
        </w:tc>
        <w:tc>
          <w:tcPr>
            <w:tcW w:type="dxa" w:w="7805"/>
            <w:vAlign w:val="top"/>
          </w:tcPr>
          <w:p>
            <w:pPr>
              <w:spacing w:after="20"/>
            </w:pPr>
            <w:r>
              <w:rPr>
                <w:b/>
                <w:i w:val="0"/>
                <w:sz w:val="17"/>
              </w:rPr>
              <w:t>Aharony N</w:t>
            </w:r>
            <w:r>
              <w:rPr>
                <w:b w:val="0"/>
                <w:i w:val="0"/>
                <w:sz w:val="17"/>
              </w:rPr>
              <w:t>. Careers in Biosecurity. Flash talk, EAGx Virtual.</w:t>
            </w:r>
          </w:p>
        </w:tc>
      </w:tr>
      <w:tr>
        <w:trPr>
          <w:cantSplit/>
        </w:trPr>
        <w:tc>
          <w:tcPr>
            <w:tcW w:type="dxa" w:w="1555"/>
            <w:vAlign w:val="top"/>
          </w:tcPr>
          <w:p>
            <w:pPr>
              <w:spacing w:after="20"/>
            </w:pPr>
            <w:r>
              <w:rPr>
                <w:b/>
                <w:color w:val="4B5563"/>
                <w:sz w:val="16"/>
              </w:rPr>
              <w:t>2018</w:t>
            </w:r>
          </w:p>
        </w:tc>
        <w:tc>
          <w:tcPr>
            <w:tcW w:type="dxa" w:w="7805"/>
            <w:vAlign w:val="top"/>
          </w:tcPr>
          <w:p>
            <w:pPr>
              <w:spacing w:after="20"/>
            </w:pPr>
            <w:r>
              <w:rPr>
                <w:b/>
                <w:i w:val="0"/>
                <w:sz w:val="17"/>
              </w:rPr>
              <w:t>Aharony N</w:t>
            </w:r>
            <w:r>
              <w:rPr>
                <w:b w:val="0"/>
                <w:i w:val="0"/>
                <w:sz w:val="17"/>
              </w:rPr>
              <w:t>, Gronvall G. How Secure is the Gene Synthesis Industry? Poster, Biological Weapons Convention: Meeting of Experts.</w:t>
            </w:r>
          </w:p>
        </w:tc>
      </w:tr>
    </w:tbl>
    <w:p>
      <w:pPr>
        <w:pStyle w:val="Heading1"/>
        <w:keepNext/>
      </w:pPr>
      <w:r>
        <w:t>AWARDS AND FUNDING</w:t>
      </w:r>
    </w:p>
    <w:tbl>
      <w:tr>
        <w:trPr>
          <w:cantSplit/>
        </w:trPr>
        <w:tc>
          <w:tcPr>
            <w:tcW w:type="dxa" w:w="1555"/>
            <w:vAlign w:val="top"/>
          </w:tcPr>
          <w:p>
            <w:pPr>
              <w:spacing w:after="20"/>
            </w:pPr>
            <w:r>
              <w:rPr>
                <w:b/>
                <w:color w:val="4B5563"/>
                <w:sz w:val="16"/>
              </w:rPr>
              <w:t>2026</w:t>
            </w:r>
          </w:p>
        </w:tc>
        <w:tc>
          <w:tcPr>
            <w:tcW w:type="dxa" w:w="7805"/>
            <w:vAlign w:val="top"/>
          </w:tcPr>
          <w:p>
            <w:pPr>
              <w:spacing w:after="20"/>
            </w:pPr>
            <w:r>
              <w:rPr>
                <w:b w:val="0"/>
                <w:i w:val="0"/>
                <w:sz w:val="17"/>
              </w:rPr>
              <w:t>Pivotal Research Frontier Biodefense Fellowship.</w:t>
            </w:r>
          </w:p>
        </w:tc>
      </w:tr>
      <w:tr>
        <w:trPr>
          <w:cantSplit/>
        </w:trPr>
        <w:tc>
          <w:tcPr>
            <w:tcW w:type="dxa" w:w="1555"/>
            <w:vAlign w:val="top"/>
          </w:tcPr>
          <w:p>
            <w:pPr>
              <w:spacing w:after="20"/>
            </w:pPr>
            <w:r>
              <w:rPr>
                <w:b/>
                <w:color w:val="4B5563"/>
                <w:sz w:val="16"/>
              </w:rPr>
              <w:t>2026</w:t>
            </w:r>
          </w:p>
        </w:tc>
        <w:tc>
          <w:tcPr>
            <w:tcW w:type="dxa" w:w="7805"/>
            <w:vAlign w:val="top"/>
          </w:tcPr>
          <w:p>
            <w:pPr>
              <w:spacing w:after="20"/>
            </w:pPr>
            <w:r>
              <w:rPr>
                <w:b w:val="0"/>
                <w:i w:val="0"/>
                <w:sz w:val="17"/>
              </w:rPr>
              <w:t>ML Alignment &amp; Theory Scholars (MATS) Program, Autumn 2026.</w:t>
            </w:r>
          </w:p>
        </w:tc>
      </w:tr>
      <w:tblPr>
        <w:tblW w:type="auto" w:w="0"/>
        <w:jc w:val="left"/>
        <w:tblLayout w:type="fixed"/>
        <w:tblLook w:firstColumn="1" w:firstRow="1" w:lastColumn="0" w:lastRow="0" w:noHBand="0" w:noVBand="1" w:val="04A0"/>
        <w:tblBorders>
          <w:top w:val="nil" w:sz="2" w:space="0" w:color="E5E7EB"/>
          <w:left w:val="nil" w:sz="2" w:space="0" w:color="E5E7EB"/>
          <w:bottom w:val="nil" w:sz="2" w:space="0" w:color="E5E7EB"/>
          <w:right w:val="nil" w:sz="2" w:space="0" w:color="E5E7EB"/>
          <w:insideH w:val="single" w:sz="2" w:space="0" w:color="E5E7EB"/>
          <w:insideV w:val="nil" w:sz="2" w:space="0" w:color="E5E7EB"/>
        </w:tblBorders>
      </w:tblPr>
      <w:tblGrid>
        <w:gridCol w:w="5040"/>
        <w:gridCol w:w="5040"/>
      </w:tblGrid>
      <w:tr>
        <w:trPr>
          <w:cantSplit/>
        </w:trPr>
        <w:tc>
          <w:tcPr>
            <w:tcW w:type="dxa" w:w="1555"/>
            <w:vAlign w:val="top"/>
          </w:tcPr>
          <w:p>
            <w:pPr>
              <w:spacing w:after="20"/>
            </w:pPr>
            <w:r>
              <w:rPr>
                <w:b/>
                <w:color w:val="4B5563"/>
                <w:sz w:val="16"/>
              </w:rPr>
              <w:t>2024</w:t>
            </w:r>
          </w:p>
        </w:tc>
        <w:tc>
          <w:tcPr>
            <w:tcW w:type="dxa" w:w="7805"/>
            <w:vAlign w:val="top"/>
          </w:tcPr>
          <w:p>
            <w:pPr>
              <w:spacing w:after="20"/>
            </w:pPr>
            <w:r>
              <w:rPr>
                <w:b w:val="0"/>
                <w:i w:val="0"/>
                <w:sz w:val="17"/>
              </w:rPr>
              <w:t>NYC-PRI Innovative Tools and Solutions to Address Public Health Emergencies.</w:t>
            </w:r>
          </w:p>
        </w:tc>
      </w:tr>
      <w:tr>
        <w:trPr>
          <w:cantSplit/>
        </w:trPr>
        <w:tc>
          <w:tcPr>
            <w:tcW w:type="dxa" w:w="1555"/>
            <w:vAlign w:val="top"/>
          </w:tcPr>
          <w:p>
            <w:pPr>
              <w:spacing w:after="20"/>
            </w:pPr>
            <w:r>
              <w:rPr>
                <w:b/>
                <w:color w:val="4B5563"/>
                <w:sz w:val="16"/>
              </w:rPr>
              <w:t>2022</w:t>
            </w:r>
          </w:p>
        </w:tc>
        <w:tc>
          <w:tcPr>
            <w:tcW w:type="dxa" w:w="7805"/>
            <w:vAlign w:val="top"/>
          </w:tcPr>
          <w:p>
            <w:pPr>
              <w:spacing w:after="20"/>
            </w:pPr>
            <w:r>
              <w:rPr>
                <w:b w:val="0"/>
                <w:i w:val="0"/>
                <w:sz w:val="17"/>
              </w:rPr>
              <w:t>EA Funds PhD Support Scholarship.</w:t>
            </w:r>
          </w:p>
        </w:tc>
      </w:tr>
      <w:tr>
        <w:trPr>
          <w:cantSplit/>
        </w:trPr>
        <w:tc>
          <w:tcPr>
            <w:tcW w:type="dxa" w:w="1555"/>
            <w:vAlign w:val="top"/>
          </w:tcPr>
          <w:p>
            <w:pPr>
              <w:spacing w:after="20"/>
            </w:pPr>
            <w:r>
              <w:rPr>
                <w:b/>
                <w:color w:val="4B5563"/>
                <w:sz w:val="16"/>
              </w:rPr>
              <w:t>2021</w:t>
            </w:r>
          </w:p>
        </w:tc>
        <w:tc>
          <w:tcPr>
            <w:tcW w:type="dxa" w:w="7805"/>
            <w:vAlign w:val="top"/>
          </w:tcPr>
          <w:p>
            <w:pPr>
              <w:spacing w:after="20"/>
            </w:pPr>
            <w:r>
              <w:rPr>
                <w:b w:val="0"/>
                <w:i w:val="0"/>
                <w:sz w:val="17"/>
              </w:rPr>
              <w:t>Open Philanthropy Early-Career Funding.</w:t>
            </w:r>
          </w:p>
        </w:tc>
      </w:tr>
      <w:tr>
        <w:trPr>
          <w:cantSplit/>
        </w:trPr>
        <w:tc>
          <w:tcPr>
            <w:tcW w:type="dxa" w:w="1555"/>
            <w:vAlign w:val="top"/>
          </w:tcPr>
          <w:p>
            <w:pPr>
              <w:spacing w:after="20"/>
            </w:pPr>
            <w:r>
              <w:rPr>
                <w:b/>
                <w:color w:val="4B5563"/>
                <w:sz w:val="16"/>
              </w:rPr>
              <w:t>2020</w:t>
            </w:r>
          </w:p>
        </w:tc>
        <w:tc>
          <w:tcPr>
            <w:tcW w:type="dxa" w:w="7805"/>
            <w:vAlign w:val="top"/>
          </w:tcPr>
          <w:p>
            <w:pPr>
              <w:spacing w:after="20"/>
            </w:pPr>
            <w:r>
              <w:rPr>
                <w:b w:val="0"/>
                <w:i w:val="0"/>
                <w:sz w:val="17"/>
              </w:rPr>
              <w:t>Miriam and Aaron Gutwirth Memorial Fellowship for Excellence in Research.</w:t>
            </w:r>
          </w:p>
        </w:tc>
      </w:tr>
      <w:tr>
        <w:trPr>
          <w:cantSplit/>
        </w:trPr>
        <w:tc>
          <w:tcPr>
            <w:tcW w:type="dxa" w:w="1555"/>
            <w:vAlign w:val="top"/>
          </w:tcPr>
          <w:p>
            <w:pPr>
              <w:spacing w:after="20"/>
            </w:pPr>
            <w:r>
              <w:rPr>
                <w:b/>
                <w:color w:val="4B5563"/>
                <w:sz w:val="16"/>
              </w:rPr>
              <w:t>2019</w:t>
            </w:r>
          </w:p>
        </w:tc>
        <w:tc>
          <w:tcPr>
            <w:tcW w:type="dxa" w:w="7805"/>
            <w:vAlign w:val="top"/>
          </w:tcPr>
          <w:p>
            <w:pPr>
              <w:spacing w:after="20"/>
            </w:pPr>
            <w:r>
              <w:rPr>
                <w:b w:val="0"/>
                <w:i w:val="0"/>
                <w:sz w:val="17"/>
              </w:rPr>
              <w:t>Leonard and Diane Sherman Interdisciplinary Graduate School Fellowship.</w:t>
            </w:r>
          </w:p>
        </w:tc>
      </w:tr>
      <w:tr>
        <w:trPr>
          <w:cantSplit/>
        </w:trPr>
        <w:tc>
          <w:tcPr>
            <w:tcW w:type="dxa" w:w="1555"/>
            <w:vAlign w:val="top"/>
          </w:tcPr>
          <w:p>
            <w:pPr>
              <w:spacing w:after="20"/>
            </w:pPr>
            <w:r>
              <w:rPr>
                <w:b/>
                <w:color w:val="4B5563"/>
                <w:sz w:val="16"/>
              </w:rPr>
              <w:t>2018</w:t>
            </w:r>
          </w:p>
        </w:tc>
        <w:tc>
          <w:tcPr>
            <w:tcW w:type="dxa" w:w="7805"/>
            <w:vAlign w:val="top"/>
          </w:tcPr>
          <w:p>
            <w:pPr>
              <w:spacing w:after="20"/>
            </w:pPr>
            <w:r>
              <w:rPr>
                <w:b w:val="0"/>
                <w:i w:val="0"/>
                <w:sz w:val="17"/>
              </w:rPr>
              <w:t>Open Philanthropy Early-Career Funding for Global Biological Risks.</w:t>
            </w:r>
          </w:p>
        </w:tc>
      </w:tr>
      <w:tr>
        <w:trPr>
          <w:cantSplit/>
        </w:trPr>
        <w:tc>
          <w:tcPr>
            <w:tcW w:type="dxa" w:w="1555"/>
            <w:vAlign w:val="top"/>
          </w:tcPr>
          <w:p>
            <w:pPr>
              <w:spacing w:after="20"/>
            </w:pPr>
            <w:r>
              <w:rPr>
                <w:b/>
                <w:color w:val="4B5563"/>
                <w:sz w:val="16"/>
              </w:rPr>
              <w:t>2017, 2018</w:t>
            </w:r>
          </w:p>
        </w:tc>
        <w:tc>
          <w:tcPr>
            <w:tcW w:type="dxa" w:w="7805"/>
            <w:vAlign w:val="top"/>
          </w:tcPr>
          <w:p>
            <w:pPr>
              <w:spacing w:after="20"/>
            </w:pPr>
            <w:r>
              <w:rPr>
                <w:b w:val="0"/>
                <w:i w:val="0"/>
                <w:sz w:val="17"/>
              </w:rPr>
              <w:t>McGill University Faculty of Science Scholarship.</w:t>
            </w:r>
          </w:p>
        </w:tc>
      </w:tr>
      <w:tr>
        <w:trPr>
          <w:cantSplit/>
        </w:trPr>
        <w:tc>
          <w:tcPr>
            <w:tcW w:type="dxa" w:w="1555"/>
            <w:vAlign w:val="top"/>
          </w:tcPr>
          <w:p>
            <w:pPr>
              <w:spacing w:after="20"/>
            </w:pPr>
            <w:r>
              <w:rPr>
                <w:b/>
                <w:color w:val="4B5563"/>
                <w:sz w:val="16"/>
              </w:rPr>
              <w:t>2017</w:t>
            </w:r>
          </w:p>
        </w:tc>
        <w:tc>
          <w:tcPr>
            <w:tcW w:type="dxa" w:w="7805"/>
            <w:vAlign w:val="top"/>
          </w:tcPr>
          <w:p>
            <w:pPr>
              <w:spacing w:after="20"/>
            </w:pPr>
            <w:r>
              <w:rPr>
                <w:b w:val="0"/>
                <w:i w:val="0"/>
                <w:sz w:val="17"/>
              </w:rPr>
              <w:t>CIHR Undergraduate Research Award in Computational Biology.</w:t>
            </w:r>
          </w:p>
        </w:tc>
      </w:tr>
      <w:tr>
        <w:trPr>
          <w:cantSplit/>
        </w:trPr>
        <w:tc>
          <w:tcPr>
            <w:tcW w:type="dxa" w:w="1555"/>
            <w:vAlign w:val="top"/>
          </w:tcPr>
          <w:p>
            <w:pPr>
              <w:spacing w:after="20"/>
            </w:pPr>
            <w:r>
              <w:rPr>
                <w:b/>
                <w:color w:val="4B5563"/>
                <w:sz w:val="16"/>
              </w:rPr>
              <w:t>2016</w:t>
            </w:r>
          </w:p>
        </w:tc>
        <w:tc>
          <w:tcPr>
            <w:tcW w:type="dxa" w:w="7805"/>
            <w:vAlign w:val="top"/>
          </w:tcPr>
          <w:p>
            <w:pPr>
              <w:spacing w:after="20"/>
            </w:pPr>
            <w:r>
              <w:rPr>
                <w:b w:val="0"/>
                <w:i w:val="0"/>
                <w:sz w:val="17"/>
              </w:rPr>
              <w:t>NSERC Undergraduate Student Research Award; FRQNT Top-Up to NSERC Undergraduate Student Research Award.</w:t>
            </w:r>
          </w:p>
        </w:tc>
      </w:tr>
    </w:tbl>
    <w:p>
      <w:pPr>
        <w:pStyle w:val="Heading1"/>
        <w:keepNext/>
      </w:pPr>
      <w:r>
        <w:t>TEACHING, MENTORSHIP, AND SCIENTIFIC SERVICE</w:t>
      </w:r>
    </w:p>
    <w:tbl>
      <w:tblPr>
        <w:tblW w:type="auto" w:w="0"/>
        <w:jc w:val="left"/>
        <w:tblLayout w:type="fixed"/>
        <w:tblLook w:firstColumn="1" w:firstRow="1" w:lastColumn="0" w:lastRow="0" w:noHBand="0" w:noVBand="1" w:val="04A0"/>
        <w:tblBorders>
          <w:top w:val="nil" w:sz="2" w:space="0" w:color="E5E7EB"/>
          <w:left w:val="nil" w:sz="2" w:space="0" w:color="E5E7EB"/>
          <w:bottom w:val="nil" w:sz="2" w:space="0" w:color="E5E7EB"/>
          <w:right w:val="nil" w:sz="2" w:space="0" w:color="E5E7EB"/>
          <w:insideH w:val="single" w:sz="2" w:space="0" w:color="E5E7EB"/>
          <w:insideV w:val="nil" w:sz="2" w:space="0" w:color="E5E7EB"/>
        </w:tblBorders>
      </w:tblPr>
      <w:tblGrid>
        <w:gridCol w:w="5040"/>
        <w:gridCol w:w="5040"/>
      </w:tblGrid>
      <w:tr>
        <w:trPr>
          <w:cantSplit/>
        </w:trPr>
        <w:tc>
          <w:tcPr>
            <w:tcW w:type="dxa" w:w="1555"/>
            <w:vAlign w:val="top"/>
          </w:tcPr>
          <w:p>
            <w:pPr>
              <w:spacing w:after="20"/>
            </w:pPr>
            <w:r>
              <w:rPr>
                <w:b/>
                <w:color w:val="4B5563"/>
                <w:sz w:val="16"/>
              </w:rPr>
              <w:t>2016-2018</w:t>
            </w:r>
          </w:p>
        </w:tc>
        <w:tc>
          <w:tcPr>
            <w:tcW w:type="dxa" w:w="7805"/>
            <w:vAlign w:val="top"/>
          </w:tcPr>
          <w:p>
            <w:pPr>
              <w:spacing w:after="20"/>
            </w:pPr>
            <w:r>
              <w:rPr>
                <w:b/>
                <w:i w:val="0"/>
                <w:sz w:val="17"/>
              </w:rPr>
              <w:t>Teaching Assistant</w:t>
            </w:r>
            <w:r>
              <w:rPr>
                <w:b w:val="0"/>
                <w:i w:val="0"/>
                <w:sz w:val="17"/>
              </w:rPr>
              <w:t>, McGill University</w:t>
            </w:r>
            <w:r>
              <w:br/>
            </w:r>
            <w:r>
              <w:rPr>
                <w:b w:val="0"/>
                <w:i w:val="0"/>
                <w:sz w:val="17"/>
              </w:rPr>
              <w:t>Created problem sets, held office hours, and led review sessions for biochemistry, molecular biology, neuroscience, and introductory physics courses.</w:t>
            </w:r>
          </w:p>
        </w:tc>
      </w:tr>
      <w:tr>
        <w:trPr>
          <w:cantSplit/>
        </w:trPr>
        <w:tc>
          <w:tcPr>
            <w:tcW w:type="dxa" w:w="1555"/>
            <w:vAlign w:val="top"/>
          </w:tcPr>
          <w:p>
            <w:pPr>
              <w:spacing w:after="20"/>
            </w:pPr>
            <w:r>
              <w:rPr>
                <w:b/>
                <w:color w:val="4B5563"/>
                <w:sz w:val="16"/>
              </w:rPr>
              <w:t>2018-2023</w:t>
            </w:r>
          </w:p>
        </w:tc>
        <w:tc>
          <w:tcPr>
            <w:tcW w:type="dxa" w:w="7805"/>
            <w:vAlign w:val="top"/>
          </w:tcPr>
          <w:p>
            <w:pPr>
              <w:spacing w:after="20"/>
            </w:pPr>
            <w:r>
              <w:rPr>
                <w:b/>
                <w:i w:val="0"/>
                <w:sz w:val="17"/>
              </w:rPr>
              <w:t>Research and career mentorship</w:t>
            </w:r>
            <w:r>
              <w:br/>
            </w:r>
            <w:r>
              <w:rPr>
                <w:b w:val="0"/>
                <w:i w:val="0"/>
                <w:sz w:val="17"/>
              </w:rPr>
              <w:t>Mentored students and early-career professionals interested in biosecurity and computational biology projects through Effective Thesis Project and 80,000 Hours referrals.</w:t>
            </w:r>
          </w:p>
        </w:tc>
      </w:tr>
      <w:tr>
        <w:trPr>
          <w:cantSplit/>
        </w:trPr>
        <w:tc>
          <w:tcPr>
            <w:tcW w:type="dxa" w:w="1555"/>
            <w:vAlign w:val="top"/>
          </w:tcPr>
          <w:p>
            <w:pPr>
              <w:spacing w:after="20"/>
            </w:pPr>
            <w:r>
              <w:rPr>
                <w:b/>
                <w:color w:val="4B5563"/>
                <w:sz w:val="16"/>
              </w:rPr>
              <w:t>2019</w:t>
            </w:r>
          </w:p>
        </w:tc>
        <w:tc>
          <w:tcPr>
            <w:tcW w:type="dxa" w:w="7805"/>
            <w:vAlign w:val="top"/>
          </w:tcPr>
          <w:p>
            <w:pPr>
              <w:spacing w:after="20"/>
            </w:pPr>
            <w:r>
              <w:rPr>
                <w:b/>
                <w:i w:val="0"/>
                <w:sz w:val="17"/>
              </w:rPr>
              <w:t>Volunteer Consultant</w:t>
            </w:r>
            <w:r>
              <w:rPr>
                <w:b w:val="0"/>
                <w:i w:val="0"/>
                <w:sz w:val="17"/>
              </w:rPr>
              <w:t>, Battelle Memorial Institute / ThreatSEQ</w:t>
            </w:r>
            <w:r>
              <w:br/>
            </w:r>
            <w:r>
              <w:rPr>
                <w:b w:val="0"/>
                <w:i w:val="0"/>
                <w:sz w:val="17"/>
              </w:rPr>
              <w:t>Consulted on a ThreatSEQ joint initiative with the FBI assessing whether gene synthesis companies would detect orders containing genes from the Select Agents list.</w:t>
            </w:r>
          </w:p>
        </w:tc>
      </w:tr>
    </w:tbl>
    <w:p>
      <w:pPr>
        <w:pStyle w:val="Heading1"/>
        <w:keepNext/>
      </w:pPr>
      <w:r>
        <w:t>SKILLS</w:t>
      </w:r>
    </w:p>
    <w:tbl>
      <w:tblPr>
        <w:tblW w:type="auto" w:w="0"/>
        <w:jc w:val="left"/>
        <w:tblLayout w:type="fixed"/>
        <w:tblLook w:firstColumn="1" w:firstRow="1" w:lastColumn="0" w:lastRow="0" w:noHBand="0" w:noVBand="1" w:val="04A0"/>
        <w:tblBorders>
          <w:top w:val="nil" w:sz="2" w:space="0" w:color="E5E7EB"/>
          <w:left w:val="nil" w:sz="2" w:space="0" w:color="E5E7EB"/>
          <w:bottom w:val="nil" w:sz="2" w:space="0" w:color="E5E7EB"/>
          <w:right w:val="nil" w:sz="2" w:space="0" w:color="E5E7EB"/>
          <w:insideH w:val="single" w:sz="2" w:space="0" w:color="E5E7EB"/>
          <w:insideV w:val="nil" w:sz="2" w:space="0" w:color="E5E7EB"/>
        </w:tblBorders>
      </w:tblPr>
      <w:tblGrid>
        <w:gridCol w:w="5040"/>
        <w:gridCol w:w="5040"/>
      </w:tblGrid>
      <w:tr>
        <w:trPr>
          <w:cantSplit/>
        </w:trPr>
        <w:tc>
          <w:tcPr>
            <w:tcW w:type="dxa" w:w="1555"/>
            <w:vAlign w:val="top"/>
          </w:tcPr>
          <w:p>
            <w:pPr>
              <w:spacing w:after="20"/>
            </w:pPr>
            <w:r>
              <w:rPr>
                <w:b/>
                <w:color w:val="4B5563"/>
                <w:sz w:val="16"/>
              </w:rPr>
              <w:t>Computational</w:t>
            </w:r>
          </w:p>
        </w:tc>
        <w:tc>
          <w:tcPr>
            <w:tcW w:type="dxa" w:w="7805"/>
            <w:vAlign w:val="top"/>
          </w:tcPr>
          <w:p>
            <w:pPr>
              <w:spacing w:after="20"/>
            </w:pPr>
            <w:r>
              <w:rPr>
                <w:b w:val="0"/>
                <w:i w:val="0"/>
                <w:sz w:val="17"/>
              </w:rPr>
              <w:t>Python, R, MATLAB, C/C++, Java; biological language model evaluation; sequence modeling; metagenomic analysis; hyperbolic embeddings; genomic pipeline development.</w:t>
            </w:r>
          </w:p>
        </w:tc>
      </w:tr>
      <w:tr>
        <w:trPr>
          <w:cantSplit/>
        </w:trPr>
        <w:tc>
          <w:tcPr>
            <w:tcW w:type="dxa" w:w="1555"/>
            <w:vAlign w:val="top"/>
          </w:tcPr>
          <w:p>
            <w:pPr>
              <w:spacing w:after="20"/>
            </w:pPr>
            <w:r>
              <w:rPr>
                <w:b/>
                <w:color w:val="4B5563"/>
                <w:sz w:val="16"/>
              </w:rPr>
              <w:t>Experimental</w:t>
            </w:r>
          </w:p>
        </w:tc>
        <w:tc>
          <w:tcPr>
            <w:tcW w:type="dxa" w:w="7805"/>
            <w:vAlign w:val="top"/>
          </w:tcPr>
          <w:p>
            <w:pPr>
              <w:spacing w:after="20"/>
            </w:pPr>
            <w:r>
              <w:rPr>
                <w:b w:val="0"/>
                <w:i w:val="0"/>
                <w:sz w:val="17"/>
              </w:rPr>
              <w:t>Microbial evolution experiments; AAV vector production; CRISPR/Cas9 delivery; molecular biology workflows.</w:t>
            </w:r>
          </w:p>
        </w:tc>
      </w:tr>
      <w:tr>
        <w:trPr>
          <w:cantSplit/>
        </w:trPr>
        <w:tc>
          <w:tcPr>
            <w:tcW w:type="dxa" w:w="1555"/>
            <w:vAlign w:val="top"/>
          </w:tcPr>
          <w:p>
            <w:pPr>
              <w:spacing w:after="20"/>
            </w:pPr>
            <w:r>
              <w:rPr>
                <w:b/>
                <w:color w:val="4B5563"/>
                <w:sz w:val="16"/>
              </w:rPr>
              <w:t>Languages</w:t>
            </w:r>
          </w:p>
        </w:tc>
        <w:tc>
          <w:tcPr>
            <w:tcW w:type="dxa" w:w="7805"/>
            <w:vAlign w:val="top"/>
          </w:tcPr>
          <w:p>
            <w:pPr>
              <w:spacing w:after="20"/>
            </w:pPr>
            <w:r>
              <w:rPr>
                <w:b w:val="0"/>
                <w:i w:val="0"/>
                <w:sz w:val="17"/>
              </w:rPr>
              <w:t>Hebrew (native), English (near-native), French (novice).</w:t>
            </w:r>
          </w:p>
        </w:tc>
      </w:tr>
    </w:tbl>
    <w:sectPr w:rsidR="00FC693F" w:rsidRPr="0006063C" w:rsidSect="00034616">
      <w:footerReference w:type="default" r:id="rId9"/>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Noga Aharony CV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Calibri" w:hAnsi="Calibri" w:eastAsia="Calibri"/>
      <w:b/>
      <w:bCs/>
      <w:color w:val="1F4D78"/>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ascii="Calibri" w:hAnsi="Calibri" w:eastAsia="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0"/>
    </w:pPr>
    <w:rPr>
      <w:rFonts w:asciiTheme="majorHAnsi" w:eastAsiaTheme="majorEastAsia" w:hAnsiTheme="majorHAnsi" w:cstheme="majorBidi" w:ascii="Calibri" w:hAnsi="Calibri" w:eastAsia="Calibri"/>
      <w:i/>
      <w:iCs/>
      <w:color w:val="333333"/>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