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68"/>
        <w:jc w:val="left"/>
        <w:tblLayout w:type="fixed"/>
        <w:tblLook w:firstColumn="1" w:firstRow="1" w:lastColumn="0" w:lastRow="0" w:noHBand="0" w:noVBand="1" w:val="04A0"/>
        <w:tblInd w:w="0" w:type="dxa"/>
      </w:tblPr>
      <w:tblGrid>
        <w:gridCol w:w="6500"/>
        <w:gridCol w:w="3868"/>
      </w:tblGrid>
      <w:tr>
        <w:trPr>
          <w:cantSplit/>
        </w:trPr>
        <w:tc>
          <w:tcPr>
            <w:tcW w:type="dxa" w:w="6500"/>
            <w:tcMar>
              <w:top w:w="0" w:type="dxa"/>
              <w:start w:w="0" w:type="dxa"/>
              <w:bottom w:w="70" w:type="dxa"/>
              <w:end w:w="0" w:type="dxa"/>
            </w:tcMar>
            <w:vAlign w:val="top"/>
          </w:tcPr>
          <w:p>
            <w:pPr>
              <w:pStyle w:val="CVName"/>
              <w:spacing w:after="20"/>
            </w:pPr>
            <w:r>
              <w:rPr>
                <w:spacing w:val="-6"/>
              </w:rPr>
              <w:t>Noga Aharony</w:t>
            </w:r>
          </w:p>
          <w:p>
            <w:pPr>
              <w:pStyle w:val="CVRole"/>
            </w:pPr>
            <w:r>
              <w:t>Computational Biology · Systems Biology · Columbia University</w:t>
            </w:r>
          </w:p>
        </w:tc>
        <w:tc>
          <w:tcPr>
            <w:tcW w:type="dxa" w:w="3868"/>
            <w:tcMar>
              <w:top w:w="0" w:type="dxa"/>
              <w:start w:w="0" w:type="dxa"/>
              <w:bottom w:w="70" w:type="dxa"/>
              <w:end w:w="0" w:type="dxa"/>
            </w:tcMar>
            <w:vAlign w:val="top"/>
          </w:tcPr>
          <w:p>
            <w:pPr>
              <w:pStyle w:val="CVContact"/>
              <w:spacing w:after="40" w:before="80"/>
              <w:jc w:val="right"/>
              <w:pBdr>
                <w:top w:val="single" w:sz="16" w:color="24497F"/>
              </w:pBdr>
            </w:pPr>
            <w:hyperlink r:id="rId10">
              <w:r>
                <w:rPr>
                  <w:color w:val="24497F"/>
                  <w:rFonts w:ascii="Arial" w:hAnsi="Arial"/>
                  <w:sz w:val="16"/>
                </w:rPr>
                <w:t>email</w:t>
              </w:r>
            </w:hyperlink>
            <w:r>
              <w:t xml:space="preserve">  ·  </w:t>
            </w:r>
            <w:hyperlink r:id="rId11">
              <w:r>
                <w:rPr>
                  <w:color w:val="24497F"/>
                  <w:rFonts w:ascii="Arial" w:hAnsi="Arial"/>
                  <w:sz w:val="16"/>
                </w:rPr>
                <w:t>website</w:t>
              </w:r>
            </w:hyperlink>
          </w:p>
          <w:p>
            <w:pPr>
              <w:pStyle w:val="CVContact"/>
              <w:jc w:val="right"/>
            </w:pPr>
            <w:hyperlink r:id="rId12">
              <w:r>
                <w:rPr>
                  <w:color w:val="24497F"/>
                  <w:rFonts w:ascii="Arial" w:hAnsi="Arial"/>
                  <w:sz w:val="16"/>
                </w:rPr>
                <w:t>GitHub</w:t>
              </w:r>
            </w:hyperlink>
            <w:r>
              <w:t xml:space="preserve">  ·  </w:t>
            </w:r>
            <w:hyperlink r:id="rId13">
              <w:r>
                <w:rPr>
                  <w:color w:val="24497F"/>
                  <w:rFonts w:ascii="Arial" w:hAnsi="Arial"/>
                  <w:sz w:val="16"/>
                </w:rPr>
                <w:t>Google Scholar</w:t>
              </w:r>
            </w:hyperlink>
          </w:p>
        </w:tc>
      </w:tr>
    </w:tbl>
    <w:tbl>
      <w:tblPr>
        <w:tblW w:type="dxa" w:w="10368"/>
        <w:jc w:val="left"/>
        <w:tblLayout w:type="fixed"/>
        <w:tblLook w:firstColumn="1" w:firstRow="1" w:lastColumn="0" w:lastRow="0" w:noHBand="0" w:noVBand="1" w:val="04A0"/>
        <w:tblInd w:w="0" w:type="dxa"/>
        <w:tblBorders>
          <w:top w:val="single" w:sz="4" w:color="D2D7DB"/>
          <w:bottom w:val="single" w:sz="4" w:color="D2D7DB"/>
          <w:insideV w:val="single" w:sz="4" w:color="D2D7DB"/>
        </w:tblBorders>
      </w:tblPr>
      <w:tblGrid>
        <w:gridCol w:w="1656"/>
        <w:gridCol w:w="2904"/>
        <w:gridCol w:w="2904"/>
        <w:gridCol w:w="2904"/>
      </w:tblGrid>
      <w:tr>
        <w:trPr>
          <w:cantSplit/>
        </w:trPr>
        <w:tc>
          <w:tcPr>
            <w:tcW w:type="dxa" w:w="1656"/>
            <w:tcMar>
              <w:top w:w="100" w:type="dxa"/>
              <w:start w:w="120" w:type="dxa"/>
              <w:bottom w:w="100" w:type="dxa"/>
              <w:end w:w="120" w:type="dxa"/>
            </w:tcMar>
            <w:vAlign w:val="center"/>
            <w:shd w:fill="1D2C3B"/>
          </w:tcPr>
          <w:p>
            <w:pPr>
              <w:spacing w:after="0"/>
            </w:pPr>
            <w:r>
              <w:rPr>
                <w:rFonts w:ascii="Courier New" w:hAnsi="Courier New" w:cs="Courier New"/>
                <w:b/>
                <w:i w:val="0"/>
                <w:color w:val="FFFFFF"/>
                <w:sz w:val="15"/>
              </w:rPr>
              <w:t>RESEARCH</w:t>
              <w:br/>
              <w:t>SYSTEMS</w:t>
            </w:r>
          </w:p>
        </w:tc>
        <w:tc>
          <w:tcPr>
            <w:tcW w:type="dxa" w:w="2904"/>
            <w:tcMar>
              <w:top w:w="100" w:type="dxa"/>
              <w:start w:w="120" w:type="dxa"/>
              <w:bottom w:w="100" w:type="dxa"/>
              <w:end w:w="120" w:type="dxa"/>
            </w:tcMar>
            <w:vAlign w:val="center"/>
          </w:tcPr>
          <w:p>
            <w:pPr>
              <w:spacing w:after="20"/>
            </w:pPr>
            <w:r>
              <w:rPr>
                <w:rFonts w:ascii="Courier New" w:hAnsi="Courier New" w:cs="Courier New"/>
                <w:b/>
                <w:i w:val="0"/>
                <w:color w:val="D15339"/>
                <w:sz w:val="15"/>
              </w:rPr>
              <w:t>Evaluate</w:t>
            </w:r>
          </w:p>
          <w:p>
            <w:pPr>
              <w:pStyle w:val="CVEntryContext"/>
              <w:spacing w:after="40"/>
            </w:pPr>
            <w:r>
              <w:rPr>
                <w:b/>
              </w:rPr>
              <w:t>Model behavior</w:t>
            </w:r>
          </w:p>
          <w:p>
            <w:pPr>
              <w:pStyle w:val="CVEntryDescription"/>
              <w:spacing w:after="0"/>
            </w:pPr>
            <w:r>
              <w:t>What do genome language models learn, use, and fail to capture?</w:t>
            </w:r>
          </w:p>
        </w:tc>
        <w:tc>
          <w:tcPr>
            <w:tcW w:type="dxa" w:w="2904"/>
            <w:tcMar>
              <w:top w:w="100" w:type="dxa"/>
              <w:start w:w="120" w:type="dxa"/>
              <w:bottom w:w="100" w:type="dxa"/>
              <w:end w:w="120" w:type="dxa"/>
            </w:tcMar>
            <w:vAlign w:val="center"/>
          </w:tcPr>
          <w:p>
            <w:pPr>
              <w:spacing w:after="20"/>
            </w:pPr>
            <w:r>
              <w:rPr>
                <w:rFonts w:ascii="Courier New" w:hAnsi="Courier New" w:cs="Courier New"/>
                <w:b/>
                <w:i w:val="0"/>
                <w:color w:val="D15339"/>
                <w:sz w:val="15"/>
              </w:rPr>
              <w:t>Transfer</w:t>
            </w:r>
          </w:p>
          <w:p>
            <w:pPr>
              <w:pStyle w:val="CVEntryContext"/>
              <w:spacing w:after="40"/>
            </w:pPr>
            <w:r>
              <w:rPr>
                <w:b/>
              </w:rPr>
              <w:t>Microbial genomics</w:t>
            </w:r>
          </w:p>
          <w:p>
            <w:pPr>
              <w:pStyle w:val="CVEntryDescription"/>
              <w:spacing w:after="0"/>
            </w:pPr>
            <w:r>
              <w:t>When do representations remain useful under realistic distribution shifts?</w:t>
            </w:r>
          </w:p>
        </w:tc>
        <w:tc>
          <w:tcPr>
            <w:tcW w:type="dxa" w:w="2904"/>
            <w:tcMar>
              <w:top w:w="100" w:type="dxa"/>
              <w:start w:w="120" w:type="dxa"/>
              <w:bottom w:w="100" w:type="dxa"/>
              <w:end w:w="120" w:type="dxa"/>
            </w:tcMar>
            <w:vAlign w:val="center"/>
          </w:tcPr>
          <w:p>
            <w:pPr>
              <w:spacing w:after="20"/>
            </w:pPr>
            <w:r>
              <w:rPr>
                <w:rFonts w:ascii="Courier New" w:hAnsi="Courier New" w:cs="Courier New"/>
                <w:b/>
                <w:i w:val="0"/>
                <w:color w:val="D15339"/>
                <w:sz w:val="15"/>
              </w:rPr>
              <w:t>Detect</w:t>
            </w:r>
          </w:p>
          <w:p>
            <w:pPr>
              <w:pStyle w:val="CVEntryContext"/>
              <w:spacing w:after="40"/>
            </w:pPr>
            <w:r>
              <w:rPr>
                <w:b/>
              </w:rPr>
              <w:t>Biosurveillance</w:t>
            </w:r>
          </w:p>
          <w:p>
            <w:pPr>
              <w:pStyle w:val="CVEntryDescription"/>
              <w:spacing w:after="0"/>
            </w:pPr>
            <w:r>
              <w:t>How can sequence models support detection across evolutionary distance?</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01</w:t>
            </w:r>
          </w:p>
        </w:tc>
        <w:tc>
          <w:tcPr>
            <w:tcW w:type="dxa" w:w="9820"/>
            <w:tcMar>
              <w:top w:w="105" w:type="dxa"/>
              <w:start w:w="0" w:type="dxa"/>
              <w:bottom w:w="35" w:type="dxa"/>
              <w:end w:w="0" w:type="dxa"/>
            </w:tcMar>
          </w:tcPr>
          <w:p>
            <w:pPr>
              <w:pStyle w:val="CVSectionTitle"/>
              <w:keepNext/>
              <w:spacing w:after="0"/>
              <w:pBdr>
                <w:bottom w:val="single" w:sz="4" w:space="2" w:color="D2D7DB"/>
              </w:pBdr>
            </w:pPr>
            <w:r>
              <w:t>Education</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Doctor of Philosophy, Systems Biology · Columbia University</w:t>
            </w:r>
          </w:p>
          <w:p>
            <w:pPr>
              <w:pStyle w:val="CVEntryDescription"/>
              <w:spacing w:after="0"/>
            </w:pPr>
            <w:r>
              <w:t>Thesis: Systematic Evaluation Frameworks for Foundational Genome Language Models · Advisor: Mohammed AlQuraishi, PhD</w:t>
            </w:r>
          </w:p>
        </w:tc>
        <w:tc>
          <w:tcPr>
            <w:tcW w:type="dxa" w:w="1296"/>
            <w:tcMar>
              <w:top w:w="18" w:type="dxa"/>
              <w:start w:w="0" w:type="dxa"/>
              <w:bottom w:w="45" w:type="dxa"/>
              <w:end w:w="0" w:type="dxa"/>
            </w:tcMar>
            <w:vAlign w:val="top"/>
          </w:tcPr>
          <w:p>
            <w:pPr>
              <w:pStyle w:val="CVDate"/>
              <w:spacing w:after="0"/>
              <w:jc w:val="right"/>
            </w:pPr>
            <w:r>
              <w:t>Current</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Master of Science, Biology · Technion — Israel Institute of Technology</w:t>
            </w:r>
          </w:p>
          <w:p>
            <w:pPr>
              <w:pStyle w:val="CVEntryDescription"/>
              <w:spacing w:after="0"/>
            </w:pPr>
            <w:r>
              <w:t>Thesis: Rapid Gene Content Alteration in Recurring Infections · Advisor: Roy Kishony, PhD</w:t>
            </w:r>
          </w:p>
        </w:tc>
        <w:tc>
          <w:tcPr>
            <w:tcW w:type="dxa" w:w="1296"/>
            <w:tcMar>
              <w:top w:w="18" w:type="dxa"/>
              <w:start w:w="0" w:type="dxa"/>
              <w:bottom w:w="4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Bachelor of Science, Honours Neuroscience · McGill University</w:t>
            </w:r>
          </w:p>
          <w:p>
            <w:pPr>
              <w:pStyle w:val="CVEntryDescription"/>
              <w:spacing w:after="0"/>
            </w:pPr>
            <w:r>
              <w:t>First Class Honours · Dean’s Honours List · Dean’s Multidisciplinary Research List</w:t>
            </w:r>
          </w:p>
        </w:tc>
        <w:tc>
          <w:tcPr>
            <w:tcW w:type="dxa" w:w="1296"/>
            <w:tcMar>
              <w:top w:w="18" w:type="dxa"/>
              <w:start w:w="0" w:type="dxa"/>
              <w:bottom w:w="45" w:type="dxa"/>
              <w:end w:w="0" w:type="dxa"/>
            </w:tcMar>
            <w:vAlign w:val="top"/>
          </w:tcPr>
          <w:p>
            <w:pPr>
              <w:pStyle w:val="CVDate"/>
              <w:spacing w:after="0"/>
              <w:jc w:val="right"/>
            </w:pPr>
            <w:r>
              <w:t>2019</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02</w:t>
            </w:r>
          </w:p>
        </w:tc>
        <w:tc>
          <w:tcPr>
            <w:tcW w:type="dxa" w:w="9820"/>
            <w:tcMar>
              <w:top w:w="105" w:type="dxa"/>
              <w:start w:w="0" w:type="dxa"/>
              <w:bottom w:w="35" w:type="dxa"/>
              <w:end w:w="0" w:type="dxa"/>
            </w:tcMar>
          </w:tcPr>
          <w:p>
            <w:pPr>
              <w:pStyle w:val="CVSectionTitle"/>
              <w:keepNext/>
              <w:spacing w:after="0"/>
              <w:pBdr>
                <w:bottom w:val="single" w:sz="4" w:space="2" w:color="D2D7DB"/>
              </w:pBdr>
            </w:pPr>
            <w:r>
              <w:t>Current fellowships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Pivotal Research Frontier Biodefense Fellow</w:t>
            </w:r>
          </w:p>
          <w:p>
            <w:pPr>
              <w:pStyle w:val="CVEntryDescription"/>
              <w:spacing w:after="0"/>
            </w:pPr>
            <w:r>
              <w:t>Developing reference-free methods to detect engineered DNA in metagenomic sequencing data.</w:t>
            </w:r>
          </w:p>
        </w:tc>
        <w:tc>
          <w:tcPr>
            <w:tcW w:type="dxa" w:w="1296"/>
            <w:tcMar>
              <w:top w:w="18" w:type="dxa"/>
              <w:start w:w="0" w:type="dxa"/>
              <w:bottom w:w="45" w:type="dxa"/>
              <w:end w:w="0" w:type="dxa"/>
            </w:tcMar>
            <w:vAlign w:val="top"/>
          </w:tcPr>
          <w:p>
            <w:pPr>
              <w:pStyle w:val="CVDate"/>
              <w:spacing w:after="0"/>
              <w:jc w:val="right"/>
            </w:pPr>
            <w:r>
              <w:t>Aug–Oct 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ML Alignment &amp; Theory Scholars (MATS), Autumn 2026</w:t>
            </w:r>
          </w:p>
          <w:p>
            <w:pPr>
              <w:pStyle w:val="CVEntryDescription"/>
              <w:spacing w:after="0"/>
            </w:pPr>
            <w:r>
              <w:t>Biosecurity track, mentored by Gary Abel at Fourth Eon Bio; technical research including function-based DNA synthesis screening.</w:t>
            </w:r>
          </w:p>
        </w:tc>
        <w:tc>
          <w:tcPr>
            <w:tcW w:type="dxa" w:w="1296"/>
            <w:tcMar>
              <w:top w:w="18" w:type="dxa"/>
              <w:start w:w="0" w:type="dxa"/>
              <w:bottom w:w="45" w:type="dxa"/>
              <w:end w:w="0" w:type="dxa"/>
            </w:tcMar>
            <w:vAlign w:val="top"/>
          </w:tcPr>
          <w:p>
            <w:pPr>
              <w:pStyle w:val="CVDate"/>
              <w:spacing w:after="0"/>
              <w:jc w:val="right"/>
            </w:pPr>
            <w:r>
              <w:t>Sep–Dec 2026</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03</w:t>
            </w:r>
          </w:p>
        </w:tc>
        <w:tc>
          <w:tcPr>
            <w:tcW w:type="dxa" w:w="9820"/>
            <w:tcMar>
              <w:top w:w="105" w:type="dxa"/>
              <w:start w:w="0" w:type="dxa"/>
              <w:bottom w:w="35" w:type="dxa"/>
              <w:end w:w="0" w:type="dxa"/>
            </w:tcMar>
          </w:tcPr>
          <w:p>
            <w:pPr>
              <w:pStyle w:val="CVSectionTitle"/>
              <w:keepNext/>
              <w:spacing w:after="0"/>
              <w:pBdr>
                <w:bottom w:val="single" w:sz="4" w:space="2" w:color="D2D7DB"/>
              </w:pBdr>
            </w:pPr>
            <w:r>
              <w:t>Research experience</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Mohammed AlQuraishi Lab · Columbia University · Program of Mathematical Genomics</w:t>
            </w:r>
          </w:p>
          <w:p>
            <w:pPr>
              <w:pStyle w:val="CVEntryDescription"/>
              <w:spacing w:after="0"/>
            </w:pPr>
            <w:r>
              <w:t>Developing evaluation frameworks and applications for genome language models across genomic context use, pathway-level reasoning, wastewater pathogen monitoring, and protein–protein interaction prediction. Co-developing GeneCtx and WAVEBench to test model behavior under realistic biological distribution shifts.</w:t>
            </w:r>
          </w:p>
        </w:tc>
        <w:tc>
          <w:tcPr>
            <w:tcW w:type="dxa" w:w="1296"/>
            <w:tcMar>
              <w:top w:w="18" w:type="dxa"/>
              <w:start w:w="0" w:type="dxa"/>
              <w:bottom w:w="45" w:type="dxa"/>
              <w:end w:w="0" w:type="dxa"/>
            </w:tcMar>
            <w:vAlign w:val="top"/>
          </w:tcPr>
          <w:p>
            <w:pPr>
              <w:pStyle w:val="CVDate"/>
              <w:spacing w:after="0"/>
              <w:jc w:val="right"/>
            </w:pPr>
            <w:r>
              <w:t>2022–Current</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Tal Korem Lab · Columbia University · Program of Mathematical Genomics</w:t>
            </w:r>
          </w:p>
          <w:p>
            <w:pPr>
              <w:pStyle w:val="CVEntryDescription"/>
              <w:spacing w:after="0"/>
            </w:pPr>
            <w:r>
              <w:t>Created a model to detect small RNAs in bacterial genomes.</w:t>
            </w:r>
          </w:p>
        </w:tc>
        <w:tc>
          <w:tcPr>
            <w:tcW w:type="dxa" w:w="1296"/>
            <w:tcMar>
              <w:top w:w="18" w:type="dxa"/>
              <w:start w:w="0" w:type="dxa"/>
              <w:bottom w:w="45" w:type="dxa"/>
              <w:end w:w="0" w:type="dxa"/>
            </w:tcMar>
            <w:vAlign w:val="top"/>
          </w:tcPr>
          <w:p>
            <w:pPr>
              <w:pStyle w:val="CVDate"/>
              <w:spacing w:after="0"/>
              <w:jc w:val="right"/>
            </w:pPr>
            <w:r>
              <w:t>2021–2023</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Itsik Pe’er Lab · Columbia University · Department of Computer Science</w:t>
            </w:r>
          </w:p>
          <w:p>
            <w:pPr>
              <w:pStyle w:val="CVEntryDescription"/>
              <w:spacing w:after="0"/>
            </w:pPr>
            <w:r>
              <w:t>Developed a neural embedding model in hyperbolic spaces to improve small-protein prediction.</w:t>
            </w:r>
          </w:p>
        </w:tc>
        <w:tc>
          <w:tcPr>
            <w:tcW w:type="dxa" w:w="1296"/>
            <w:tcMar>
              <w:top w:w="18" w:type="dxa"/>
              <w:start w:w="0" w:type="dxa"/>
              <w:bottom w:w="4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Roy Kishony Lab · Technion — Israel Institute of Technology · Department of Biology</w:t>
            </w:r>
          </w:p>
          <w:p>
            <w:pPr>
              <w:pStyle w:val="CVEntryDescription"/>
              <w:spacing w:after="0"/>
            </w:pPr>
            <w:r>
              <w:t>Built a computational pipeline to identify mobile genetic elements in recurring infections and designed experiments on eco-evolutionary dynamics in microbial communities.</w:t>
            </w:r>
          </w:p>
        </w:tc>
        <w:tc>
          <w:tcPr>
            <w:tcW w:type="dxa" w:w="1296"/>
            <w:tcMar>
              <w:top w:w="18" w:type="dxa"/>
              <w:start w:w="0" w:type="dxa"/>
              <w:bottom w:w="45" w:type="dxa"/>
              <w:end w:w="0" w:type="dxa"/>
            </w:tcMar>
            <w:vAlign w:val="top"/>
          </w:tcPr>
          <w:p>
            <w:pPr>
              <w:pStyle w:val="CVDate"/>
              <w:spacing w:after="0"/>
              <w:jc w:val="right"/>
            </w:pPr>
            <w:r>
              <w:t>2019–2021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Amine Kamen Lab · McGill University · Department of Bioengineering</w:t>
            </w:r>
          </w:p>
          <w:p>
            <w:pPr>
              <w:pStyle w:val="CVEntryDescription"/>
              <w:spacing w:after="0"/>
            </w:pPr>
            <w:r>
              <w:t>Designed and manufactured adeno-associated viruses carrying Cas9 for improved CAR-T cell engineering.</w:t>
            </w:r>
          </w:p>
        </w:tc>
        <w:tc>
          <w:tcPr>
            <w:tcW w:type="dxa" w:w="1296"/>
            <w:tcMar>
              <w:top w:w="18" w:type="dxa"/>
              <w:start w:w="0" w:type="dxa"/>
              <w:bottom w:w="45" w:type="dxa"/>
              <w:end w:w="0" w:type="dxa"/>
            </w:tcMar>
            <w:vAlign w:val="top"/>
          </w:tcPr>
          <w:p>
            <w:pPr>
              <w:pStyle w:val="CVDate"/>
              <w:spacing w:after="0"/>
              <w:jc w:val="right"/>
            </w:pPr>
            <w:r>
              <w:t>2018–2019</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Center for Health Security · Johns Hopkins Bloomberg School of Public Health</w:t>
            </w:r>
          </w:p>
          <w:p>
            <w:pPr>
              <w:pStyle w:val="CVEntryDescription"/>
              <w:spacing w:after="0"/>
            </w:pPr>
            <w:r>
              <w:t>Surveyed DNA-synthesis providers’ sequence- and customer-screening practices, informing Strengthening Security for Gene Synthesis; studied safety, innovation, and community norms in DIY biology.</w:t>
            </w:r>
          </w:p>
        </w:tc>
        <w:tc>
          <w:tcPr>
            <w:tcW w:type="dxa" w:w="1296"/>
            <w:tcMar>
              <w:top w:w="18" w:type="dxa"/>
              <w:start w:w="0" w:type="dxa"/>
              <w:bottom w:w="45" w:type="dxa"/>
              <w:end w:w="0" w:type="dxa"/>
            </w:tcMar>
            <w:vAlign w:val="top"/>
          </w:tcPr>
          <w:p>
            <w:pPr>
              <w:pStyle w:val="CVDate"/>
              <w:spacing w:after="0"/>
              <w:jc w:val="right"/>
            </w:pPr>
            <w:r>
              <w:t>2018</w:t>
            </w:r>
          </w:p>
        </w:tc>
      </w:tr>
    </w:tbl>
    <w:p>
      <w:pPr>
        <w:sectPr>
          <w:footerReference w:type="default" r:id="rId9"/>
          <w:pgSz w:w="12240" w:h="15840"/>
          <w:pgMar w:top="792" w:right="936" w:bottom="792" w:left="936" w:header="432" w:footer="432" w:gutter="0"/>
          <w:cols w:space="720"/>
          <w:docGrid w:linePitch="360"/>
        </w:sectPr>
      </w:pPr>
    </w:p>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03</w:t>
            </w:r>
          </w:p>
        </w:tc>
        <w:tc>
          <w:tcPr>
            <w:tcW w:type="dxa" w:w="9820"/>
            <w:tcMar>
              <w:top w:w="105" w:type="dxa"/>
              <w:start w:w="0" w:type="dxa"/>
              <w:bottom w:w="35" w:type="dxa"/>
              <w:end w:w="0" w:type="dxa"/>
            </w:tcMar>
          </w:tcPr>
          <w:p>
            <w:pPr>
              <w:pStyle w:val="CVSectionTitle"/>
              <w:keepNext/>
              <w:spacing w:after="0"/>
              <w:pBdr>
                <w:bottom w:val="single" w:sz="4" w:space="2" w:color="D2D7DB"/>
              </w:pBdr>
            </w:pPr>
            <w:r>
              <w:t>Research experience · continued</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Jonathan Kimmelman Lab · McGill University · Biomedical Ethics Unit</w:t>
            </w:r>
          </w:p>
          <w:p>
            <w:pPr>
              <w:pStyle w:val="CVEntryDescription"/>
              <w:spacing w:after="0"/>
            </w:pPr>
            <w:r>
              <w:t>Applied machine learning to analyze clinical-trial design factors that influence outcome forecasts; contributed to a meta-analysis.</w:t>
            </w:r>
          </w:p>
        </w:tc>
        <w:tc>
          <w:tcPr>
            <w:tcW w:type="dxa" w:w="1296"/>
            <w:tcMar>
              <w:top w:w="18" w:type="dxa"/>
              <w:start w:w="0" w:type="dxa"/>
              <w:bottom w:w="45" w:type="dxa"/>
              <w:end w:w="0" w:type="dxa"/>
            </w:tcMar>
            <w:vAlign w:val="top"/>
          </w:tcPr>
          <w:p>
            <w:pPr>
              <w:pStyle w:val="CVDate"/>
              <w:spacing w:after="0"/>
              <w:jc w:val="right"/>
            </w:pPr>
            <w:r>
              <w:t>2017–2018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Edward Ruthazer Lab · McGill University · Montreal Neurological Institute</w:t>
            </w:r>
          </w:p>
          <w:p>
            <w:pPr>
              <w:pStyle w:val="CVEntryDescription"/>
              <w:spacing w:after="0"/>
            </w:pPr>
            <w:r>
              <w:t>Electroporated and imaged tadpoles to study structural plasticity in the developing visual system.</w:t>
            </w:r>
          </w:p>
        </w:tc>
        <w:tc>
          <w:tcPr>
            <w:tcW w:type="dxa" w:w="1296"/>
            <w:tcMar>
              <w:top w:w="18" w:type="dxa"/>
              <w:start w:w="0" w:type="dxa"/>
              <w:bottom w:w="45" w:type="dxa"/>
              <w:end w:w="0" w:type="dxa"/>
            </w:tcMar>
            <w:vAlign w:val="top"/>
          </w:tcPr>
          <w:p>
            <w:pPr>
              <w:pStyle w:val="CVDate"/>
              <w:spacing w:after="0"/>
              <w:jc w:val="right"/>
            </w:pPr>
            <w:r>
              <w:t>2017</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Rafael Najmanovich Lab · Université de Montréal · Pharmacology and Physiology</w:t>
            </w:r>
          </w:p>
          <w:p>
            <w:pPr>
              <w:pStyle w:val="CVEntryDescription"/>
              <w:spacing w:after="0"/>
            </w:pPr>
            <w:r>
              <w:t>Developed protein-interface software based on surrounding force fields and modeled C. difficile germination protease to identify candidate inhibitory ligands.</w:t>
            </w:r>
          </w:p>
        </w:tc>
        <w:tc>
          <w:tcPr>
            <w:tcW w:type="dxa" w:w="1296"/>
            <w:tcMar>
              <w:top w:w="18" w:type="dxa"/>
              <w:start w:w="0" w:type="dxa"/>
              <w:bottom w:w="45" w:type="dxa"/>
              <w:end w:w="0" w:type="dxa"/>
            </w:tcMar>
            <w:vAlign w:val="top"/>
          </w:tcPr>
          <w:p>
            <w:pPr>
              <w:pStyle w:val="CVDate"/>
              <w:spacing w:after="0"/>
              <w:jc w:val="right"/>
            </w:pPr>
            <w:r>
              <w:t>2016–2017</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04</w:t>
            </w:r>
          </w:p>
        </w:tc>
        <w:tc>
          <w:tcPr>
            <w:tcW w:type="dxa" w:w="9820"/>
            <w:tcMar>
              <w:top w:w="105" w:type="dxa"/>
              <w:start w:w="0" w:type="dxa"/>
              <w:bottom w:w="35" w:type="dxa"/>
              <w:end w:w="0" w:type="dxa"/>
            </w:tcMar>
          </w:tcPr>
          <w:p>
            <w:pPr>
              <w:pStyle w:val="CVSectionTitle"/>
              <w:keepNext/>
              <w:spacing w:after="0"/>
              <w:pBdr>
                <w:bottom w:val="single" w:sz="4" w:space="2" w:color="D2D7DB"/>
              </w:pBdr>
            </w:pPr>
            <w:r>
              <w:t>Publications and manuscripts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P01  </w:t>
            </w:r>
            <w:r>
              <w:t xml:space="preserve">Le Lievre T*, </w:t>
            </w:r>
            <w:r>
              <w:rPr>
                <w:b/>
              </w:rPr>
              <w:t>Aharony N</w:t>
            </w:r>
            <w:r>
              <w:t xml:space="preserve">*, Wang S, Adams E, AlQuraishi M. </w:t>
            </w:r>
            <w:r>
              <w:rPr>
                <w:i/>
              </w:rPr>
              <w:t xml:space="preserve">GeneCtx: An Evaluation Framework for Dissecting Genomic Context Use in Genome Language Models. </w:t>
            </w:r>
            <w:r>
              <w:t>Submitted to NeurIPS 2026 Evaluations &amp; Datasets track.</w:t>
            </w:r>
          </w:p>
        </w:tc>
        <w:tc>
          <w:tcPr>
            <w:tcW w:type="dxa" w:w="1296"/>
            <w:tcMar>
              <w:top w:w="20" w:type="dxa"/>
              <w:start w:w="0" w:type="dxa"/>
              <w:bottom w:w="7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P02  </w:t>
            </w:r>
            <w:r>
              <w:t xml:space="preserve">Liang C, Wagstaff J, </w:t>
            </w:r>
            <w:r>
              <w:rPr>
                <w:b/>
              </w:rPr>
              <w:t>Aharony N</w:t>
            </w:r>
            <w:r>
              <w:t xml:space="preserve">, Schmit V, Manheim D. </w:t>
            </w:r>
            <w:r>
              <w:rPr>
                <w:i/>
              </w:rPr>
              <w:t xml:space="preserve">Managing the Transition to Widespread Metagenomic Monitoring: Policy Considerations for Future Biosurveillance. </w:t>
            </w:r>
            <w:r>
              <w:t>Health Security, 21(1), 34–45.</w:t>
            </w:r>
          </w:p>
        </w:tc>
        <w:tc>
          <w:tcPr>
            <w:tcW w:type="dxa" w:w="1296"/>
            <w:tcMar>
              <w:top w:w="20" w:type="dxa"/>
              <w:start w:w="0" w:type="dxa"/>
              <w:bottom w:w="75" w:type="dxa"/>
              <w:end w:w="0" w:type="dxa"/>
            </w:tcMar>
            <w:vAlign w:val="top"/>
          </w:tcPr>
          <w:p>
            <w:pPr>
              <w:pStyle w:val="CVDate"/>
              <w:spacing w:after="0"/>
              <w:jc w:val="right"/>
            </w:pPr>
            <w:r>
              <w:t>2023</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P03  </w:t>
            </w:r>
            <w:r>
              <w:t xml:space="preserve">Myers A, Utpala S, Talbar S, Sanborn S, Shewmake C, Donnat C, Mathe J, Lupo U, Sonthalia R, Cui X, Szwagier T, Pignet A, Bergsson A, Hauberg S, Nielson D, Sommer S, Klindt D, Hermansen E, Vaupel M, Dunn B, Xiong J, </w:t>
            </w:r>
            <w:r>
              <w:rPr>
                <w:b/>
              </w:rPr>
              <w:t>Aharony N</w:t>
            </w:r>
            <w:r>
              <w:t xml:space="preserve">, Pe’er I, Ambellan F, Hanik M, Nava-Yazdani E, von Tycowicz C, Miolane N. </w:t>
            </w:r>
            <w:r>
              <w:rPr>
                <w:i/>
              </w:rPr>
              <w:t xml:space="preserve">ICLR 2022 Challenge for Computational Geometry &amp; Topology: Design and Results. </w:t>
            </w:r>
            <w:r>
              <w:t>arXiv.</w:t>
            </w:r>
          </w:p>
        </w:tc>
        <w:tc>
          <w:tcPr>
            <w:tcW w:type="dxa" w:w="1296"/>
            <w:tcMar>
              <w:top w:w="20" w:type="dxa"/>
              <w:start w:w="0" w:type="dxa"/>
              <w:bottom w:w="7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P04  </w:t>
            </w:r>
            <w:r>
              <w:t xml:space="preserve">Milman O*, Yelin I*, </w:t>
            </w:r>
            <w:r>
              <w:rPr>
                <w:b/>
              </w:rPr>
              <w:t>Aharony N</w:t>
            </w:r>
            <w:r>
              <w:t xml:space="preserve">, Katz R, Herzel E, Ben-Tov A, Kuint J, Gazit S, Chodick G, Patalon T, Kishony R. </w:t>
            </w:r>
            <w:r>
              <w:rPr>
                <w:i/>
              </w:rPr>
              <w:t xml:space="preserve">Community-level evidence for SARS-CoV-2 vaccine protection of unvaccinated individuals. </w:t>
            </w:r>
            <w:r>
              <w:t>Nature Medicine.</w:t>
            </w:r>
          </w:p>
        </w:tc>
        <w:tc>
          <w:tcPr>
            <w:tcW w:type="dxa" w:w="1296"/>
            <w:tcMar>
              <w:top w:w="20" w:type="dxa"/>
              <w:start w:w="0" w:type="dxa"/>
              <w:bottom w:w="7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P05  </w:t>
            </w:r>
            <w:r>
              <w:t xml:space="preserve">Yelin I*, </w:t>
            </w:r>
            <w:r>
              <w:rPr>
                <w:b/>
              </w:rPr>
              <w:t>Aharony N</w:t>
            </w:r>
            <w:r>
              <w:t xml:space="preserve">*, Shaer-Tamar E*, Argoetti A*, Messer E, Berenbaum D, Shafran E, Kuzil A, Gandali N, Hashimshony T, Mandel-Gutfreund Y, Halberthal M, Geffen Y, Szwarcwort-Cohen M, Kishony R. </w:t>
            </w:r>
            <w:r>
              <w:rPr>
                <w:i/>
              </w:rPr>
              <w:t xml:space="preserve">Evaluation of COVID-19 RT-qPCR test in multi-sample pools. </w:t>
            </w:r>
            <w:r>
              <w:t>Clinical Infectious Diseases.</w:t>
            </w:r>
          </w:p>
        </w:tc>
        <w:tc>
          <w:tcPr>
            <w:tcW w:type="dxa" w:w="1296"/>
            <w:tcMar>
              <w:top w:w="20" w:type="dxa"/>
              <w:start w:w="0" w:type="dxa"/>
              <w:bottom w:w="75" w:type="dxa"/>
              <w:end w:w="0" w:type="dxa"/>
            </w:tcMar>
            <w:vAlign w:val="top"/>
          </w:tcPr>
          <w:p>
            <w:pPr>
              <w:pStyle w:val="CVDate"/>
              <w:spacing w:after="0"/>
              <w:jc w:val="right"/>
            </w:pPr>
            <w:r>
              <w:t>2020</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20" w:type="dxa"/>
              <w:start w:w="0" w:type="dxa"/>
              <w:bottom w:w="75" w:type="dxa"/>
              <w:end w:w="0" w:type="dxa"/>
            </w:tcMar>
            <w:vAlign w:val="top"/>
          </w:tcPr>
          <w:p>
            <w:pPr>
              <w:pStyle w:val="CVPublication"/>
              <w:spacing w:after="0"/>
            </w:pPr>
            <w:r>
              <w:rPr>
                <w:rFonts w:ascii="Courier New" w:hAnsi="Courier New" w:cs="Courier New"/>
                <w:b/>
                <w:i w:val="0"/>
                <w:color w:val="24497F"/>
                <w:sz w:val="15"/>
              </w:rPr>
              <w:t xml:space="preserve">P06  </w:t>
            </w:r>
            <w:r>
              <w:t xml:space="preserve">Moco PD, </w:t>
            </w:r>
            <w:r>
              <w:rPr>
                <w:b/>
              </w:rPr>
              <w:t>Aharony N</w:t>
            </w:r>
            <w:r>
              <w:t xml:space="preserve">, Kamen A. </w:t>
            </w:r>
            <w:r>
              <w:rPr>
                <w:i/>
              </w:rPr>
              <w:t xml:space="preserve">Adeno-Associated Viral Vectors for Homology-Directed Generation of CAR-T cells. </w:t>
            </w:r>
            <w:r>
              <w:t>Biotechnology Journal.</w:t>
            </w:r>
          </w:p>
        </w:tc>
        <w:tc>
          <w:tcPr>
            <w:tcW w:type="dxa" w:w="1296"/>
            <w:tcMar>
              <w:top w:w="20" w:type="dxa"/>
              <w:start w:w="0" w:type="dxa"/>
              <w:bottom w:w="75" w:type="dxa"/>
              <w:end w:w="0" w:type="dxa"/>
            </w:tcMar>
            <w:vAlign w:val="top"/>
          </w:tcPr>
          <w:p>
            <w:pPr>
              <w:pStyle w:val="CVDate"/>
              <w:spacing w:after="0"/>
              <w:jc w:val="right"/>
            </w:pPr>
            <w:r>
              <w:t>2019</w:t>
            </w:r>
          </w:p>
        </w:tc>
      </w:tr>
    </w:tbl>
    <w:p>
      <w:pPr>
        <w:pStyle w:val="CVEntryContext"/>
        <w:ind w:left="547"/>
      </w:pPr>
      <w:r>
        <w:t>* Equal contribution.</w:t>
      </w:r>
    </w:p>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05</w:t>
            </w:r>
          </w:p>
        </w:tc>
        <w:tc>
          <w:tcPr>
            <w:tcW w:type="dxa" w:w="9820"/>
            <w:tcMar>
              <w:top w:w="105" w:type="dxa"/>
              <w:start w:w="0" w:type="dxa"/>
              <w:bottom w:w="35" w:type="dxa"/>
              <w:end w:w="0" w:type="dxa"/>
            </w:tcMar>
          </w:tcPr>
          <w:p>
            <w:pPr>
              <w:pStyle w:val="CVSectionTitle"/>
              <w:keepNext/>
              <w:spacing w:after="0"/>
              <w:pBdr>
                <w:bottom w:val="single" w:sz="4" w:space="2" w:color="D2D7DB"/>
              </w:pBdr>
            </w:pPr>
            <w:r>
              <w:t>Posters and talks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AlQuraishi M. Evaluating Genome Language Model Embeddings as Transferable Priors for Metagenomic Binning.</w:t>
            </w:r>
          </w:p>
          <w:p>
            <w:pPr>
              <w:pStyle w:val="CVEntryDescription"/>
              <w:spacing w:after="0"/>
            </w:pPr>
            <w:r>
              <w:t>Accepted poster · CIBB 2026 · Rome, Italy · Sep 2–4,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Wang S, Neiswanger W. Benchmarking Genome Language Models for Novel Virus Detection in Wastewater Across Evolutionary Distance.</w:t>
            </w:r>
          </w:p>
          <w:p>
            <w:pPr>
              <w:pStyle w:val="CVEntryDescription"/>
              <w:spacing w:after="0"/>
            </w:pPr>
            <w:r>
              <w:t>Selected oral presentation · ASM BIG 2026 · Washington, DC · Oct 11–14, 2026 · Talk Oct 13.</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Le Lievre T*, Aharony N*, AlQuraishi M. PRIME-Bench: A Benchmark for Pathway-Level Reasoning in Genome Language Models.</w:t>
            </w:r>
          </w:p>
          <w:p>
            <w:pPr>
              <w:pStyle w:val="CVEntryDescription"/>
              <w:spacing w:after="0"/>
            </w:pPr>
            <w:r>
              <w:t>Poster · ISMB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Who Holds the Reins in Agent-Assisted Systems Biology?</w:t>
            </w:r>
          </w:p>
          <w:p>
            <w:pPr>
              <w:pStyle w:val="CVEntryDescription"/>
              <w:spacing w:after="0"/>
            </w:pPr>
            <w:r>
              <w:t>Accepted poster and extended abstract · NE AI Agents Day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AlQuraishi M. Evaluating Genome Language Models for Metagenomic Binning.</w:t>
            </w:r>
          </w:p>
          <w:p>
            <w:pPr>
              <w:pStyle w:val="CVEntryDescription"/>
              <w:spacing w:after="0"/>
            </w:pPr>
            <w:r>
              <w:t>Accepted poster · Pioneering Israeli Science Conference / ScienceAbroad 2026.</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Rapid Talks and Panel: 2024 Innovative Tools &amp; Solutions Award Recipients.</w:t>
            </w:r>
          </w:p>
          <w:p>
            <w:pPr>
              <w:pStyle w:val="CVEntryDescription"/>
              <w:spacing w:after="0"/>
            </w:pPr>
            <w:r>
              <w:t>Flash talk and panelist · Pandemic Response Institute.</w:t>
            </w:r>
          </w:p>
        </w:tc>
        <w:tc>
          <w:tcPr>
            <w:tcW w:type="dxa" w:w="1296"/>
            <w:tcMar>
              <w:top w:w="18" w:type="dxa"/>
              <w:start w:w="0" w:type="dxa"/>
              <w:bottom w:w="45" w:type="dxa"/>
              <w:end w:w="0" w:type="dxa"/>
            </w:tcMar>
            <w:vAlign w:val="top"/>
          </w:tcPr>
          <w:p>
            <w:pPr>
              <w:pStyle w:val="CVDate"/>
              <w:spacing w:after="0"/>
              <w:jc w:val="right"/>
            </w:pPr>
            <w:r>
              <w:t>2026</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Genome Language Models Reading the Future of Pandemics in Wastewater.</w:t>
            </w:r>
          </w:p>
          <w:p>
            <w:pPr>
              <w:pStyle w:val="CVEntryDescription"/>
              <w:spacing w:after="0"/>
            </w:pPr>
            <w:r>
              <w:t>Flash talk · Pandemic Response Institute Innovation Showcase.</w:t>
            </w:r>
          </w:p>
        </w:tc>
        <w:tc>
          <w:tcPr>
            <w:tcW w:type="dxa" w:w="1296"/>
            <w:tcMar>
              <w:top w:w="18" w:type="dxa"/>
              <w:start w:w="0" w:type="dxa"/>
              <w:bottom w:w="45" w:type="dxa"/>
              <w:end w:w="0" w:type="dxa"/>
            </w:tcMar>
            <w:vAlign w:val="top"/>
          </w:tcPr>
          <w:p>
            <w:pPr>
              <w:pStyle w:val="CVDate"/>
              <w:spacing w:after="0"/>
              <w:jc w:val="right"/>
            </w:pPr>
            <w:r>
              <w:t>2025</w:t>
            </w:r>
          </w:p>
        </w:tc>
      </w:tr>
    </w:tbl>
    <w:p>
      <w:pPr>
        <w:sectPr>
          <w:headerReference w:type="default" r:id="rId14"/>
          <w:footerReference w:type="default" r:id="rId15"/>
          <w:pgSz w:w="12240" w:h="15840"/>
          <w:pgMar w:top="792" w:right="936" w:bottom="792" w:left="936" w:header="432" w:footer="432" w:gutter="0"/>
          <w:cols w:space="720"/>
          <w:docGrid w:linePitch="360"/>
        </w:sectPr>
      </w:pPr>
    </w:p>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05</w:t>
            </w:r>
          </w:p>
        </w:tc>
        <w:tc>
          <w:tcPr>
            <w:tcW w:type="dxa" w:w="9820"/>
            <w:tcMar>
              <w:top w:w="105" w:type="dxa"/>
              <w:start w:w="0" w:type="dxa"/>
              <w:bottom w:w="35" w:type="dxa"/>
              <w:end w:w="0" w:type="dxa"/>
            </w:tcMar>
          </w:tcPr>
          <w:p>
            <w:pPr>
              <w:pStyle w:val="CVSectionTitle"/>
              <w:keepNext/>
              <w:spacing w:after="0"/>
              <w:pBdr>
                <w:bottom w:val="single" w:sz="4" w:space="2" w:color="D2D7DB"/>
              </w:pBdr>
            </w:pPr>
            <w:r>
              <w:t>Posters and talks · continued</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Computational Methods for Pandemic Pathogen Detection.</w:t>
            </w:r>
          </w:p>
          <w:p>
            <w:pPr>
              <w:pStyle w:val="CVEntryDescription"/>
              <w:spacing w:after="0"/>
            </w:pPr>
            <w:r>
              <w:t>Flash talk · Singer Symposium.</w:t>
            </w:r>
          </w:p>
        </w:tc>
        <w:tc>
          <w:tcPr>
            <w:tcW w:type="dxa" w:w="1296"/>
            <w:tcMar>
              <w:top w:w="18" w:type="dxa"/>
              <w:start w:w="0" w:type="dxa"/>
              <w:bottom w:w="4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Kishony R. Rapid Alteration in Genetic Content Upon Recurring Infection.</w:t>
            </w:r>
          </w:p>
          <w:p>
            <w:pPr>
              <w:pStyle w:val="CVEntryDescription"/>
              <w:spacing w:after="0"/>
            </w:pPr>
            <w:r>
              <w:t>Poster · EMBL Symposium: New Approaches and Concepts in Microbiology.</w:t>
            </w:r>
          </w:p>
        </w:tc>
        <w:tc>
          <w:tcPr>
            <w:tcW w:type="dxa" w:w="1296"/>
            <w:tcMar>
              <w:top w:w="18" w:type="dxa"/>
              <w:start w:w="0" w:type="dxa"/>
              <w:bottom w:w="4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Careers in Biosecurity.</w:t>
            </w:r>
          </w:p>
          <w:p>
            <w:pPr>
              <w:pStyle w:val="CVEntryDescription"/>
              <w:spacing w:after="0"/>
            </w:pPr>
            <w:r>
              <w:t>Flash talk · EAGx Virtual.</w:t>
            </w:r>
          </w:p>
        </w:tc>
        <w:tc>
          <w:tcPr>
            <w:tcW w:type="dxa" w:w="1296"/>
            <w:tcMar>
              <w:top w:w="18" w:type="dxa"/>
              <w:start w:w="0" w:type="dxa"/>
              <w:bottom w:w="45" w:type="dxa"/>
              <w:end w:w="0" w:type="dxa"/>
            </w:tcMar>
            <w:vAlign w:val="top"/>
          </w:tcPr>
          <w:p>
            <w:pPr>
              <w:pStyle w:val="CVDate"/>
              <w:spacing w:after="0"/>
              <w:jc w:val="right"/>
            </w:pPr>
            <w:r>
              <w:t>2020</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Aharony N, Gronvall G. How Secure is the Gene Synthesis Industry?</w:t>
            </w:r>
          </w:p>
          <w:p>
            <w:pPr>
              <w:pStyle w:val="CVEntryDescription"/>
              <w:spacing w:after="0"/>
            </w:pPr>
            <w:r>
              <w:t>Poster · Biological Weapons Convention: Meeting of Experts.</w:t>
            </w:r>
          </w:p>
        </w:tc>
        <w:tc>
          <w:tcPr>
            <w:tcW w:type="dxa" w:w="1296"/>
            <w:tcMar>
              <w:top w:w="18" w:type="dxa"/>
              <w:start w:w="0" w:type="dxa"/>
              <w:bottom w:w="45" w:type="dxa"/>
              <w:end w:w="0" w:type="dxa"/>
            </w:tcMar>
            <w:vAlign w:val="top"/>
          </w:tcPr>
          <w:p>
            <w:pPr>
              <w:pStyle w:val="CVDate"/>
              <w:spacing w:after="0"/>
              <w:jc w:val="right"/>
            </w:pPr>
            <w:r>
              <w:t>2018</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06</w:t>
            </w:r>
          </w:p>
        </w:tc>
        <w:tc>
          <w:tcPr>
            <w:tcW w:type="dxa" w:w="9820"/>
            <w:tcMar>
              <w:top w:w="105" w:type="dxa"/>
              <w:start w:w="0" w:type="dxa"/>
              <w:bottom w:w="35" w:type="dxa"/>
              <w:end w:w="0" w:type="dxa"/>
            </w:tcMar>
          </w:tcPr>
          <w:p>
            <w:pPr>
              <w:pStyle w:val="CVSectionTitle"/>
              <w:keepNext/>
              <w:spacing w:after="0"/>
              <w:pBdr>
                <w:bottom w:val="single" w:sz="4" w:space="2" w:color="D2D7DB"/>
              </w:pBdr>
            </w:pPr>
            <w:r>
              <w:t>Awards and funding</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NYC Pandemic Response Institute Innovative Tools and Solutions Award</w:t>
            </w:r>
          </w:p>
          <w:p>
            <w:pPr>
              <w:pStyle w:val="CVEntryDescription"/>
              <w:spacing w:after="0"/>
            </w:pPr>
            <w:r>
              <w:t>Public-health emergency preparedness research funding.</w:t>
            </w:r>
          </w:p>
        </w:tc>
        <w:tc>
          <w:tcPr>
            <w:tcW w:type="dxa" w:w="1296"/>
            <w:tcMar>
              <w:top w:w="18" w:type="dxa"/>
              <w:start w:w="0" w:type="dxa"/>
              <w:bottom w:w="45" w:type="dxa"/>
              <w:end w:w="0" w:type="dxa"/>
            </w:tcMar>
            <w:vAlign w:val="top"/>
          </w:tcPr>
          <w:p>
            <w:pPr>
              <w:pStyle w:val="CVDate"/>
              <w:spacing w:after="0"/>
              <w:jc w:val="right"/>
            </w:pPr>
            <w:r>
              <w:t>2024</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EA Funds PhD Support Scholarship</w:t>
            </w:r>
          </w:p>
        </w:tc>
        <w:tc>
          <w:tcPr>
            <w:tcW w:type="dxa" w:w="1296"/>
            <w:tcMar>
              <w:top w:w="18" w:type="dxa"/>
              <w:start w:w="0" w:type="dxa"/>
              <w:bottom w:w="45" w:type="dxa"/>
              <w:end w:w="0" w:type="dxa"/>
            </w:tcMar>
            <w:vAlign w:val="top"/>
          </w:tcPr>
          <w:p>
            <w:pPr>
              <w:pStyle w:val="CVDate"/>
              <w:spacing w:after="0"/>
              <w:jc w:val="right"/>
            </w:pPr>
            <w:r>
              <w:t>2022</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Open Philanthropy Early-Career Funding</w:t>
            </w:r>
          </w:p>
        </w:tc>
        <w:tc>
          <w:tcPr>
            <w:tcW w:type="dxa" w:w="1296"/>
            <w:tcMar>
              <w:top w:w="18" w:type="dxa"/>
              <w:start w:w="0" w:type="dxa"/>
              <w:bottom w:w="45" w:type="dxa"/>
              <w:end w:w="0" w:type="dxa"/>
            </w:tcMar>
            <w:vAlign w:val="top"/>
          </w:tcPr>
          <w:p>
            <w:pPr>
              <w:pStyle w:val="CVDate"/>
              <w:spacing w:after="0"/>
              <w:jc w:val="right"/>
            </w:pPr>
            <w:r>
              <w:t>2021</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Miriam and Aaron Gutwirth Memorial Fellowship for Excellence in Research</w:t>
            </w:r>
          </w:p>
        </w:tc>
        <w:tc>
          <w:tcPr>
            <w:tcW w:type="dxa" w:w="1296"/>
            <w:tcMar>
              <w:top w:w="18" w:type="dxa"/>
              <w:start w:w="0" w:type="dxa"/>
              <w:bottom w:w="45" w:type="dxa"/>
              <w:end w:w="0" w:type="dxa"/>
            </w:tcMar>
            <w:vAlign w:val="top"/>
          </w:tcPr>
          <w:p>
            <w:pPr>
              <w:pStyle w:val="CVDate"/>
              <w:spacing w:after="0"/>
              <w:jc w:val="right"/>
            </w:pPr>
            <w:r>
              <w:t>2020</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Leonard and Diane Sherman Interdisciplinary Graduate School Fellowship</w:t>
            </w:r>
          </w:p>
        </w:tc>
        <w:tc>
          <w:tcPr>
            <w:tcW w:type="dxa" w:w="1296"/>
            <w:tcMar>
              <w:top w:w="18" w:type="dxa"/>
              <w:start w:w="0" w:type="dxa"/>
              <w:bottom w:w="45" w:type="dxa"/>
              <w:end w:w="0" w:type="dxa"/>
            </w:tcMar>
            <w:vAlign w:val="top"/>
          </w:tcPr>
          <w:p>
            <w:pPr>
              <w:pStyle w:val="CVDate"/>
              <w:spacing w:after="0"/>
              <w:jc w:val="right"/>
            </w:pPr>
            <w:r>
              <w:t>2019</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Open Philanthropy Early-Career Funding for Global Biological Risks</w:t>
            </w:r>
          </w:p>
        </w:tc>
        <w:tc>
          <w:tcPr>
            <w:tcW w:type="dxa" w:w="1296"/>
            <w:tcMar>
              <w:top w:w="18" w:type="dxa"/>
              <w:start w:w="0" w:type="dxa"/>
              <w:bottom w:w="45" w:type="dxa"/>
              <w:end w:w="0" w:type="dxa"/>
            </w:tcMar>
            <w:vAlign w:val="top"/>
          </w:tcPr>
          <w:p>
            <w:pPr>
              <w:pStyle w:val="CVDate"/>
              <w:spacing w:after="0"/>
              <w:jc w:val="right"/>
            </w:pPr>
            <w:r>
              <w:t>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McGill University Faculty of Science Scholarship</w:t>
            </w:r>
          </w:p>
        </w:tc>
        <w:tc>
          <w:tcPr>
            <w:tcW w:type="dxa" w:w="1296"/>
            <w:tcMar>
              <w:top w:w="18" w:type="dxa"/>
              <w:start w:w="0" w:type="dxa"/>
              <w:bottom w:w="45" w:type="dxa"/>
              <w:end w:w="0" w:type="dxa"/>
            </w:tcMar>
            <w:vAlign w:val="top"/>
          </w:tcPr>
          <w:p>
            <w:pPr>
              <w:pStyle w:val="CVDate"/>
              <w:spacing w:after="0"/>
              <w:jc w:val="right"/>
            </w:pPr>
            <w:r>
              <w:t>2017, 2018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CIHR Undergraduate Research Award in Computational Biology</w:t>
            </w:r>
          </w:p>
        </w:tc>
        <w:tc>
          <w:tcPr>
            <w:tcW w:type="dxa" w:w="1296"/>
            <w:tcMar>
              <w:top w:w="18" w:type="dxa"/>
              <w:start w:w="0" w:type="dxa"/>
              <w:bottom w:w="45" w:type="dxa"/>
              <w:end w:w="0" w:type="dxa"/>
            </w:tcMar>
            <w:vAlign w:val="top"/>
          </w:tcPr>
          <w:p>
            <w:pPr>
              <w:pStyle w:val="CVDate"/>
              <w:spacing w:after="0"/>
              <w:jc w:val="right"/>
            </w:pPr>
            <w:r>
              <w:t>2017</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0"/>
            </w:pPr>
            <w:r>
              <w:t>NSERC Undergraduate Student Research Award · FRQNT Top-Up to NSERC Undergraduate Student Research Award</w:t>
            </w:r>
          </w:p>
        </w:tc>
        <w:tc>
          <w:tcPr>
            <w:tcW w:type="dxa" w:w="1296"/>
            <w:tcMar>
              <w:top w:w="18" w:type="dxa"/>
              <w:start w:w="0" w:type="dxa"/>
              <w:bottom w:w="45" w:type="dxa"/>
              <w:end w:w="0" w:type="dxa"/>
            </w:tcMar>
            <w:vAlign w:val="top"/>
          </w:tcPr>
          <w:p>
            <w:pPr>
              <w:pStyle w:val="CVDate"/>
              <w:spacing w:after="0"/>
              <w:jc w:val="right"/>
            </w:pPr>
            <w:r>
              <w:t>2016</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07</w:t>
            </w:r>
          </w:p>
        </w:tc>
        <w:tc>
          <w:tcPr>
            <w:tcW w:type="dxa" w:w="9820"/>
            <w:tcMar>
              <w:top w:w="105" w:type="dxa"/>
              <w:start w:w="0" w:type="dxa"/>
              <w:bottom w:w="35" w:type="dxa"/>
              <w:end w:w="0" w:type="dxa"/>
            </w:tcMar>
          </w:tcPr>
          <w:p>
            <w:pPr>
              <w:pStyle w:val="CVSectionTitle"/>
              <w:keepNext/>
              <w:spacing w:after="0"/>
              <w:pBdr>
                <w:bottom w:val="single" w:sz="4" w:space="2" w:color="D2D7DB"/>
              </w:pBdr>
            </w:pPr>
            <w:r>
              <w:t>Teaching, mentorship, and scientific service</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Teaching Assistant · McGill University</w:t>
            </w:r>
          </w:p>
          <w:p>
            <w:pPr>
              <w:pStyle w:val="CVEntryDescription"/>
              <w:spacing w:after="0"/>
            </w:pPr>
            <w:r>
              <w:t>Created problem sets, held office hours, and led review sessions for biochemistry, molecular biology, neuroscience, and introductory physics.</w:t>
            </w:r>
          </w:p>
        </w:tc>
        <w:tc>
          <w:tcPr>
            <w:tcW w:type="dxa" w:w="1296"/>
            <w:tcMar>
              <w:top w:w="18" w:type="dxa"/>
              <w:start w:w="0" w:type="dxa"/>
              <w:bottom w:w="45" w:type="dxa"/>
              <w:end w:w="0" w:type="dxa"/>
            </w:tcMar>
            <w:vAlign w:val="top"/>
          </w:tcPr>
          <w:p>
            <w:pPr>
              <w:pStyle w:val="CVDate"/>
              <w:spacing w:after="0"/>
              <w:jc w:val="right"/>
            </w:pPr>
            <w:r>
              <w:t>2016–2018</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Research and career mentorship</w:t>
            </w:r>
          </w:p>
          <w:p>
            <w:pPr>
              <w:pStyle w:val="CVEntryDescription"/>
              <w:spacing w:after="0"/>
            </w:pPr>
            <w:r>
              <w:t>Mentored students and early-career professionals pursuing biosecurity and computational-biology projects through Effective Thesis and 80,000 Hours referrals.</w:t>
            </w:r>
          </w:p>
        </w:tc>
        <w:tc>
          <w:tcPr>
            <w:tcW w:type="dxa" w:w="1296"/>
            <w:tcMar>
              <w:top w:w="18" w:type="dxa"/>
              <w:start w:w="0" w:type="dxa"/>
              <w:bottom w:w="45" w:type="dxa"/>
              <w:end w:w="0" w:type="dxa"/>
            </w:tcMar>
            <w:vAlign w:val="top"/>
          </w:tcPr>
          <w:p>
            <w:pPr>
              <w:pStyle w:val="CVDate"/>
              <w:spacing w:after="0"/>
              <w:jc w:val="right"/>
            </w:pPr>
            <w:r>
              <w:t>2018–2023</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Volunteer Consultant · Battelle Memorial Institute / ThreatSEQ</w:t>
            </w:r>
          </w:p>
          <w:p>
            <w:pPr>
              <w:pStyle w:val="CVEntryDescription"/>
              <w:spacing w:after="0"/>
            </w:pPr>
            <w:r>
              <w:t>Advised a ThreatSEQ–FBI initiative assessing whether gene-synthesis companies would detect orders containing genes from the Select Agents list.</w:t>
            </w:r>
          </w:p>
        </w:tc>
        <w:tc>
          <w:tcPr>
            <w:tcW w:type="dxa" w:w="1296"/>
            <w:tcMar>
              <w:top w:w="18" w:type="dxa"/>
              <w:start w:w="0" w:type="dxa"/>
              <w:bottom w:w="45" w:type="dxa"/>
              <w:end w:w="0" w:type="dxa"/>
            </w:tcMar>
            <w:vAlign w:val="top"/>
          </w:tcPr>
          <w:p>
            <w:pPr>
              <w:pStyle w:val="CVDate"/>
              <w:spacing w:after="0"/>
              <w:jc w:val="right"/>
            </w:pPr>
            <w:r>
              <w:t>2019</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08</w:t>
            </w:r>
          </w:p>
        </w:tc>
        <w:tc>
          <w:tcPr>
            <w:tcW w:type="dxa" w:w="9820"/>
            <w:tcMar>
              <w:top w:w="105" w:type="dxa"/>
              <w:start w:w="0" w:type="dxa"/>
              <w:bottom w:w="35" w:type="dxa"/>
              <w:end w:w="0" w:type="dxa"/>
            </w:tcMar>
          </w:tcPr>
          <w:p>
            <w:pPr>
              <w:pStyle w:val="CVSectionTitle"/>
              <w:keepNext/>
              <w:spacing w:after="0"/>
              <w:pBdr>
                <w:bottom w:val="single" w:sz="4" w:space="2" w:color="D2D7DB"/>
              </w:pBdr>
            </w:pPr>
            <w:r>
              <w:t>Technical and experimental methods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Python · R · MATLAB · C/C++ · Java</w:t>
            </w:r>
          </w:p>
          <w:p>
            <w:pPr>
              <w:pStyle w:val="CVEntryDescription"/>
              <w:spacing w:after="0"/>
            </w:pPr>
            <w:r>
              <w:t>Biological language-model evaluation · sequence modeling · metagenomic analysis · hyperbolic embeddings · genomic pipeline development</w:t>
            </w:r>
          </w:p>
        </w:tc>
        <w:tc>
          <w:tcPr>
            <w:tcW w:type="dxa" w:w="1296"/>
            <w:tcMar>
              <w:top w:w="18" w:type="dxa"/>
              <w:start w:w="0" w:type="dxa"/>
              <w:bottom w:w="45" w:type="dxa"/>
              <w:end w:w="0" w:type="dxa"/>
            </w:tcMar>
            <w:vAlign w:val="top"/>
          </w:tcPr>
          <w:p>
            <w:pPr>
              <w:pStyle w:val="CVDate"/>
              <w:spacing w:after="0"/>
              <w:jc w:val="right"/>
            </w:pPr>
            <w:r>
              <w:t>Computational</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Microbial evolution experiments · AAV vector production · CRISPR/Cas9 delivery</w:t>
            </w:r>
          </w:p>
          <w:p>
            <w:pPr>
              <w:pStyle w:val="CVEntryDescription"/>
              <w:spacing w:after="0"/>
            </w:pPr>
            <w:r>
              <w:t>Molecular-biology workflows</w:t>
            </w:r>
          </w:p>
        </w:tc>
        <w:tc>
          <w:tcPr>
            <w:tcW w:type="dxa" w:w="1296"/>
            <w:tcMar>
              <w:top w:w="18" w:type="dxa"/>
              <w:start w:w="0" w:type="dxa"/>
              <w:bottom w:w="45" w:type="dxa"/>
              <w:end w:w="0" w:type="dxa"/>
            </w:tcMar>
            <w:vAlign w:val="top"/>
          </w:tcPr>
          <w:p>
            <w:pPr>
              <w:pStyle w:val="CVDate"/>
              <w:spacing w:after="0"/>
              <w:jc w:val="right"/>
            </w:pPr>
            <w:r>
              <w:t>Experimental</w:t>
            </w:r>
          </w:p>
        </w:tc>
      </w:tr>
    </w:tbl>
    <w:tbl>
      <w:tblPr>
        <w:tblW w:type="dxa" w:w="10368"/>
        <w:jc w:val="left"/>
        <w:tblLayout w:type="fixed"/>
        <w:tblLook w:firstColumn="1" w:firstRow="1" w:lastColumn="0" w:lastRow="0" w:noHBand="0" w:noVBand="1" w:val="04A0"/>
        <w:tblInd w:w="0" w:type="dxa"/>
      </w:tblPr>
      <w:tblGrid>
        <w:gridCol w:w="548"/>
        <w:gridCol w:w="9820"/>
      </w:tblGrid>
      <w:tr>
        <w:trPr>
          <w:cantSplit/>
        </w:trPr>
        <w:tc>
          <w:tcPr>
            <w:tcW w:type="dxa" w:w="548"/>
            <w:tcMar>
              <w:top w:w="105" w:type="dxa"/>
              <w:start w:w="0" w:type="dxa"/>
              <w:bottom w:w="35" w:type="dxa"/>
              <w:end w:w="0" w:type="dxa"/>
            </w:tcMar>
          </w:tcPr>
          <w:p>
            <w:pPr>
              <w:pStyle w:val="CVSectionIndex"/>
              <w:spacing w:after="0"/>
            </w:pPr>
            <w:r>
              <w:t>09</w:t>
            </w:r>
          </w:p>
        </w:tc>
        <w:tc>
          <w:tcPr>
            <w:tcW w:type="dxa" w:w="9820"/>
            <w:tcMar>
              <w:top w:w="105" w:type="dxa"/>
              <w:start w:w="0" w:type="dxa"/>
              <w:bottom w:w="35" w:type="dxa"/>
              <w:end w:w="0" w:type="dxa"/>
            </w:tcMar>
          </w:tcPr>
          <w:p>
            <w:pPr>
              <w:pStyle w:val="CVSectionTitle"/>
              <w:keepNext/>
              <w:spacing w:after="0"/>
              <w:pBdr>
                <w:bottom w:val="single" w:sz="4" w:space="2" w:color="D2D7DB"/>
              </w:pBdr>
            </w:pPr>
            <w:r>
              <w:t>Languages</w:t>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Hebrew</w:t>
            </w:r>
          </w:p>
          <w:p>
            <w:pPr>
              <w:pStyle w:val="CVEntryDescription"/>
              <w:spacing w:after="0"/>
            </w:pPr>
            <w:r>
              <w:t>Native</w:t>
            </w:r>
          </w:p>
        </w:tc>
        <w:tc>
          <w:tcPr>
            <w:tcW w:type="dxa" w:w="1296"/>
            <w:tcMar>
              <w:top w:w="18" w:type="dxa"/>
              <w:start w:w="0" w:type="dxa"/>
              <w:bottom w:w="45" w:type="dxa"/>
              <w:end w:w="0" w:type="dxa"/>
            </w:tcMar>
            <w:vAlign w:val="top"/>
          </w:tcPr>
          <w:p>
            <w:pPr>
              <w:pStyle w:val="CVDate"/>
              <w:spacing w:after="0"/>
              <w:jc w:val="right"/>
            </w:pPr>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English</w:t>
            </w:r>
          </w:p>
          <w:p>
            <w:pPr>
              <w:pStyle w:val="CVEntryDescription"/>
              <w:spacing w:after="0"/>
            </w:pPr>
            <w:r>
              <w:t>Near-native</w:t>
            </w:r>
          </w:p>
        </w:tc>
        <w:tc>
          <w:tcPr>
            <w:tcW w:type="dxa" w:w="1296"/>
            <w:tcMar>
              <w:top w:w="18" w:type="dxa"/>
              <w:start w:w="0" w:type="dxa"/>
              <w:bottom w:w="45" w:type="dxa"/>
              <w:end w:w="0" w:type="dxa"/>
            </w:tcMar>
            <w:vAlign w:val="top"/>
          </w:tcPr>
          <w:p>
            <w:pPr>
              <w:pStyle w:val="CVDate"/>
              <w:spacing w:after="0"/>
              <w:jc w:val="right"/>
            </w:pPr>
            <w:r/>
          </w:p>
        </w:tc>
      </w:tr>
    </w:tbl>
    <w:tbl>
      <w:tblPr>
        <w:tblW w:type="dxa" w:w="9820"/>
        <w:jc w:val="left"/>
        <w:tblLayout w:type="fixed"/>
        <w:tblLook w:firstColumn="1" w:firstRow="1" w:lastColumn="0" w:lastRow="0" w:noHBand="0" w:noVBand="1" w:val="04A0"/>
        <w:tblInd w:w="548" w:type="dxa"/>
      </w:tblPr>
      <w:tblGrid>
        <w:gridCol w:w="8524"/>
        <w:gridCol w:w="1296"/>
      </w:tblGrid>
      <w:tr>
        <w:trPr>
          <w:cantSplit/>
        </w:trPr>
        <w:tc>
          <w:tcPr>
            <w:tcW w:type="dxa" w:w="8524"/>
            <w:tcMar>
              <w:top w:w="18" w:type="dxa"/>
              <w:start w:w="0" w:type="dxa"/>
              <w:bottom w:w="45" w:type="dxa"/>
              <w:end w:w="0" w:type="dxa"/>
            </w:tcMar>
            <w:vAlign w:val="top"/>
          </w:tcPr>
          <w:p>
            <w:pPr>
              <w:pStyle w:val="CVEntryTitle"/>
              <w:spacing w:after="10"/>
            </w:pPr>
            <w:r>
              <w:t>French</w:t>
            </w:r>
          </w:p>
          <w:p>
            <w:pPr>
              <w:pStyle w:val="CVEntryDescription"/>
              <w:spacing w:after="0"/>
            </w:pPr>
            <w:r>
              <w:t>Novice</w:t>
            </w:r>
          </w:p>
        </w:tc>
        <w:tc>
          <w:tcPr>
            <w:tcW w:type="dxa" w:w="1296"/>
            <w:tcMar>
              <w:top w:w="18" w:type="dxa"/>
              <w:start w:w="0" w:type="dxa"/>
              <w:bottom w:w="45" w:type="dxa"/>
              <w:end w:w="0" w:type="dxa"/>
            </w:tcMar>
            <w:vAlign w:val="top"/>
          </w:tcPr>
          <w:p>
            <w:pPr>
              <w:pStyle w:val="CVDate"/>
              <w:spacing w:after="0"/>
              <w:jc w:val="right"/>
            </w:pPr>
            <w:r/>
          </w:p>
        </w:tc>
      </w:tr>
    </w:tbl>
    <w:sectPr w:rsidR="00FC693F" w:rsidRPr="0006063C" w:rsidSect="00034616">
      <w:headerReference w:type="default" r:id="rId16"/>
      <w:footerReference w:type="default" r:id="rId17"/>
      <w:pgSz w:w="12240" w:h="15840"/>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 w:lineRule="auto"/>
    </w:pPr>
  </w:p>
  <w:tbl>
    <w:tblPr>
      <w:tblW w:type="dxa" w:w="10000"/>
      <w:jc w:val="left"/>
      <w:tblLayout w:type="fixed"/>
      <w:tblLook w:firstColumn="1" w:firstRow="1" w:lastColumn="0" w:lastRow="0" w:noHBand="0" w:noVBand="1" w:val="04A0"/>
      <w:tblInd w:w="0" w:type="dxa"/>
    </w:tblPr>
    <w:tblGrid>
      <w:gridCol w:w="8000"/>
      <w:gridCol w:w="2000"/>
    </w:tblGrid>
    <w:tr>
      <w:trPr>
        <w:cantSplit/>
      </w:trPr>
      <w:tc>
        <w:tcPr>
          <w:tcW w:type="dxa" w:w="8000"/>
          <w:tcMar>
            <w:top w:w="0" w:type="dxa"/>
            <w:start w:w="0" w:type="dxa"/>
            <w:bottom w:w="0" w:type="dxa"/>
            <w:end w:w="0" w:type="dxa"/>
          </w:tcMar>
        </w:tcPr>
        <w:p>
          <w:pPr>
            <w:pStyle w:val="CVFooter"/>
            <w:spacing w:after="0"/>
          </w:pPr>
          <w:r>
            <w:t>Noga Aharony · Curriculum Vitae · August 2026</w:t>
          </w:r>
        </w:p>
      </w:tc>
      <w:tc>
        <w:tcPr>
          <w:tcW w:type="dxa" w:w="2000"/>
          <w:tcMar>
            <w:top w:w="0" w:type="dxa"/>
            <w:start w:w="0" w:type="dxa"/>
            <w:bottom w:w="0" w:type="dxa"/>
            <w:end w:w="0" w:type="dxa"/>
          </w:tcMar>
        </w:tcPr>
        <w:p>
          <w:pPr>
            <w:pStyle w:val="CVFooter"/>
            <w:spacing w:after="0"/>
            <w:jc w:val="right"/>
          </w:pPr>
          <w:r>
            <w:t>01 / 03</w:t>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 w:lineRule="auto"/>
    </w:pPr>
  </w:p>
  <w:tbl>
    <w:tblPr>
      <w:tblW w:type="dxa" w:w="10000"/>
      <w:jc w:val="left"/>
      <w:tblLayout w:type="fixed"/>
      <w:tblLook w:firstColumn="1" w:firstRow="1" w:lastColumn="0" w:lastRow="0" w:noHBand="0" w:noVBand="1" w:val="04A0"/>
      <w:tblInd w:w="0" w:type="dxa"/>
    </w:tblPr>
    <w:tblGrid>
      <w:gridCol w:w="8000"/>
      <w:gridCol w:w="2000"/>
    </w:tblGrid>
    <w:tr>
      <w:trPr>
        <w:cantSplit/>
      </w:trPr>
      <w:tc>
        <w:tcPr>
          <w:tcW w:type="dxa" w:w="8000"/>
          <w:tcMar>
            <w:top w:w="0" w:type="dxa"/>
            <w:start w:w="0" w:type="dxa"/>
            <w:bottom w:w="0" w:type="dxa"/>
            <w:end w:w="0" w:type="dxa"/>
          </w:tcMar>
        </w:tcPr>
        <w:p>
          <w:pPr>
            <w:pStyle w:val="CVFooter"/>
            <w:spacing w:after="0"/>
          </w:pPr>
          <w:r>
            <w:t>Noga Aharony · Curriculum Vitae · August 2026</w:t>
          </w:r>
        </w:p>
      </w:tc>
      <w:tc>
        <w:tcPr>
          <w:tcW w:type="dxa" w:w="2000"/>
          <w:tcMar>
            <w:top w:w="0" w:type="dxa"/>
            <w:start w:w="0" w:type="dxa"/>
            <w:bottom w:w="0" w:type="dxa"/>
            <w:end w:w="0" w:type="dxa"/>
          </w:tcMar>
        </w:tcPr>
        <w:p>
          <w:pPr>
            <w:pStyle w:val="CVFooter"/>
            <w:spacing w:after="0"/>
            <w:jc w:val="right"/>
          </w:pPr>
          <w:r>
            <w:t>02 / 03</w:t>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 w:lineRule="auto"/>
    </w:pPr>
  </w:p>
  <w:tbl>
    <w:tblPr>
      <w:tblW w:type="dxa" w:w="10000"/>
      <w:jc w:val="left"/>
      <w:tblLayout w:type="fixed"/>
      <w:tblLook w:firstColumn="1" w:firstRow="1" w:lastColumn="0" w:lastRow="0" w:noHBand="0" w:noVBand="1" w:val="04A0"/>
      <w:tblInd w:w="0" w:type="dxa"/>
    </w:tblPr>
    <w:tblGrid>
      <w:gridCol w:w="8000"/>
      <w:gridCol w:w="2000"/>
    </w:tblGrid>
    <w:tr>
      <w:trPr>
        <w:cantSplit/>
      </w:trPr>
      <w:tc>
        <w:tcPr>
          <w:tcW w:type="dxa" w:w="8000"/>
          <w:tcMar>
            <w:top w:w="0" w:type="dxa"/>
            <w:start w:w="0" w:type="dxa"/>
            <w:bottom w:w="0" w:type="dxa"/>
            <w:end w:w="0" w:type="dxa"/>
          </w:tcMar>
        </w:tcPr>
        <w:p>
          <w:pPr>
            <w:pStyle w:val="CVFooter"/>
            <w:spacing w:after="0"/>
          </w:pPr>
          <w:r>
            <w:t>Noga Aharony · Curriculum Vitae · August 2026</w:t>
          </w:r>
        </w:p>
      </w:tc>
      <w:tc>
        <w:tcPr>
          <w:tcW w:type="dxa" w:w="2000"/>
          <w:tcMar>
            <w:top w:w="0" w:type="dxa"/>
            <w:start w:w="0" w:type="dxa"/>
            <w:bottom w:w="0" w:type="dxa"/>
            <w:end w:w="0" w:type="dxa"/>
          </w:tcMar>
        </w:tcPr>
        <w:p>
          <w:pPr>
            <w:pStyle w:val="CVFooter"/>
            <w:spacing w:after="0"/>
            <w:jc w:val="right"/>
          </w:pPr>
          <w:r>
            <w:t>03 / 03</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10368" w:val="right"/>
      </w:tabs>
    </w:pPr>
    <w:r>
      <w:t>Noga Aharony</w:t>
    </w:r>
    <w:r>
      <w:tab/>
      <w:t>Curriculum Vitae · August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10368" w:val="right"/>
      </w:tabs>
    </w:pPr>
    <w:r>
      <w:t>Noga Aharony</w:t>
    </w:r>
    <w:r>
      <w:tab/>
      <w:t>Curriculum Vitae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64" w:lineRule="auto"/>
    </w:pPr>
    <w:rPr>
      <w:rFonts w:ascii="Arial" w:hAnsi="Arial"/>
      <w:color w:val="1D242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ody">
    <w:name w:val="CV Body"/>
    <w:pPr>
      <w:spacing w:before="0" w:after="50" w:line="264" w:lineRule="auto"/>
    </w:pPr>
    <w:rPr>
      <w:rFonts w:ascii="Arial" w:hAnsi="Arial" w:cs="Arial"/>
      <w:b w:val="0"/>
      <w:color w:val="1D2429"/>
      <w:sz w:val="20"/>
    </w:rPr>
  </w:style>
  <w:style w:type="paragraph" w:customStyle="1" w:styleId="CVName">
    <w:name w:val="CV Name"/>
    <w:pPr>
      <w:spacing w:before="0" w:after="50" w:line="264" w:lineRule="auto"/>
    </w:pPr>
    <w:rPr>
      <w:rFonts w:ascii="Arial" w:hAnsi="Arial" w:cs="Arial"/>
      <w:b/>
      <w:color w:val="1D2429"/>
      <w:sz w:val="52"/>
    </w:rPr>
  </w:style>
  <w:style w:type="paragraph" w:customStyle="1" w:styleId="CVRole">
    <w:name w:val="CV Role"/>
    <w:pPr>
      <w:spacing w:before="0" w:after="50" w:line="264" w:lineRule="auto"/>
    </w:pPr>
    <w:rPr>
      <w:rFonts w:ascii="Arial" w:hAnsi="Arial" w:cs="Arial"/>
      <w:b w:val="0"/>
      <w:color w:val="5C6871"/>
      <w:sz w:val="18"/>
    </w:rPr>
  </w:style>
  <w:style w:type="paragraph" w:customStyle="1" w:styleId="CVContact">
    <w:name w:val="CV Contact"/>
    <w:pPr>
      <w:spacing w:before="0" w:after="50" w:line="264" w:lineRule="auto"/>
    </w:pPr>
    <w:rPr>
      <w:rFonts w:ascii="Arial" w:hAnsi="Arial" w:cs="Arial"/>
      <w:b w:val="0"/>
      <w:color w:val="5C6871"/>
      <w:sz w:val="16"/>
    </w:rPr>
  </w:style>
  <w:style w:type="paragraph" w:customStyle="1" w:styleId="CVSectionTitle">
    <w:name w:val="CV Section Title"/>
    <w:pPr>
      <w:spacing w:before="0" w:after="50" w:line="264" w:lineRule="auto"/>
    </w:pPr>
    <w:rPr>
      <w:rFonts w:ascii="Arial" w:hAnsi="Arial" w:cs="Arial"/>
      <w:b/>
      <w:color w:val="1D2429"/>
      <w:sz w:val="22"/>
    </w:rPr>
  </w:style>
  <w:style w:type="paragraph" w:customStyle="1" w:styleId="CVSectionIndex">
    <w:name w:val="CV Section Index"/>
    <w:pPr>
      <w:spacing w:before="0" w:after="50" w:line="264" w:lineRule="auto"/>
    </w:pPr>
    <w:rPr>
      <w:rFonts w:ascii="Courier New" w:hAnsi="Courier New" w:cs="Courier New"/>
      <w:b/>
      <w:color w:val="D15339"/>
      <w:sz w:val="15"/>
    </w:rPr>
  </w:style>
  <w:style w:type="paragraph" w:customStyle="1" w:styleId="CVEntryTitle">
    <w:name w:val="CV Entry Title"/>
    <w:pPr>
      <w:spacing w:before="0" w:after="50" w:line="264" w:lineRule="auto"/>
    </w:pPr>
    <w:rPr>
      <w:rFonts w:ascii="Arial" w:hAnsi="Arial" w:cs="Arial"/>
      <w:b/>
      <w:color w:val="1D2429"/>
      <w:sz w:val="20"/>
    </w:rPr>
  </w:style>
  <w:style w:type="paragraph" w:customStyle="1" w:styleId="CVEntryContext">
    <w:name w:val="CV Entry Context"/>
    <w:pPr>
      <w:spacing w:before="0" w:after="50" w:line="264" w:lineRule="auto"/>
    </w:pPr>
    <w:rPr>
      <w:rFonts w:ascii="Arial" w:hAnsi="Arial" w:cs="Arial"/>
      <w:b w:val="0"/>
      <w:color w:val="5C6871"/>
      <w:sz w:val="17"/>
    </w:rPr>
  </w:style>
  <w:style w:type="paragraph" w:customStyle="1" w:styleId="CVEntryDescription">
    <w:name w:val="CV Entry Description"/>
    <w:pPr>
      <w:spacing w:before="0" w:after="50" w:line="264" w:lineRule="auto"/>
    </w:pPr>
    <w:rPr>
      <w:rFonts w:ascii="Arial" w:hAnsi="Arial" w:cs="Arial"/>
      <w:b w:val="0"/>
      <w:color w:val="1D2429"/>
      <w:sz w:val="19"/>
    </w:rPr>
  </w:style>
  <w:style w:type="paragraph" w:customStyle="1" w:styleId="CVDate">
    <w:name w:val="CV Date"/>
    <w:pPr>
      <w:spacing w:before="0" w:after="50" w:line="264" w:lineRule="auto"/>
    </w:pPr>
    <w:rPr>
      <w:rFonts w:ascii="Courier New" w:hAnsi="Courier New" w:cs="Courier New"/>
      <w:b w:val="0"/>
      <w:color w:val="6D7982"/>
      <w:sz w:val="16"/>
    </w:rPr>
  </w:style>
  <w:style w:type="paragraph" w:customStyle="1" w:styleId="CVOutputID">
    <w:name w:val="CV Output ID"/>
    <w:pPr>
      <w:spacing w:before="0" w:after="50" w:line="264" w:lineRule="auto"/>
    </w:pPr>
    <w:rPr>
      <w:rFonts w:ascii="Courier New" w:hAnsi="Courier New" w:cs="Courier New"/>
      <w:b/>
      <w:color w:val="24497F"/>
      <w:sz w:val="15"/>
    </w:rPr>
  </w:style>
  <w:style w:type="paragraph" w:customStyle="1" w:styleId="CVPublication">
    <w:name w:val="CV Publication"/>
    <w:pPr>
      <w:spacing w:before="0" w:after="50" w:line="264" w:lineRule="auto"/>
    </w:pPr>
    <w:rPr>
      <w:rFonts w:ascii="Arial" w:hAnsi="Arial" w:cs="Arial"/>
      <w:b w:val="0"/>
      <w:color w:val="1D2429"/>
      <w:sz w:val="19"/>
    </w:rPr>
  </w:style>
  <w:style w:type="paragraph" w:customStyle="1" w:styleId="CVFooter">
    <w:name w:val="CV Footer"/>
    <w:pPr>
      <w:spacing w:before="0" w:after="50" w:line="264" w:lineRule="auto"/>
    </w:pPr>
    <w:rPr>
      <w:rFonts w:ascii="Courier New" w:hAnsi="Courier New" w:cs="Courier New"/>
      <w:b w:val="0"/>
      <w:color w:val="6D7982"/>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noga.aharony@columbia.edu" TargetMode="External"/><Relationship Id="rId11" Type="http://schemas.openxmlformats.org/officeDocument/2006/relationships/hyperlink" Target="https://noga.science" TargetMode="External"/><Relationship Id="rId12" Type="http://schemas.openxmlformats.org/officeDocument/2006/relationships/hyperlink" Target="https://github.com/nongiga" TargetMode="External"/><Relationship Id="rId13" Type="http://schemas.openxmlformats.org/officeDocument/2006/relationships/hyperlink" Target="https://scholar.google.com/citations?user=nVw6rmsAAAAJ" TargetMode="External"/><Relationship Id="rId14" Type="http://schemas.openxmlformats.org/officeDocument/2006/relationships/header" Target="header1.xml"/><Relationship Id="rId15" Type="http://schemas.openxmlformats.org/officeDocument/2006/relationships/footer" Target="footer2.xml"/><Relationship Id="rId16" Type="http://schemas.openxmlformats.org/officeDocument/2006/relationships/header" Target="header2.xml"/><Relationship Id="rId1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Noga Aharony — Curriculum Vitae</dc:title>
  <dc:subject>Computational biology, systems biology, and biosurveillance research</dc:subject>
  <dc:creator>Noga Aharony</dc:creator>
  <cp:keywords>computational biology; systems biology; genome language models; biosurveillance</cp:keywords>
  <dc:description>generated by python-docx</dc:description>
  <cp:lastModifiedBy/>
  <cp:revision>1</cp:revision>
  <dcterms:created xsi:type="dcterms:W3CDTF">2013-12-23T23:15:00Z</dcterms:created>
  <dcterms:modified xsi:type="dcterms:W3CDTF">2013-12-23T23:15:00Z</dcterms:modified>
  <cp:category/>
</cp:coreProperties>
</file>