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00"/>
        <w:gridCol w:w="3868"/>
      </w:tblGrid>
      <w:tr>
        <w:trPr>
          <w:cantSplit/>
        </w:trPr>
        <w:tc>
          <w:tcPr>
            <w:tcW w:type="dxa" w:w="6500"/>
            <w:tcMar>
              <w:top w:w="0" w:type="dxa"/>
              <w:start w:w="0" w:type="dxa"/>
              <w:bottom w:w="70" w:type="dxa"/>
              <w:end w:w="0" w:type="dxa"/>
            </w:tcMar>
            <w:vAlign w:val="top"/>
          </w:tcPr>
          <w:p>
            <w:pPr>
              <w:pStyle w:val="CVName"/>
              <w:spacing w:after="20"/>
            </w:pPr>
            <w:r>
              <w:rPr>
                <w:spacing w:val="-6"/>
              </w:rPr>
              <w:t>Noga Aharony</w:t>
            </w:r>
          </w:p>
          <w:p>
            <w:pPr>
              <w:pStyle w:val="CVRole"/>
            </w:pPr>
            <w:r>
              <w:t>Co-founder, MAGENTA · Biological AI model safety evaluation · PhD Candidate, Columbia University</w:t>
            </w:r>
          </w:p>
        </w:tc>
        <w:tc>
          <w:tcPr>
            <w:tcW w:type="dxa" w:w="3868"/>
            <w:tcMar>
              <w:top w:w="0" w:type="dxa"/>
              <w:start w:w="0" w:type="dxa"/>
              <w:bottom w:w="70" w:type="dxa"/>
              <w:end w:w="0" w:type="dxa"/>
            </w:tcMar>
            <w:vAlign w:val="top"/>
          </w:tcPr>
          <w:p>
            <w:pPr>
              <w:pStyle w:val="CVContact"/>
              <w:spacing w:after="40" w:before="80"/>
              <w:jc w:val="right"/>
              <w:pBdr>
                <w:top w:val="single" w:sz="16" w:color="24497F"/>
              </w:pBdr>
            </w:pPr>
            <w:hyperlink r:id="rId10">
              <w:r>
                <w:rPr>
                  <w:color w:val="24497F"/>
                  <w:rFonts w:ascii="Arial" w:hAnsi="Arial"/>
                  <w:sz w:val="16"/>
                </w:rPr>
                <w:t>contact@noga.science</w:t>
              </w:r>
            </w:hyperlink>
            <w:r>
              <w:t xml:space="preserve">  ·  </w:t>
            </w:r>
            <w:hyperlink r:id="rId11">
              <w:r>
                <w:rPr>
                  <w:color w:val="24497F"/>
                  <w:rFonts w:ascii="Arial" w:hAnsi="Arial"/>
                  <w:sz w:val="16"/>
                </w:rPr>
                <w:t>website</w:t>
              </w:r>
            </w:hyperlink>
          </w:p>
          <w:p>
            <w:pPr>
              <w:pStyle w:val="CVContact"/>
              <w:jc w:val="right"/>
            </w:pPr>
            <w:hyperlink r:id="rId12">
              <w:r>
                <w:rPr>
                  <w:color w:val="24497F"/>
                  <w:rFonts w:ascii="Arial" w:hAnsi="Arial"/>
                  <w:sz w:val="16"/>
                </w:rPr>
                <w:t>GitHub</w:t>
              </w:r>
            </w:hyperlink>
            <w:r>
              <w:t xml:space="preserve">  ·  </w:t>
            </w:r>
            <w:hyperlink r:id="rId13">
              <w:r>
                <w:rPr>
                  <w:color w:val="24497F"/>
                  <w:rFonts w:ascii="Arial" w:hAnsi="Arial"/>
                  <w:sz w:val="16"/>
                </w:rPr>
                <w:t>Google Scholar</w:t>
              </w:r>
            </w:hyperlink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2D7DB"/>
          <w:bottom w:val="single" w:sz="4" w:color="D2D7DB"/>
          <w:insideV w:val="single" w:sz="4" w:color="D2D7DB"/>
        </w:tblBorders>
      </w:tblPr>
      <w:tblGrid>
        <w:gridCol w:w="1656"/>
        <w:gridCol w:w="2904"/>
        <w:gridCol w:w="2904"/>
        <w:gridCol w:w="2904"/>
      </w:tblGrid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D2C3B"/>
          </w:tcPr>
          <w:p>
            <w:pPr>
              <w:spacing w:after="0"/>
            </w:pPr>
            <w:r>
              <w:rPr>
                <w:rFonts w:ascii="Courier New" w:hAnsi="Courier New" w:cs="Courier New"/>
                <w:b/>
                <w:i w:val="0"/>
                <w:color w:val="FFFFFF"/>
                <w:sz w:val="15"/>
              </w:rPr>
              <w:t>RESEARCH</w:t>
              <w:br/>
              <w:t>FOCUS</w:t>
            </w:r>
          </w:p>
        </w:tc>
        <w:tc>
          <w:tcPr>
            <w:tcW w:type="dxa" w:w="2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ourier New" w:hAnsi="Courier New" w:cs="Courier New"/>
                <w:b/>
                <w:i w:val="0"/>
                <w:color w:val="D15339"/>
                <w:sz w:val="15"/>
              </w:rPr>
              <w:t>Evaluate</w:t>
            </w:r>
          </w:p>
          <w:p>
            <w:pPr>
              <w:pStyle w:val="CVEntryContext"/>
              <w:spacing w:after="40"/>
            </w:pPr>
            <w:r>
              <w:rPr>
                <w:b/>
              </w:rPr>
              <w:t>Biological AI capabilities</w:t>
            </w:r>
          </w:p>
          <w:p>
            <w:pPr>
              <w:pStyle w:val="CVEntryDescription"/>
              <w:spacing w:after="0"/>
            </w:pPr>
            <w:r>
              <w:t>What can biological AI models do, and which capabilities matter for safety?</w:t>
            </w:r>
          </w:p>
        </w:tc>
        <w:tc>
          <w:tcPr>
            <w:tcW w:type="dxa" w:w="2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ourier New" w:hAnsi="Courier New" w:cs="Courier New"/>
                <w:b/>
                <w:i w:val="0"/>
                <w:color w:val="D15339"/>
                <w:sz w:val="15"/>
              </w:rPr>
              <w:t>Safeguard</w:t>
            </w:r>
          </w:p>
          <w:p>
            <w:pPr>
              <w:pStyle w:val="CVEntryContext"/>
              <w:spacing w:after="40"/>
            </w:pPr>
            <w:r>
              <w:rPr>
                <w:b/>
              </w:rPr>
              <w:t>Evidence for safety decisions</w:t>
            </w:r>
          </w:p>
          <w:p>
            <w:pPr>
              <w:pStyle w:val="CVEntryDescription"/>
              <w:spacing w:after="0"/>
            </w:pPr>
            <w:r>
              <w:t>Which safety decisions lack evidence, and how can evaluations supply it?</w:t>
            </w:r>
          </w:p>
        </w:tc>
        <w:tc>
          <w:tcPr>
            <w:tcW w:type="dxa" w:w="2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ourier New" w:hAnsi="Courier New" w:cs="Courier New"/>
                <w:b/>
                <w:i w:val="0"/>
                <w:color w:val="D15339"/>
                <w:sz w:val="15"/>
              </w:rPr>
              <w:t>Detect</w:t>
            </w:r>
          </w:p>
          <w:p>
            <w:pPr>
              <w:pStyle w:val="CVEntryContext"/>
              <w:spacing w:after="40"/>
            </w:pPr>
            <w:r>
              <w:rPr>
                <w:b/>
              </w:rPr>
              <w:t>Biosurveillance</w:t>
            </w:r>
          </w:p>
          <w:p>
            <w:pPr>
              <w:pStyle w:val="CVEntryDescription"/>
              <w:spacing w:after="0"/>
            </w:pPr>
            <w:r>
              <w:t>How can sequence models support detection across evolutionary distance?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8"/>
        <w:gridCol w:w="9820"/>
      </w:tblGrid>
      <w:tr>
        <w:trPr>
          <w:cantSplit/>
        </w:trPr>
        <w:tc>
          <w:tcPr>
            <w:tcW w:type="dxa" w:w="548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Index"/>
              <w:spacing w:after="0"/>
            </w:pPr>
            <w:r>
              <w:t>01</w:t>
            </w:r>
          </w:p>
        </w:tc>
        <w:tc>
          <w:tcPr>
            <w:tcW w:type="dxa" w:w="9820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Title"/>
              <w:keepNext/>
              <w:spacing w:after="0"/>
              <w:pBdr>
                <w:bottom w:val="single" w:sz="4" w:space="2" w:color="D2D7DB"/>
              </w:pBdr>
            </w:pPr>
            <w:r>
              <w:t>Professional experience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Co-founder · MAGENTA</w:t>
            </w:r>
          </w:p>
          <w:p>
            <w:pPr>
              <w:pStyle w:val="CVEntryDescription"/>
              <w:spacing w:after="0"/>
            </w:pPr>
            <w:r>
              <w:t>• Building independent safety evaluations for biological AI models: finding decisions blocked by missing evidence and turning results into safeguards and standards.</w:t>
            </w:r>
          </w:p>
          <w:p>
            <w:pPr>
              <w:pStyle w:val="CVEntryDescription"/>
              <w:spacing w:after="0"/>
            </w:pPr>
            <w:r>
              <w:t>• Running capability evaluations with model developers.</w:t>
            </w:r>
          </w:p>
          <w:p>
            <w:pPr>
              <w:pStyle w:val="CVEntryDescription"/>
              <w:spacing w:after="0"/>
            </w:pPr>
            <w:r>
              <w:t>• Co-founded with Yuval Shapira (CEO).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2026–Current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Evaluation Collaborator · Radical Numerics</w:t>
            </w:r>
          </w:p>
          <w:p>
            <w:pPr>
              <w:pStyle w:val="CVEntryDescription"/>
              <w:spacing w:after="0"/>
            </w:pPr>
            <w:r>
              <w:t>Pre-release testing of the Omnii model API: scientific validation against known ground truth, reliability, and release-blocker reports.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Sep–Nov 2026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8"/>
        <w:gridCol w:w="9820"/>
      </w:tblGrid>
      <w:tr>
        <w:trPr>
          <w:cantSplit/>
        </w:trPr>
        <w:tc>
          <w:tcPr>
            <w:tcW w:type="dxa" w:w="548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Index"/>
              <w:spacing w:after="0"/>
            </w:pPr>
            <w:r>
              <w:t>02</w:t>
            </w:r>
          </w:p>
        </w:tc>
        <w:tc>
          <w:tcPr>
            <w:tcW w:type="dxa" w:w="9820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Title"/>
              <w:keepNext/>
              <w:spacing w:after="0"/>
              <w:pBdr>
                <w:bottom w:val="single" w:sz="4" w:space="2" w:color="D2D7DB"/>
              </w:pBdr>
            </w:pPr>
            <w:r>
              <w:t>Education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Doctor of Philosophy, Systems Biology · Columbia University</w:t>
            </w:r>
          </w:p>
          <w:p>
            <w:pPr>
              <w:pStyle w:val="CVEntryDescription"/>
              <w:spacing w:after="0"/>
            </w:pPr>
            <w:r>
              <w:t>Thesis: Evaluation Frameworks for Biological Language Models · Advisor: Mohammed AlQuraishi, PhD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Current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Master of Science, Biology · Technion — Israel Institute of Technology</w:t>
            </w:r>
          </w:p>
          <w:p>
            <w:pPr>
              <w:pStyle w:val="CVEntryDescription"/>
              <w:spacing w:after="0"/>
            </w:pPr>
            <w:r>
              <w:t>Thesis: Rapid Gene Content Alteration in Recurring Infections · Advisor: Roy Kishony, PhD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2021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Bachelor of Science, Honours Neuroscience · McGill University</w:t>
            </w:r>
          </w:p>
          <w:p>
            <w:pPr>
              <w:pStyle w:val="CVEntryDescription"/>
              <w:spacing w:after="0"/>
            </w:pPr>
            <w:r>
              <w:t>First Class Honours · Dean’s Honours List · Dean’s Multidisciplinary Research List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2019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8"/>
        <w:gridCol w:w="9820"/>
      </w:tblGrid>
      <w:tr>
        <w:trPr>
          <w:cantSplit/>
        </w:trPr>
        <w:tc>
          <w:tcPr>
            <w:tcW w:type="dxa" w:w="548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Index"/>
              <w:spacing w:after="0"/>
            </w:pPr>
            <w:r>
              <w:t>03</w:t>
            </w:r>
          </w:p>
        </w:tc>
        <w:tc>
          <w:tcPr>
            <w:tcW w:type="dxa" w:w="9820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Title"/>
              <w:keepNext/>
              <w:spacing w:after="0"/>
              <w:pBdr>
                <w:bottom w:val="single" w:sz="4" w:space="2" w:color="D2D7DB"/>
              </w:pBdr>
            </w:pPr>
            <w:r>
              <w:t>Fellowships and programs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ML Alignment &amp; Theory Scholars (MATS), Autumn 2026</w:t>
            </w:r>
          </w:p>
          <w:p>
            <w:pPr>
              <w:pStyle w:val="CVEntryDescription"/>
              <w:spacing w:after="0"/>
            </w:pPr>
            <w:r>
              <w:t>Biosecurity and field-building tracks; building an independent evaluator for biological AI models.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Sep–Dec 2026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Pivotal Research Frontier Biodefense Fellow</w:t>
            </w:r>
          </w:p>
          <w:p>
            <w:pPr>
              <w:pStyle w:val="CVEntryDescription"/>
              <w:spacing w:after="0"/>
            </w:pPr>
            <w:r>
              <w:t>Developing reference-free methods to detect engineered DNA in metagenomic sequencing data.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Aug–Oct 2026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8"/>
        <w:gridCol w:w="9820"/>
      </w:tblGrid>
      <w:tr>
        <w:trPr>
          <w:cantSplit/>
        </w:trPr>
        <w:tc>
          <w:tcPr>
            <w:tcW w:type="dxa" w:w="548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Index"/>
              <w:spacing w:after="0"/>
            </w:pPr>
            <w:r>
              <w:t>04</w:t>
            </w:r>
          </w:p>
        </w:tc>
        <w:tc>
          <w:tcPr>
            <w:tcW w:type="dxa" w:w="9820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Title"/>
              <w:keepNext/>
              <w:spacing w:after="0"/>
              <w:pBdr>
                <w:bottom w:val="single" w:sz="4" w:space="2" w:color="D2D7DB"/>
              </w:pBdr>
            </w:pPr>
            <w:r>
              <w:t>Research experience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Mohammed AlQuraishi Lab · Columbia University · Program of Mathematical Genomics</w:t>
            </w:r>
          </w:p>
          <w:p>
            <w:pPr>
              <w:pStyle w:val="CVEntryDescription"/>
              <w:spacing w:after="0"/>
            </w:pPr>
            <w:r>
              <w:t>Developing evaluation frameworks and applications for genome language models across genomic context use, pathway-level reasoning, wastewater pathogen monitoring, and protein–protein interaction prediction. Co-developing GeneCtx and WAVEBench to test model behavior under realistic biological distribution shifts.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2022–Current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Tal Korem Lab · Columbia University · Program of Mathematical Genomics</w:t>
            </w:r>
          </w:p>
          <w:p>
            <w:pPr>
              <w:pStyle w:val="CVEntryDescription"/>
              <w:spacing w:after="0"/>
            </w:pPr>
            <w:r>
              <w:t>Created a model to detect small RNAs in bacterial genomes.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2021–2023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Itsik Pe’er Lab · Columbia University · Department of Computer Science</w:t>
            </w:r>
          </w:p>
          <w:p>
            <w:pPr>
              <w:pStyle w:val="CVEntryDescription"/>
              <w:spacing w:after="0"/>
            </w:pPr>
            <w:r>
              <w:t>Developed a neural embedding model in hyperbolic spaces to improve small-protein prediction.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2022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Roy Kishony Lab · Technion — Israel Institute of Technology · Department of Biology</w:t>
            </w:r>
          </w:p>
          <w:p>
            <w:pPr>
              <w:pStyle w:val="CVEntryDescription"/>
              <w:spacing w:after="0"/>
            </w:pPr>
            <w:r>
              <w:t>Built a computational pipeline to identify mobile genetic elements in recurring infections and designed experiments on eco-evolutionary dynamics in microbial communities.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2019–2021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Amine Kamen Lab · McGill University · Department of Bioengineering</w:t>
            </w:r>
          </w:p>
          <w:p>
            <w:pPr>
              <w:pStyle w:val="CVEntryDescription"/>
              <w:spacing w:after="0"/>
            </w:pPr>
            <w:r>
              <w:t>Designed and manufactured adeno-associated viruses carrying Cas9 for improved CAR-T cell engineering.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2018–2019</w:t>
            </w:r>
          </w:p>
        </w:tc>
      </w:tr>
    </w:tbl>
    <w:p>
      <w:pPr>
        <w:sectPr>
          <w:footerReference w:type="default" r:id="rId9"/>
          <w:pgSz w:w="12240" w:h="15840"/>
          <w:pgMar w:top="792" w:right="936" w:bottom="792" w:left="936" w:header="432" w:footer="432" w:gutter="0"/>
          <w:cols w:space="720"/>
          <w:docGrid w:linePitch="360"/>
        </w:sectPr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8"/>
        <w:gridCol w:w="9820"/>
      </w:tblGrid>
      <w:tr>
        <w:trPr>
          <w:cantSplit/>
        </w:trPr>
        <w:tc>
          <w:tcPr>
            <w:tcW w:type="dxa" w:w="548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Index"/>
              <w:spacing w:after="0"/>
            </w:pPr>
            <w:r>
              <w:t>04</w:t>
            </w:r>
          </w:p>
        </w:tc>
        <w:tc>
          <w:tcPr>
            <w:tcW w:type="dxa" w:w="9820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Title"/>
              <w:keepNext/>
              <w:spacing w:after="0"/>
              <w:pBdr>
                <w:bottom w:val="single" w:sz="4" w:space="2" w:color="D2D7DB"/>
              </w:pBdr>
            </w:pPr>
            <w:r>
              <w:t>Research experience · continued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Center for Health Security · Johns Hopkins Bloomberg School of Public Health</w:t>
            </w:r>
          </w:p>
          <w:p>
            <w:pPr>
              <w:pStyle w:val="CVEntryDescription"/>
              <w:spacing w:after="0"/>
            </w:pPr>
            <w:r>
              <w:t>Surveyed DNA-synthesis providers’ sequence- and customer-screening practices, informing Strengthening Security for Gene Synthesis; studied safety, innovation, and community norms in DIY biology.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2018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Jonathan Kimmelman Lab · McGill University · Biomedical Ethics Unit</w:t>
            </w:r>
          </w:p>
          <w:p>
            <w:pPr>
              <w:pStyle w:val="CVEntryDescription"/>
              <w:spacing w:after="0"/>
            </w:pPr>
            <w:r>
              <w:t>Applied machine learning to analyze clinical-trial design factors that influence outcome forecasts; contributed to a meta-analysis.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2017–2018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Edward Ruthazer Lab · McGill University · Montreal Neurological Institute</w:t>
            </w:r>
          </w:p>
          <w:p>
            <w:pPr>
              <w:pStyle w:val="CVEntryDescription"/>
              <w:spacing w:after="0"/>
            </w:pPr>
            <w:r>
              <w:t>Electroporated and imaged tadpoles to study structural plasticity in the developing visual system.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2017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Rafael Najmanovich Lab · Université de Montréal · Pharmacology and Physiology</w:t>
            </w:r>
          </w:p>
          <w:p>
            <w:pPr>
              <w:pStyle w:val="CVEntryDescription"/>
              <w:spacing w:after="0"/>
            </w:pPr>
            <w:r>
              <w:t>Developed protein-interface software based on surrounding force fields and modeled C. difficile germination protease to identify candidate inhibitory ligands.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2016–2017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8"/>
        <w:gridCol w:w="9820"/>
      </w:tblGrid>
      <w:tr>
        <w:trPr>
          <w:cantSplit/>
        </w:trPr>
        <w:tc>
          <w:tcPr>
            <w:tcW w:type="dxa" w:w="548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Index"/>
              <w:spacing w:after="0"/>
            </w:pPr>
            <w:r>
              <w:t>05</w:t>
            </w:r>
          </w:p>
        </w:tc>
        <w:tc>
          <w:tcPr>
            <w:tcW w:type="dxa" w:w="9820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Title"/>
              <w:keepNext/>
              <w:spacing w:after="0"/>
              <w:pBdr>
                <w:bottom w:val="single" w:sz="4" w:space="2" w:color="D2D7DB"/>
              </w:pBdr>
            </w:pPr>
            <w:r>
              <w:t>Publications and manuscripts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20" w:type="dxa"/>
              <w:start w:w="0" w:type="dxa"/>
              <w:bottom w:w="75" w:type="dxa"/>
              <w:end w:w="0" w:type="dxa"/>
            </w:tcMar>
            <w:vAlign w:val="top"/>
          </w:tcPr>
          <w:p>
            <w:pPr>
              <w:pStyle w:val="CVPublication"/>
              <w:spacing w:after="0"/>
            </w:pPr>
            <w:r>
              <w:rPr>
                <w:rFonts w:ascii="Courier New" w:hAnsi="Courier New" w:cs="Courier New"/>
                <w:b/>
                <w:i w:val="0"/>
                <w:color w:val="24497F"/>
                <w:sz w:val="15"/>
              </w:rPr>
              <w:t xml:space="preserve">P01  </w:t>
            </w:r>
            <w:r/>
            <w:r>
              <w:rPr>
                <w:b/>
              </w:rPr>
              <w:t>Aharony N</w:t>
            </w:r>
            <w:r>
              <w:t xml:space="preserve">, Wang S, Lee HH, Liu O, AlQuraishi M, Neiswanger W. </w:t>
            </w:r>
            <w:r>
              <w:rPr>
                <w:i/>
              </w:rPr>
              <w:t xml:space="preserve">Out-of-Taxon Generalization of Genome Language Models in Wastewater Virus Detection. </w:t>
            </w:r>
            <w:r>
              <w:t>Submitted to ICLR 2027.</w:t>
            </w:r>
          </w:p>
        </w:tc>
        <w:tc>
          <w:tcPr>
            <w:tcW w:type="dxa" w:w="1296"/>
            <w:tcMar>
              <w:top w:w="20" w:type="dxa"/>
              <w:start w:w="0" w:type="dxa"/>
              <w:bottom w:w="7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2026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20" w:type="dxa"/>
              <w:start w:w="0" w:type="dxa"/>
              <w:bottom w:w="75" w:type="dxa"/>
              <w:end w:w="0" w:type="dxa"/>
            </w:tcMar>
            <w:vAlign w:val="top"/>
          </w:tcPr>
          <w:p>
            <w:pPr>
              <w:pStyle w:val="CVPublication"/>
              <w:spacing w:after="0"/>
            </w:pPr>
            <w:r>
              <w:rPr>
                <w:rFonts w:ascii="Courier New" w:hAnsi="Courier New" w:cs="Courier New"/>
                <w:b/>
                <w:i w:val="0"/>
                <w:color w:val="24497F"/>
                <w:sz w:val="15"/>
              </w:rPr>
              <w:t xml:space="preserve">P02  </w:t>
            </w:r>
            <w:r>
              <w:t xml:space="preserve">Le Lievre T*, </w:t>
            </w:r>
            <w:r>
              <w:rPr>
                <w:b/>
              </w:rPr>
              <w:t>Aharony N</w:t>
            </w:r>
            <w:r>
              <w:t xml:space="preserve">*, Wang S, Adams E, AlQuraishi M. </w:t>
            </w:r>
            <w:r>
              <w:rPr>
                <w:i/>
              </w:rPr>
              <w:t xml:space="preserve">GeneCtx: An Evaluation Framework for Dissecting Genomic Context Use in Genome Language Models. </w:t>
            </w:r>
            <w:r>
              <w:t>Submitted to NeurIPS 2026 Evaluations &amp; Datasets track.</w:t>
            </w:r>
          </w:p>
        </w:tc>
        <w:tc>
          <w:tcPr>
            <w:tcW w:type="dxa" w:w="1296"/>
            <w:tcMar>
              <w:top w:w="20" w:type="dxa"/>
              <w:start w:w="0" w:type="dxa"/>
              <w:bottom w:w="7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2026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20" w:type="dxa"/>
              <w:start w:w="0" w:type="dxa"/>
              <w:bottom w:w="75" w:type="dxa"/>
              <w:end w:w="0" w:type="dxa"/>
            </w:tcMar>
            <w:vAlign w:val="top"/>
          </w:tcPr>
          <w:p>
            <w:pPr>
              <w:pStyle w:val="CVPublication"/>
              <w:spacing w:after="0"/>
            </w:pPr>
            <w:r>
              <w:rPr>
                <w:rFonts w:ascii="Courier New" w:hAnsi="Courier New" w:cs="Courier New"/>
                <w:b/>
                <w:i w:val="0"/>
                <w:color w:val="24497F"/>
                <w:sz w:val="15"/>
              </w:rPr>
              <w:t xml:space="preserve">P03  </w:t>
            </w:r>
            <w:r>
              <w:t xml:space="preserve">Liang C, Wagstaff J, </w:t>
            </w:r>
            <w:r>
              <w:rPr>
                <w:b/>
              </w:rPr>
              <w:t>Aharony N</w:t>
            </w:r>
            <w:r>
              <w:t xml:space="preserve">, Schmit V, Manheim D. </w:t>
            </w:r>
            <w:r>
              <w:rPr>
                <w:i/>
              </w:rPr>
              <w:t xml:space="preserve">Managing the Transition to Widespread Metagenomic Monitoring: Policy Considerations for Future Biosurveillance. </w:t>
            </w:r>
            <w:r>
              <w:t>Health Security, 21(1), 34–45.</w:t>
            </w:r>
          </w:p>
        </w:tc>
        <w:tc>
          <w:tcPr>
            <w:tcW w:type="dxa" w:w="1296"/>
            <w:tcMar>
              <w:top w:w="20" w:type="dxa"/>
              <w:start w:w="0" w:type="dxa"/>
              <w:bottom w:w="7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2023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20" w:type="dxa"/>
              <w:start w:w="0" w:type="dxa"/>
              <w:bottom w:w="75" w:type="dxa"/>
              <w:end w:w="0" w:type="dxa"/>
            </w:tcMar>
            <w:vAlign w:val="top"/>
          </w:tcPr>
          <w:p>
            <w:pPr>
              <w:pStyle w:val="CVPublication"/>
              <w:spacing w:after="0"/>
            </w:pPr>
            <w:r>
              <w:rPr>
                <w:rFonts w:ascii="Courier New" w:hAnsi="Courier New" w:cs="Courier New"/>
                <w:b/>
                <w:i w:val="0"/>
                <w:color w:val="24497F"/>
                <w:sz w:val="15"/>
              </w:rPr>
              <w:t xml:space="preserve">P04  </w:t>
            </w:r>
            <w:r>
              <w:t xml:space="preserve">Milman O*, Yelin I*, </w:t>
            </w:r>
            <w:r>
              <w:rPr>
                <w:b/>
              </w:rPr>
              <w:t>Aharony N</w:t>
            </w:r>
            <w:r>
              <w:t xml:space="preserve">, Katz R, Herzel E, Ben-Tov A, Kuint J, Gazit S, Chodick G, Patalon T, Kishony R. </w:t>
            </w:r>
            <w:r>
              <w:rPr>
                <w:i/>
              </w:rPr>
              <w:t xml:space="preserve">Community-level evidence for SARS-CoV-2 vaccine protection of unvaccinated individuals. </w:t>
            </w:r>
            <w:r>
              <w:t>Nature Medicine.</w:t>
            </w:r>
          </w:p>
        </w:tc>
        <w:tc>
          <w:tcPr>
            <w:tcW w:type="dxa" w:w="1296"/>
            <w:tcMar>
              <w:top w:w="20" w:type="dxa"/>
              <w:start w:w="0" w:type="dxa"/>
              <w:bottom w:w="7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2021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20" w:type="dxa"/>
              <w:start w:w="0" w:type="dxa"/>
              <w:bottom w:w="75" w:type="dxa"/>
              <w:end w:w="0" w:type="dxa"/>
            </w:tcMar>
            <w:vAlign w:val="top"/>
          </w:tcPr>
          <w:p>
            <w:pPr>
              <w:pStyle w:val="CVPublication"/>
              <w:spacing w:after="0"/>
            </w:pPr>
            <w:r>
              <w:rPr>
                <w:rFonts w:ascii="Courier New" w:hAnsi="Courier New" w:cs="Courier New"/>
                <w:b/>
                <w:i w:val="0"/>
                <w:color w:val="24497F"/>
                <w:sz w:val="15"/>
              </w:rPr>
              <w:t xml:space="preserve">P05  </w:t>
            </w:r>
            <w:r>
              <w:t xml:space="preserve">Yelin I*, </w:t>
            </w:r>
            <w:r>
              <w:rPr>
                <w:b/>
              </w:rPr>
              <w:t>Aharony N</w:t>
            </w:r>
            <w:r>
              <w:t xml:space="preserve">*, Shaer-Tamar E*, Argoetti A*, Messer E, Berenbaum D, Shafran E, Kuzil A, Gandali N, Hashimshony T, Mandel-Gutfreund Y, Halberthal M, Geffen Y, Szwarcwort-Cohen M, Kishony R. </w:t>
            </w:r>
            <w:r>
              <w:rPr>
                <w:i/>
              </w:rPr>
              <w:t xml:space="preserve">Evaluation of COVID-19 RT-qPCR test in multi-sample pools. </w:t>
            </w:r>
            <w:r>
              <w:t>Clinical Infectious Diseases.</w:t>
            </w:r>
          </w:p>
        </w:tc>
        <w:tc>
          <w:tcPr>
            <w:tcW w:type="dxa" w:w="1296"/>
            <w:tcMar>
              <w:top w:w="20" w:type="dxa"/>
              <w:start w:w="0" w:type="dxa"/>
              <w:bottom w:w="7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2020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20" w:type="dxa"/>
              <w:start w:w="0" w:type="dxa"/>
              <w:bottom w:w="75" w:type="dxa"/>
              <w:end w:w="0" w:type="dxa"/>
            </w:tcMar>
            <w:vAlign w:val="top"/>
          </w:tcPr>
          <w:p>
            <w:pPr>
              <w:pStyle w:val="CVPublication"/>
              <w:spacing w:after="0"/>
            </w:pPr>
            <w:r>
              <w:rPr>
                <w:rFonts w:ascii="Courier New" w:hAnsi="Courier New" w:cs="Courier New"/>
                <w:b/>
                <w:i w:val="0"/>
                <w:color w:val="24497F"/>
                <w:sz w:val="15"/>
              </w:rPr>
              <w:t xml:space="preserve">P06  </w:t>
            </w:r>
            <w:r>
              <w:t xml:space="preserve">Moco PD, </w:t>
            </w:r>
            <w:r>
              <w:rPr>
                <w:b/>
              </w:rPr>
              <w:t>Aharony N</w:t>
            </w:r>
            <w:r>
              <w:t xml:space="preserve">, Kamen A. </w:t>
            </w:r>
            <w:r>
              <w:rPr>
                <w:i/>
              </w:rPr>
              <w:t xml:space="preserve">Adeno-Associated Viral Vectors for Homology-Directed Generation of CAR-T cells. </w:t>
            </w:r>
            <w:r>
              <w:t>Biotechnology Journal.</w:t>
            </w:r>
          </w:p>
        </w:tc>
        <w:tc>
          <w:tcPr>
            <w:tcW w:type="dxa" w:w="1296"/>
            <w:tcMar>
              <w:top w:w="20" w:type="dxa"/>
              <w:start w:w="0" w:type="dxa"/>
              <w:bottom w:w="7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2019</w:t>
            </w:r>
          </w:p>
        </w:tc>
      </w:tr>
    </w:tbl>
    <w:p>
      <w:pPr>
        <w:pStyle w:val="CVEntryContext"/>
        <w:ind w:left="547"/>
      </w:pPr>
      <w:r>
        <w:t>* Equal contribution.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8"/>
        <w:gridCol w:w="9820"/>
      </w:tblGrid>
      <w:tr>
        <w:trPr>
          <w:cantSplit/>
        </w:trPr>
        <w:tc>
          <w:tcPr>
            <w:tcW w:type="dxa" w:w="548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Index"/>
              <w:spacing w:after="0"/>
            </w:pPr>
            <w:r>
              <w:t>06</w:t>
            </w:r>
          </w:p>
        </w:tc>
        <w:tc>
          <w:tcPr>
            <w:tcW w:type="dxa" w:w="9820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Title"/>
              <w:keepNext/>
              <w:spacing w:after="0"/>
              <w:pBdr>
                <w:bottom w:val="single" w:sz="4" w:space="2" w:color="D2D7DB"/>
              </w:pBdr>
            </w:pPr>
            <w:r>
              <w:t>Posters and talks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Aharony N, AlQuraishi M. Evaluating Genome Language Model Embeddings as Transferable Priors for Metagenomic Binning.</w:t>
            </w:r>
          </w:p>
          <w:p>
            <w:pPr>
              <w:pStyle w:val="CVEntryDescription"/>
              <w:spacing w:after="0"/>
            </w:pPr>
            <w:r>
              <w:t>Accepted poster · CIBB 2026 · Rome, Italy · Sep 2–4, 2026.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2026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Le Lievre T*, Aharony N*, AlQuraishi M. PRIME-Bench: A Benchmark for Pathway-Level Reasoning in Genome Language Models.</w:t>
            </w:r>
          </w:p>
          <w:p>
            <w:pPr>
              <w:pStyle w:val="CVEntryDescription"/>
              <w:spacing w:after="0"/>
            </w:pPr>
            <w:r>
              <w:t>Poster · ISMB 2026.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2026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Aharony N. Who Holds the Reins in Agent-Assisted Systems Biology?</w:t>
            </w:r>
          </w:p>
          <w:p>
            <w:pPr>
              <w:pStyle w:val="CVEntryDescription"/>
              <w:spacing w:after="0"/>
            </w:pPr>
            <w:r>
              <w:t>Accepted poster and extended abstract · NE AI Agents Day 2026.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2026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Aharony N, AlQuraishi M. Evaluating Genome Language Models for Metagenomic Binning.</w:t>
            </w:r>
          </w:p>
          <w:p>
            <w:pPr>
              <w:pStyle w:val="CVEntryDescription"/>
              <w:spacing w:after="0"/>
            </w:pPr>
            <w:r>
              <w:t>Accepted poster · Pioneering Israeli Science Conference / ScienceAbroad 2026.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2026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Aharony N. Rapid Talks and Panel: 2024 Innovative Tools &amp; Solutions Award Recipients.</w:t>
            </w:r>
          </w:p>
          <w:p>
            <w:pPr>
              <w:pStyle w:val="CVEntryDescription"/>
              <w:spacing w:after="0"/>
            </w:pPr>
            <w:r>
              <w:t>Flash talk and panelist · Pandemic Response Institute.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2026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Aharony N. Genome Language Models Reading the Future of Pandemics in Wastewater.</w:t>
            </w:r>
          </w:p>
          <w:p>
            <w:pPr>
              <w:pStyle w:val="CVEntryDescription"/>
              <w:spacing w:after="0"/>
            </w:pPr>
            <w:r>
              <w:t>Flash talk · Pandemic Response Institute Innovation Showcase.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2025</w:t>
            </w:r>
          </w:p>
        </w:tc>
      </w:tr>
    </w:tbl>
    <w:p>
      <w:pPr>
        <w:sectPr>
          <w:headerReference w:type="default" r:id="rId14"/>
          <w:footerReference w:type="default" r:id="rId15"/>
          <w:pgSz w:w="12240" w:h="15840"/>
          <w:pgMar w:top="792" w:right="936" w:bottom="792" w:left="936" w:header="432" w:footer="432" w:gutter="0"/>
          <w:cols w:space="720"/>
          <w:docGrid w:linePitch="360"/>
        </w:sectPr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8"/>
        <w:gridCol w:w="9820"/>
      </w:tblGrid>
      <w:tr>
        <w:trPr>
          <w:cantSplit/>
        </w:trPr>
        <w:tc>
          <w:tcPr>
            <w:tcW w:type="dxa" w:w="548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Index"/>
              <w:spacing w:after="0"/>
            </w:pPr>
            <w:r>
              <w:t>06</w:t>
            </w:r>
          </w:p>
        </w:tc>
        <w:tc>
          <w:tcPr>
            <w:tcW w:type="dxa" w:w="9820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Title"/>
              <w:keepNext/>
              <w:spacing w:after="0"/>
              <w:pBdr>
                <w:bottom w:val="single" w:sz="4" w:space="2" w:color="D2D7DB"/>
              </w:pBdr>
            </w:pPr>
            <w:r>
              <w:t>Posters and talks · continued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Aharony N. Computational Methods for Pandemic Pathogen Detection.</w:t>
            </w:r>
          </w:p>
          <w:p>
            <w:pPr>
              <w:pStyle w:val="CVEntryDescription"/>
              <w:spacing w:after="0"/>
            </w:pPr>
            <w:r>
              <w:t>Flash talk · Singer Symposium.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2022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Aharony N, Kishony R. Rapid Alteration in Genetic Content Upon Recurring Infection.</w:t>
            </w:r>
          </w:p>
          <w:p>
            <w:pPr>
              <w:pStyle w:val="CVEntryDescription"/>
              <w:spacing w:after="0"/>
            </w:pPr>
            <w:r>
              <w:t>Poster · EMBL Symposium: New Approaches and Concepts in Microbiology.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2021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Aharony N. Careers in Biosecurity.</w:t>
            </w:r>
          </w:p>
          <w:p>
            <w:pPr>
              <w:pStyle w:val="CVEntryDescription"/>
              <w:spacing w:after="0"/>
            </w:pPr>
            <w:r>
              <w:t>Flash talk · EAGx Virtual.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2020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Aharony N, Gronvall G. How Secure is the Gene Synthesis Industry?</w:t>
            </w:r>
          </w:p>
          <w:p>
            <w:pPr>
              <w:pStyle w:val="CVEntryDescription"/>
              <w:spacing w:after="0"/>
            </w:pPr>
            <w:r>
              <w:t>Poster · Biological Weapons Convention: Meeting of Experts.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2018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8"/>
        <w:gridCol w:w="9820"/>
      </w:tblGrid>
      <w:tr>
        <w:trPr>
          <w:cantSplit/>
        </w:trPr>
        <w:tc>
          <w:tcPr>
            <w:tcW w:type="dxa" w:w="548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Index"/>
              <w:spacing w:after="0"/>
            </w:pPr>
            <w:r>
              <w:t>07</w:t>
            </w:r>
          </w:p>
        </w:tc>
        <w:tc>
          <w:tcPr>
            <w:tcW w:type="dxa" w:w="9820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Title"/>
              <w:keepNext/>
              <w:spacing w:after="0"/>
              <w:pBdr>
                <w:bottom w:val="single" w:sz="4" w:space="2" w:color="D2D7DB"/>
              </w:pBdr>
            </w:pPr>
            <w:r>
              <w:t>Awards and funding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BlueDot Impact Rapid Grants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2026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NYC Pandemic Response Institute Innovative Tools and Solutions Award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2024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0"/>
            </w:pPr>
            <w:r>
              <w:t>EA Funds PhD Support Scholarship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2022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0"/>
            </w:pPr>
            <w:r>
              <w:t>Open Philanthropy Early-Career Funding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2021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0"/>
            </w:pPr>
            <w:r>
              <w:t>Miriam and Aaron Gutwirth Memorial Fellowship for Excellence in Research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2020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0"/>
            </w:pPr>
            <w:r>
              <w:t>Leonard and Diane Sherman Interdisciplinary Graduate School Fellowship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2019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0"/>
            </w:pPr>
            <w:r>
              <w:t>Open Philanthropy Early-Career Funding for Global Biological Risks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2018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0"/>
            </w:pPr>
            <w:r>
              <w:t>McGill University Faculty of Science Scholarship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2017, 2018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0"/>
            </w:pPr>
            <w:r>
              <w:t>CIHR Undergraduate Research Award in Computational Biology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2017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0"/>
            </w:pPr>
            <w:r>
              <w:t>NSERC Undergraduate Student Research Award · FRQNT Top-Up to NSERC Undergraduate Student Research Award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2016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8"/>
        <w:gridCol w:w="9820"/>
      </w:tblGrid>
      <w:tr>
        <w:trPr>
          <w:cantSplit/>
        </w:trPr>
        <w:tc>
          <w:tcPr>
            <w:tcW w:type="dxa" w:w="548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Index"/>
              <w:spacing w:after="0"/>
            </w:pPr>
            <w:r>
              <w:t>08</w:t>
            </w:r>
          </w:p>
        </w:tc>
        <w:tc>
          <w:tcPr>
            <w:tcW w:type="dxa" w:w="9820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Title"/>
              <w:keepNext/>
              <w:spacing w:after="0"/>
              <w:pBdr>
                <w:bottom w:val="single" w:sz="4" w:space="2" w:color="D2D7DB"/>
              </w:pBdr>
            </w:pPr>
            <w:r>
              <w:t>Teaching, mentorship, and scientific service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Mentor · Supervised Program for Alignment Research (SPAR)</w:t>
            </w:r>
          </w:p>
          <w:p>
            <w:pPr>
              <w:pStyle w:val="CVEntryDescription"/>
              <w:spacing w:after="0"/>
            </w:pPr>
            <w:r>
              <w:t>Supervising a mentee on a genome assembly benchmark.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Sep–Dec 2026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Teaching Assistant · McGill University</w:t>
            </w:r>
          </w:p>
          <w:p>
            <w:pPr>
              <w:pStyle w:val="CVEntryDescription"/>
              <w:spacing w:after="0"/>
            </w:pPr>
            <w:r>
              <w:t>Created problem sets, held office hours, and led review sessions for biochemistry, molecular biology, neuroscience, and introductory physics.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2016–2018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Research and career mentorship</w:t>
            </w:r>
          </w:p>
          <w:p>
            <w:pPr>
              <w:pStyle w:val="CVEntryDescription"/>
              <w:spacing w:after="0"/>
            </w:pPr>
            <w:r>
              <w:t>Mentored students and early-career professionals pursuing biosecurity and computational-biology projects through Effective Thesis and 80,000 Hours referrals.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2018–2023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Volunteer Consultant · Battelle Memorial Institute / ThreatSEQ</w:t>
            </w:r>
          </w:p>
          <w:p>
            <w:pPr>
              <w:pStyle w:val="CVEntryDescription"/>
              <w:spacing w:after="0"/>
            </w:pPr>
            <w:r>
              <w:t>Advised a ThreatSEQ–FBI initiative assessing whether gene-synthesis companies would detect orders containing genes from the Select Agents list.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2019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8"/>
        <w:gridCol w:w="9820"/>
      </w:tblGrid>
      <w:tr>
        <w:trPr>
          <w:cantSplit/>
        </w:trPr>
        <w:tc>
          <w:tcPr>
            <w:tcW w:type="dxa" w:w="548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Index"/>
              <w:spacing w:after="0"/>
            </w:pPr>
            <w:r>
              <w:t>09</w:t>
            </w:r>
          </w:p>
        </w:tc>
        <w:tc>
          <w:tcPr>
            <w:tcW w:type="dxa" w:w="9820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Title"/>
              <w:keepNext/>
              <w:spacing w:after="0"/>
              <w:pBdr>
                <w:bottom w:val="single" w:sz="4" w:space="2" w:color="D2D7DB"/>
              </w:pBdr>
            </w:pPr>
            <w:r>
              <w:t>Technical and experimental methods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Python · R · MATLAB · C/C++ · Java</w:t>
            </w:r>
          </w:p>
          <w:p>
            <w:pPr>
              <w:pStyle w:val="CVEntryDescription"/>
              <w:spacing w:after="0"/>
            </w:pPr>
            <w:r>
              <w:t>Biological language-model evaluation · sequence modeling · metagenomic analysis · hyperbolic embeddings · genomic pipeline development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Computational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Microbial evolution experiments · AAV vector production · CRISPR/Cas9 delivery</w:t>
            </w:r>
          </w:p>
          <w:p>
            <w:pPr>
              <w:pStyle w:val="CVEntryDescription"/>
              <w:spacing w:after="0"/>
            </w:pPr>
            <w:r>
              <w:t>Molecular-biology workflows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>
              <w:t>Experimental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8"/>
        <w:gridCol w:w="9820"/>
      </w:tblGrid>
      <w:tr>
        <w:trPr>
          <w:cantSplit/>
        </w:trPr>
        <w:tc>
          <w:tcPr>
            <w:tcW w:type="dxa" w:w="548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Index"/>
              <w:spacing w:after="0"/>
            </w:pPr>
            <w:r>
              <w:t>10</w:t>
            </w:r>
          </w:p>
        </w:tc>
        <w:tc>
          <w:tcPr>
            <w:tcW w:type="dxa" w:w="9820"/>
            <w:tcMar>
              <w:top w:w="105" w:type="dxa"/>
              <w:start w:w="0" w:type="dxa"/>
              <w:bottom w:w="35" w:type="dxa"/>
              <w:end w:w="0" w:type="dxa"/>
            </w:tcMar>
          </w:tcPr>
          <w:p>
            <w:pPr>
              <w:pStyle w:val="CVSectionTitle"/>
              <w:keepNext/>
              <w:spacing w:after="0"/>
              <w:pBdr>
                <w:bottom w:val="single" w:sz="4" w:space="2" w:color="D2D7DB"/>
              </w:pBdr>
            </w:pPr>
            <w:r>
              <w:t>Languages</w:t>
            </w:r>
          </w:p>
        </w:tc>
      </w:tr>
    </w:tbl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548" w:type="dxa"/>
      </w:tblPr>
      <w:tblGrid>
        <w:gridCol w:w="8524"/>
        <w:gridCol w:w="1296"/>
      </w:tblGrid>
      <w:tr>
        <w:trPr>
          <w:cantSplit/>
        </w:trPr>
        <w:tc>
          <w:tcPr>
            <w:tcW w:type="dxa" w:w="8524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EntryTitle"/>
              <w:spacing w:after="10"/>
            </w:pPr>
            <w:r>
              <w:t>Hebrew (native) · English (near-native) · French (novice)</w:t>
            </w:r>
          </w:p>
        </w:tc>
        <w:tc>
          <w:tcPr>
            <w:tcW w:type="dxa" w:w="1296"/>
            <w:tcMar>
              <w:top w:w="18" w:type="dxa"/>
              <w:start w:w="0" w:type="dxa"/>
              <w:bottom w:w="45" w:type="dxa"/>
              <w:end w:w="0" w:type="dxa"/>
            </w:tcMar>
            <w:vAlign w:val="top"/>
          </w:tcPr>
          <w:p>
            <w:pPr>
              <w:pStyle w:val="CVDate"/>
              <w:spacing w:after="0"/>
              <w:jc w:val="right"/>
            </w:pPr>
            <w:r/>
          </w:p>
        </w:tc>
      </w:tr>
    </w:tbl>
    <w:sectPr w:rsidR="00FC693F" w:rsidRPr="0006063C" w:rsidSect="00034616">
      <w:headerReference w:type="default" r:id="rId16"/>
      <w:footerReference w:type="default" r:id="rId17"/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" w:lineRule="auto"/>
    </w:pPr>
  </w:p>
  <w:tbl>
    <w:tblPr>
      <w:tblW w:type="dxa" w:w="1000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8000"/>
      <w:gridCol w:w="2000"/>
    </w:tblGrid>
    <w:tr>
      <w:trPr>
        <w:cantSplit/>
      </w:trPr>
      <w:tc>
        <w:tcPr>
          <w:tcW w:type="dxa" w:w="80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CVFooter"/>
            <w:spacing w:after="0"/>
          </w:pPr>
          <w:r>
            <w:t>Noga Aharony · Curriculum Vitae · October 2026</w:t>
          </w:r>
        </w:p>
      </w:tc>
      <w:tc>
        <w:tcPr>
          <w:tcW w:type="dxa" w:w="20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CVFooter"/>
            <w:spacing w:after="0"/>
            <w:jc w:val="right"/>
          </w:pPr>
          <w:r>
            <w:fldChar w:fldCharType="begin"/>
          </w:r>
          <w:r>
            <w:instrText xml:space="preserve"> PAGE \# "00" </w:instrText>
          </w:r>
          <w:r>
            <w:fldChar w:fldCharType="separate"/>
          </w:r>
          <w:r>
            <w:t>01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 NUMPAGES \# "00" </w:instrText>
          </w:r>
          <w:r>
            <w:fldChar w:fldCharType="separate"/>
          </w:r>
          <w:r>
            <w:t>03</w:t>
          </w:r>
          <w:r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" w:lineRule="auto"/>
    </w:pPr>
  </w:p>
  <w:tbl>
    <w:tblPr>
      <w:tblW w:type="dxa" w:w="1000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8000"/>
      <w:gridCol w:w="2000"/>
    </w:tblGrid>
    <w:tr>
      <w:trPr>
        <w:cantSplit/>
      </w:trPr>
      <w:tc>
        <w:tcPr>
          <w:tcW w:type="dxa" w:w="80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CVFooter"/>
            <w:spacing w:after="0"/>
          </w:pPr>
          <w:r>
            <w:t>Noga Aharony · Curriculum Vitae · October 2026</w:t>
          </w:r>
        </w:p>
      </w:tc>
      <w:tc>
        <w:tcPr>
          <w:tcW w:type="dxa" w:w="20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CVFooter"/>
            <w:spacing w:after="0"/>
            <w:jc w:val="right"/>
          </w:pPr>
          <w:r>
            <w:fldChar w:fldCharType="begin"/>
          </w:r>
          <w:r>
            <w:instrText xml:space="preserve"> PAGE \# "00" </w:instrText>
          </w:r>
          <w:r>
            <w:fldChar w:fldCharType="separate"/>
          </w:r>
          <w:r>
            <w:t>01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 NUMPAGES \# "00" </w:instrText>
          </w:r>
          <w:r>
            <w:fldChar w:fldCharType="separate"/>
          </w:r>
          <w:r>
            <w:t>03</w:t>
          </w:r>
          <w:r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" w:lineRule="auto"/>
    </w:pPr>
  </w:p>
  <w:tbl>
    <w:tblPr>
      <w:tblW w:type="dxa" w:w="1000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8000"/>
      <w:gridCol w:w="2000"/>
    </w:tblGrid>
    <w:tr>
      <w:trPr>
        <w:cantSplit/>
      </w:trPr>
      <w:tc>
        <w:tcPr>
          <w:tcW w:type="dxa" w:w="80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CVFooter"/>
            <w:spacing w:after="0"/>
          </w:pPr>
          <w:r>
            <w:t>Noga Aharony · Curriculum Vitae · October 2026</w:t>
          </w:r>
        </w:p>
      </w:tc>
      <w:tc>
        <w:tcPr>
          <w:tcW w:type="dxa" w:w="20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CVFooter"/>
            <w:spacing w:after="0"/>
            <w:jc w:val="right"/>
          </w:pPr>
          <w:r>
            <w:fldChar w:fldCharType="begin"/>
          </w:r>
          <w:r>
            <w:instrText xml:space="preserve"> PAGE \# "00" </w:instrText>
          </w:r>
          <w:r>
            <w:fldChar w:fldCharType="separate"/>
          </w:r>
          <w:r>
            <w:t>01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 NUMPAGES \# "00" </w:instrText>
          </w:r>
          <w:r>
            <w:fldChar w:fldCharType="separate"/>
          </w:r>
          <w:r>
            <w:t>03</w:t>
          </w:r>
          <w: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Footer"/>
      <w:tabs>
        <w:tab w:pos="10368" w:val="right"/>
      </w:tabs>
    </w:pPr>
    <w:r>
      <w:t>Noga Aharony</w:t>
    </w:r>
    <w:r>
      <w:tab/>
      <w:t>Curriculum Vitae · October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Footer"/>
      <w:tabs>
        <w:tab w:pos="10368" w:val="right"/>
      </w:tabs>
    </w:pPr>
    <w:r>
      <w:t>Noga Aharony</w:t>
    </w:r>
    <w:r>
      <w:tab/>
      <w:t>Curriculum Vitae · October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64" w:lineRule="auto"/>
    </w:pPr>
    <w:rPr>
      <w:rFonts w:ascii="Arial" w:hAnsi="Arial"/>
      <w:color w:val="1D242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ody">
    <w:name w:val="CV Body"/>
    <w:pPr>
      <w:spacing w:before="0" w:after="50" w:line="264" w:lineRule="auto"/>
    </w:pPr>
    <w:rPr>
      <w:rFonts w:ascii="Arial" w:hAnsi="Arial" w:cs="Arial"/>
      <w:b w:val="0"/>
      <w:color w:val="1D2429"/>
      <w:sz w:val="20"/>
    </w:rPr>
  </w:style>
  <w:style w:type="paragraph" w:customStyle="1" w:styleId="CVName">
    <w:name w:val="CV Name"/>
    <w:pPr>
      <w:spacing w:before="0" w:after="50" w:line="264" w:lineRule="auto"/>
    </w:pPr>
    <w:rPr>
      <w:rFonts w:ascii="Arial" w:hAnsi="Arial" w:cs="Arial"/>
      <w:b/>
      <w:color w:val="1D2429"/>
      <w:sz w:val="52"/>
    </w:rPr>
  </w:style>
  <w:style w:type="paragraph" w:customStyle="1" w:styleId="CVRole">
    <w:name w:val="CV Role"/>
    <w:pPr>
      <w:spacing w:before="0" w:after="50" w:line="264" w:lineRule="auto"/>
    </w:pPr>
    <w:rPr>
      <w:rFonts w:ascii="Arial" w:hAnsi="Arial" w:cs="Arial"/>
      <w:b w:val="0"/>
      <w:color w:val="5C6871"/>
      <w:sz w:val="18"/>
    </w:rPr>
  </w:style>
  <w:style w:type="paragraph" w:customStyle="1" w:styleId="CVContact">
    <w:name w:val="CV Contact"/>
    <w:pPr>
      <w:spacing w:before="0" w:after="50" w:line="264" w:lineRule="auto"/>
    </w:pPr>
    <w:rPr>
      <w:rFonts w:ascii="Arial" w:hAnsi="Arial" w:cs="Arial"/>
      <w:b w:val="0"/>
      <w:color w:val="5C6871"/>
      <w:sz w:val="16"/>
    </w:rPr>
  </w:style>
  <w:style w:type="paragraph" w:customStyle="1" w:styleId="CVSectionTitle">
    <w:name w:val="CV Section Title"/>
    <w:pPr>
      <w:spacing w:before="0" w:after="50" w:line="264" w:lineRule="auto"/>
    </w:pPr>
    <w:rPr>
      <w:rFonts w:ascii="Arial" w:hAnsi="Arial" w:cs="Arial"/>
      <w:b/>
      <w:color w:val="1D2429"/>
      <w:sz w:val="22"/>
    </w:rPr>
  </w:style>
  <w:style w:type="paragraph" w:customStyle="1" w:styleId="CVSectionIndex">
    <w:name w:val="CV Section Index"/>
    <w:pPr>
      <w:spacing w:before="0" w:after="50" w:line="264" w:lineRule="auto"/>
    </w:pPr>
    <w:rPr>
      <w:rFonts w:ascii="Courier New" w:hAnsi="Courier New" w:cs="Courier New"/>
      <w:b/>
      <w:color w:val="D15339"/>
      <w:sz w:val="15"/>
    </w:rPr>
  </w:style>
  <w:style w:type="paragraph" w:customStyle="1" w:styleId="CVEntryTitle">
    <w:name w:val="CV Entry Title"/>
    <w:pPr>
      <w:spacing w:before="0" w:after="50" w:line="264" w:lineRule="auto"/>
    </w:pPr>
    <w:rPr>
      <w:rFonts w:ascii="Arial" w:hAnsi="Arial" w:cs="Arial"/>
      <w:b/>
      <w:color w:val="1D2429"/>
      <w:sz w:val="20"/>
    </w:rPr>
  </w:style>
  <w:style w:type="paragraph" w:customStyle="1" w:styleId="CVEntryContext">
    <w:name w:val="CV Entry Context"/>
    <w:pPr>
      <w:spacing w:before="0" w:after="50" w:line="264" w:lineRule="auto"/>
    </w:pPr>
    <w:rPr>
      <w:rFonts w:ascii="Arial" w:hAnsi="Arial" w:cs="Arial"/>
      <w:b w:val="0"/>
      <w:color w:val="5C6871"/>
      <w:sz w:val="17"/>
    </w:rPr>
  </w:style>
  <w:style w:type="paragraph" w:customStyle="1" w:styleId="CVEntryDescription">
    <w:name w:val="CV Entry Description"/>
    <w:pPr>
      <w:spacing w:before="0" w:after="50" w:line="264" w:lineRule="auto"/>
    </w:pPr>
    <w:rPr>
      <w:rFonts w:ascii="Arial" w:hAnsi="Arial" w:cs="Arial"/>
      <w:b w:val="0"/>
      <w:color w:val="1D2429"/>
      <w:sz w:val="19"/>
    </w:rPr>
  </w:style>
  <w:style w:type="paragraph" w:customStyle="1" w:styleId="CVDate">
    <w:name w:val="CV Date"/>
    <w:pPr>
      <w:spacing w:before="0" w:after="50" w:line="264" w:lineRule="auto"/>
    </w:pPr>
    <w:rPr>
      <w:rFonts w:ascii="Courier New" w:hAnsi="Courier New" w:cs="Courier New"/>
      <w:b w:val="0"/>
      <w:color w:val="6D7982"/>
      <w:sz w:val="16"/>
    </w:rPr>
  </w:style>
  <w:style w:type="paragraph" w:customStyle="1" w:styleId="CVOutputID">
    <w:name w:val="CV Output ID"/>
    <w:pPr>
      <w:spacing w:before="0" w:after="50" w:line="264" w:lineRule="auto"/>
    </w:pPr>
    <w:rPr>
      <w:rFonts w:ascii="Courier New" w:hAnsi="Courier New" w:cs="Courier New"/>
      <w:b/>
      <w:color w:val="24497F"/>
      <w:sz w:val="15"/>
    </w:rPr>
  </w:style>
  <w:style w:type="paragraph" w:customStyle="1" w:styleId="CVPublication">
    <w:name w:val="CV Publication"/>
    <w:pPr>
      <w:spacing w:before="0" w:after="50" w:line="264" w:lineRule="auto"/>
    </w:pPr>
    <w:rPr>
      <w:rFonts w:ascii="Arial" w:hAnsi="Arial" w:cs="Arial"/>
      <w:b w:val="0"/>
      <w:color w:val="1D2429"/>
      <w:sz w:val="19"/>
    </w:rPr>
  </w:style>
  <w:style w:type="paragraph" w:customStyle="1" w:styleId="CVFooter">
    <w:name w:val="CV Footer"/>
    <w:pPr>
      <w:spacing w:before="0" w:after="50" w:line="264" w:lineRule="auto"/>
    </w:pPr>
    <w:rPr>
      <w:rFonts w:ascii="Courier New" w:hAnsi="Courier New" w:cs="Courier New"/>
      <w:b w:val="0"/>
      <w:color w:val="6D7982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contact@noga.science" TargetMode="External"/><Relationship Id="rId11" Type="http://schemas.openxmlformats.org/officeDocument/2006/relationships/hyperlink" Target="https://noga.science" TargetMode="External"/><Relationship Id="rId12" Type="http://schemas.openxmlformats.org/officeDocument/2006/relationships/hyperlink" Target="https://github.com/nongiga" TargetMode="External"/><Relationship Id="rId13" Type="http://schemas.openxmlformats.org/officeDocument/2006/relationships/hyperlink" Target="https://scholar.google.com/citations?user=nVw6rmsAAAAJ" TargetMode="External"/><Relationship Id="rId14" Type="http://schemas.openxmlformats.org/officeDocument/2006/relationships/header" Target="header1.xml"/><Relationship Id="rId15" Type="http://schemas.openxmlformats.org/officeDocument/2006/relationships/footer" Target="footer2.xml"/><Relationship Id="rId16" Type="http://schemas.openxmlformats.org/officeDocument/2006/relationships/header" Target="head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Noga Aharony — Curriculum Vitae</dc:title>
  <dc:subject>Computational biology, systems biology, and biosurveillance research</dc:subject>
  <dc:creator>Noga Aharony</dc:creator>
  <cp:keywords>computational biology; systems biology; genome language models; biosurveillance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