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Proposal for Archiving LFA Documents in IBM Content Manager OnDemand (CMOD)</w:t>
      </w:r>
    </w:p>
    <w:p>
      <w:pPr>
        <w:pStyle w:val="Heading1"/>
        <w:rPr/>
      </w:pPr>
      <w:r>
        <w:rPr/>
        <w:t>1. Executive Summary</w:t>
      </w:r>
    </w:p>
    <w:p>
      <w:pPr>
        <w:pStyle w:val="Normal"/>
        <w:rPr/>
      </w:pPr>
      <w:r>
        <w:rPr/>
        <w:t>This proposal outlines a strategic approach for archiving LFA documents using IBM Content Manager OnDemand (CMOD). The solution is designed to efficiently manage large-volume, high-compression text-based files while supporting long-term retention, rapid retrieval, and seamless integration with existing infrastructure.</w:t>
      </w:r>
    </w:p>
    <w:p>
      <w:pPr>
        <w:pStyle w:val="Heading1"/>
        <w:rPr/>
      </w:pPr>
      <w:r>
        <w:rPr/>
        <w:t>2. Document Characteristics and Constraints</w:t>
      </w:r>
    </w:p>
    <w:p>
      <w:pPr>
        <w:pStyle w:val="Normal"/>
        <w:rPr/>
      </w:pPr>
      <w:r>
        <w:rPr/>
        <w:t>- File Size: LFA documents frequently exceed 2GB, surpassing CMOD's single-document storage limit.</w:t>
      </w:r>
    </w:p>
    <w:p>
      <w:pPr>
        <w:pStyle w:val="Normal"/>
        <w:rPr/>
      </w:pPr>
      <w:r>
        <w:rPr/>
        <w:t>- Format: Files are bar (|) delimited CSVs with a semi-structured XML-style header containing metadata.</w:t>
      </w:r>
    </w:p>
    <w:p>
      <w:pPr>
        <w:pStyle w:val="Normal"/>
        <w:rPr/>
      </w:pPr>
      <w:r>
        <w:rPr/>
        <w:t>- Compression Expectation: Anticipated storage footprint is approximately 30% of original file size due to high compression efficiency.</w:t>
      </w:r>
    </w:p>
    <w:p>
      <w:pPr>
        <w:pStyle w:val="Heading1"/>
        <w:rPr/>
      </w:pPr>
      <w:r>
        <w:rPr/>
        <w:t>3. CMOD Configuration Overview</w:t>
      </w:r>
    </w:p>
    <w:p>
      <w:pPr>
        <w:pStyle w:val="Heading2"/>
        <w:rPr/>
      </w:pPr>
      <w:r>
        <w:rPr/>
        <w:t>3.1 Application Groups</w:t>
      </w:r>
    </w:p>
    <w:p>
      <w:pPr>
        <w:pStyle w:val="Normal"/>
        <w:rPr/>
      </w:pPr>
      <w:r>
        <w:rPr/>
        <w:t>- Design: Ten (10) parallel application groups with identical configurations to facilitate high-throughput ingestion.</w:t>
      </w:r>
    </w:p>
    <w:p>
      <w:pPr>
        <w:pStyle w:val="Normal"/>
        <w:rPr/>
      </w:pPr>
      <w:r>
        <w:rPr/>
        <w:t>- Naming Convention: LFA0 through LFA9</w:t>
      </w:r>
    </w:p>
    <w:p>
      <w:pPr>
        <w:pStyle w:val="Normal"/>
        <w:rPr/>
      </w:pPr>
      <w:r>
        <w:rPr/>
        <w:t>- Index Fields: In addition to existing custom indices, a technical field PARTNO (integer) will be introduced to support document chunking.</w:t>
      </w:r>
    </w:p>
    <w:p>
      <w:pPr>
        <w:pStyle w:val="Normal"/>
        <w:rPr/>
      </w:pPr>
      <w:r>
        <w:rPr/>
        <w:t>- Retention Policy: 10 years (3,650 days) with load-expiry type; legal hold is not required.</w:t>
      </w:r>
    </w:p>
    <w:p>
      <w:pPr>
        <w:pStyle w:val="Heading2"/>
        <w:rPr/>
      </w:pPr>
      <w:r>
        <w:rPr/>
        <w:t>3.2 Storage Configuration</w:t>
      </w:r>
    </w:p>
    <w:p>
      <w:pPr>
        <w:pStyle w:val="Normal"/>
        <w:rPr/>
      </w:pPr>
      <w:r>
        <w:rPr/>
        <w:t>Two storage options are available:</w:t>
      </w:r>
    </w:p>
    <w:p>
      <w:pPr>
        <w:pStyle w:val="Normal"/>
        <w:rPr/>
      </w:pPr>
      <w:r>
        <w:rPr/>
        <w:t>1. HCP (S3-compatible) – Current LA Hub configuration.</w:t>
      </w:r>
    </w:p>
    <w:p>
      <w:pPr>
        <w:pStyle w:val="Normal"/>
        <w:rPr/>
      </w:pPr>
      <w:r>
        <w:rPr/>
        <w:t>2. IBM Storage Protect (TSM/VTS) – Managed by the infrastructure team.</w:t>
      </w:r>
    </w:p>
    <w:p>
      <w:pPr>
        <w:pStyle w:val="Normal"/>
        <w:rPr/>
      </w:pPr>
      <w:r>
        <w:rPr/>
        <w:t>Selection should be based on:</w:t>
        <w:br/>
        <w:t>- Storage performance</w:t>
        <w:br/>
        <w:t>- Cost efficiency per GB</w:t>
        <w:br/>
        <w:t xml:space="preserve">- </w:t>
      </w:r>
      <w:r>
        <w:rPr/>
        <w:t>Operation model</w:t>
      </w:r>
    </w:p>
    <w:p>
      <w:pPr>
        <w:pStyle w:val="Heading1"/>
        <w:rPr/>
      </w:pPr>
      <w:r>
        <w:rPr/>
        <w:t>4. Application and Folder Structure</w:t>
      </w:r>
    </w:p>
    <w:p>
      <w:pPr>
        <w:pStyle w:val="Normal"/>
        <w:rPr/>
      </w:pPr>
      <w:r>
        <w:rPr/>
        <w:t>- Folder: All application groups will be organized under a common folder: LFA</w:t>
      </w:r>
    </w:p>
    <w:p>
      <w:pPr>
        <w:pStyle w:val="Normal"/>
        <w:rPr/>
      </w:pPr>
      <w:r>
        <w:rPr/>
        <w:t>- Applications: Each group will be assigned its own CMOD application configured for:</w:t>
        <w:br/>
        <w:t xml:space="preserve">  - Generic indexing</w:t>
        <w:br/>
        <w:t xml:space="preserve">  - Document type: Line (Text)</w:t>
        <w:br/>
        <w:t xml:space="preserve">  - Compression format: OD77</w:t>
      </w:r>
    </w:p>
    <w:p>
      <w:pPr>
        <w:pStyle w:val="Heading1"/>
        <w:rPr/>
      </w:pPr>
      <w:r>
        <w:rPr/>
        <w:t>5. Data Ingestion and Interface</w:t>
      </w:r>
    </w:p>
    <w:p>
      <w:pPr>
        <w:pStyle w:val="Normal"/>
        <w:rPr/>
      </w:pPr>
      <w:r>
        <w:rPr/>
        <w:t>- Delivery Method: Irregular monthly bursts via MFT or FTP over SSH</w:t>
      </w:r>
    </w:p>
    <w:p>
      <w:pPr>
        <w:pStyle w:val="Normal"/>
        <w:rPr/>
      </w:pPr>
      <w:r>
        <w:rPr/>
        <w:t>- Naming Convention: To be defined</w:t>
      </w:r>
    </w:p>
    <w:p>
      <w:pPr>
        <w:pStyle w:val="Normal"/>
        <w:rPr/>
      </w:pPr>
      <w:r>
        <w:rPr/>
        <w:t>- Encoding: Specified in file headers</w:t>
      </w:r>
    </w:p>
    <w:p>
      <w:pPr>
        <w:pStyle w:val="Normal"/>
        <w:rPr/>
      </w:pPr>
      <w:r>
        <w:rPr/>
        <w:t>- Drop Zone:</w:t>
        <w:br/>
        <w:t xml:space="preserve">  - Input: /ars/spool/input/lfa</w:t>
        <w:br/>
        <w:t xml:space="preserve">  - Output: /ars/spool/output/lfa</w:t>
        <w:br/>
        <w:t xml:space="preserve">  - Includes receipt management for delivery confirmation</w:t>
      </w:r>
    </w:p>
    <w:p>
      <w:pPr>
        <w:pStyle w:val="Heading1"/>
        <w:rPr/>
      </w:pPr>
      <w:r>
        <w:rPr/>
        <w:t>6. Indexing Process</w:t>
      </w:r>
    </w:p>
    <w:p>
      <w:pPr>
        <w:pStyle w:val="Heading2"/>
        <w:rPr/>
      </w:pPr>
      <w:r>
        <w:rPr/>
        <w:t>6.1 External Indexing Tool</w:t>
      </w:r>
    </w:p>
    <w:p>
      <w:pPr>
        <w:pStyle w:val="Normal"/>
        <w:rPr/>
      </w:pPr>
      <w:r>
        <w:rPr/>
        <w:t>- Tool: Proposed implementation using a custom Perl script</w:t>
      </w:r>
    </w:p>
    <w:p>
      <w:pPr>
        <w:pStyle w:val="Normal"/>
        <w:rPr/>
      </w:pPr>
      <w:r>
        <w:rPr/>
        <w:t>- Functionality:</w:t>
        <w:br/>
        <w:t xml:space="preserve">  - Parse semi-XML headers</w:t>
        <w:br/>
        <w:t xml:space="preserve">  - Split source files into ≤2GB segments</w:t>
        <w:br/>
        <w:t xml:space="preserve">  - Assign and track PARTNO identifiers</w:t>
        <w:br/>
        <w:t xml:space="preserve">  - Output .ind index files in round-robin format across 10 application groups</w:t>
      </w:r>
    </w:p>
    <w:p>
      <w:pPr>
        <w:pStyle w:val="Heading1"/>
        <w:rPr/>
      </w:pPr>
      <w:r>
        <w:rPr/>
        <w:t>7. Loading and Retrieval</w:t>
      </w:r>
    </w:p>
    <w:p>
      <w:pPr>
        <w:pStyle w:val="Heading2"/>
        <w:rPr/>
      </w:pPr>
      <w:r>
        <w:rPr/>
        <w:t>7.1 Loading</w:t>
      </w:r>
    </w:p>
    <w:p>
      <w:pPr>
        <w:pStyle w:val="Normal"/>
        <w:rPr/>
      </w:pPr>
      <w:r>
        <w:rPr/>
        <w:t>- Method: Parallel loading via multiple instances of arsload, each handling its corresponding .ind file and application group.</w:t>
      </w:r>
    </w:p>
    <w:p>
      <w:pPr>
        <w:pStyle w:val="Heading2"/>
        <w:rPr/>
      </w:pPr>
      <w:r>
        <w:rPr/>
        <w:t>7.2 Retrieval</w:t>
      </w:r>
    </w:p>
    <w:p>
      <w:pPr>
        <w:pStyle w:val="Normal"/>
        <w:rPr/>
      </w:pPr>
      <w:r>
        <w:rPr/>
        <w:t>Process: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Request initiated via OCR or </w:t>
      </w:r>
      <w:r>
        <w:rPr/>
        <w:t xml:space="preserve">other </w:t>
      </w:r>
      <w:r>
        <w:rPr/>
        <w:t xml:space="preserve">pre-defined </w:t>
      </w:r>
      <w:r>
        <w:rPr/>
        <w:t xml:space="preserve"> requesting </w:t>
      </w:r>
      <w:r>
        <w:rPr/>
        <w:t>method</w:t>
      </w:r>
    </w:p>
    <w:p>
      <w:pPr>
        <w:pStyle w:val="Normal"/>
        <w:numPr>
          <w:ilvl w:val="0"/>
          <w:numId w:val="7"/>
        </w:numPr>
        <w:rPr/>
      </w:pPr>
      <w:r>
        <w:rPr/>
        <w:t>Bash script performs arsdoc get to extract relevant chunks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Chunks </w:t>
      </w:r>
      <w:r>
        <w:rPr/>
        <w:t xml:space="preserve">are </w:t>
      </w:r>
      <w:r>
        <w:rPr/>
        <w:t xml:space="preserve">reassembled into final </w:t>
      </w:r>
      <w:r>
        <w:rPr/>
        <w:t xml:space="preserve">(original) </w:t>
      </w:r>
      <w:r>
        <w:rPr/>
        <w:t>file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The document is compressed (zipped) and deposited </w:t>
      </w:r>
      <w:r>
        <w:rPr/>
        <w:t>to /ars/spool/output/lfa</w:t>
      </w:r>
      <w:r>
        <w:rPr/>
        <w:t xml:space="preserve"> for collection</w:t>
      </w:r>
    </w:p>
    <w:p>
      <w:pPr>
        <w:pStyle w:val="Heading1"/>
        <w:rPr/>
      </w:pPr>
      <w:r>
        <w:rPr/>
        <w:t>8. Migration Strategy</w:t>
      </w:r>
    </w:p>
    <w:p>
      <w:pPr>
        <w:pStyle w:val="Heading2"/>
        <w:rPr/>
      </w:pPr>
      <w:r>
        <w:rPr/>
        <w:t>8.1 Current LFA Storage Analysis</w:t>
      </w:r>
    </w:p>
    <w:p>
      <w:pPr>
        <w:pStyle w:val="Normal"/>
        <w:rPr/>
      </w:pPr>
      <w:r>
        <w:rPr/>
        <w:t>Assumption: Input files are not split across multiple tapes. Each tape contains one or more whole files with minor zOS overhead.</w:t>
      </w:r>
    </w:p>
    <w:p>
      <w:pPr>
        <w:pStyle w:val="Heading2"/>
        <w:rPr/>
      </w:pPr>
      <w:r>
        <w:rPr/>
        <w:t>8.2 Migration Execution</w:t>
      </w:r>
    </w:p>
    <w:p>
      <w:pPr>
        <w:pStyle w:val="Normal"/>
        <w:rPr/>
      </w:pPr>
      <w:r>
        <w:rPr/>
        <w:t>- Indexing: The same indexing tool will be used to parse data directly from tapes.</w:t>
      </w:r>
    </w:p>
    <w:p>
      <w:pPr>
        <w:pStyle w:val="Normal"/>
        <w:rPr/>
      </w:pPr>
      <w:r>
        <w:rPr/>
        <w:t>- Data Delivery: Binary tapes delivered to /ars/spool/input/lfa using existing LAZAR migration tooling.</w:t>
      </w:r>
    </w:p>
    <w:p>
      <w:pPr>
        <w:pStyle w:val="Normal"/>
        <w:rPr/>
      </w:pPr>
      <w:r>
        <w:rPr/>
        <w:t xml:space="preserve">- Cut-over Strategy: To avoid incremental rework, </w:t>
      </w:r>
      <w:r>
        <w:rPr/>
        <w:t xml:space="preserve">we shall </w:t>
      </w:r>
      <w:r>
        <w:rPr/>
        <w:t>transition production to the LA Hub before initiating migration.</w:t>
      </w:r>
    </w:p>
    <w:p>
      <w:pPr>
        <w:pStyle w:val="Heading2"/>
        <w:rPr/>
      </w:pPr>
      <w:r>
        <w:rPr/>
        <w:t>8.3 Estimated Timeline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Migration expected to complete within 3–6 months based on historical performance benchmarks (~2.4 TB/day).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LibreOffice/24.8.7.2$Windows_X86_64 LibreOffice_project/e07d0a63a46349d29051da79b1fde8160bab2a89</Application>
  <AppVersion>15.0000</AppVersion>
  <Pages>3</Pages>
  <Words>506</Words>
  <Characters>3008</Characters>
  <CharactersWithSpaces>3484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2025-06-23T10:38:16Z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