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Lizenzen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Fonts Lizenzen?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Apache License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Man darf Software unter dieser Lizenz frei in jedem Umfeld verwenden, modifizieren und verteilen.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Wenn man sie verteilt, muss eindeutig darauf hingewiesen werden, welche Software unter der Apache-Lizenz verwendet wurde und dass diese vom Lizenzgeber (name of copyright owner) stammt. Eine Kopie der Lizenz muss dem Paket beiliegen.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Eigene Software, die unter Apache-Lizenz stehende Software verwendet, muss nicht unter der Apache-Lizenz stehen.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wird benutzt von: GWT-2.7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LGPL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Patches an den Libs muessen dem Maintainer zugefuehrt werden (trifft bei uns nicht zu)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Endnutzer muessen die Moeglichkeit haben. den Code in LGPL-Lizensierten Modulen gegen eigenen auszutauschen. Dies ist gewaehrleistet durch Nutzung von shared libraries und Zugriff auf das System ueber ssh.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Sonst keine Einschraenkungen oder Bedingungen.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wird benutzt von: </w:t>
      </w:r>
      <w:r w:rsidDel="00000000" w:rsidR="00000000" w:rsidRPr="00000000">
        <w:rPr>
          <w:rtl w:val="0"/>
        </w:rPr>
        <w:t xml:space="preserve">glib (glibmm), gio (giomm), avahi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Library General Public License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Aenderungen an der Lib muessen veroeffentlicht werden (trifft bei uns nicht zu)</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Sie müssen bei jeder Kopie des Werks an prominenter Stelle darauf hinweisen, dass es die Bibliothek verwendet und dass sowohl die Bibliothek als auch ihre Verwendung dieser Lizenz unterliegt. Sie müssen eine Kopie dieser Lizenz mitliefern. Falls das Werk zur Laufzeit Urheberrechtshinweise anzeigt, müssen Sie auch den Copyright-Hinweis für die Bibliothek anzeigen und die Anwender auf eine Kopie dieser Lizenz verweisen. Darüber hinaus müssen Sie eines der folgenden Dinge tun: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  Legen Sie dem Werk den vollständigen zugehörigen maschinenlesbaren Quelltext der Bibliothek einschließlich jeglicher an dem Werk vorgenommenen Änderungen (der gemäß §1 und §2 weitergegeben werden muss) sowie, falls es sich bei dem Werk um eine mit der Bibliothek verlinkte ausführbare Datei handelt, das vollständige maschinenlesbare „die Bibliothek nutzende Werk“ als Objektcode und/oder Quelltext bei, damit der Anwender Änderungen an der Bibliothek vornehmen und sie schließlich neu verlinken kann, um eine modifizierte ausführbare Datei mit der modifizierten Bibliothek zu erstellen. (Selbstverständlich wird der Anwender, der die Inhalte der Definitionsdateien in der Bibliothek ändert, nicht notwendigerweise in der Lage sein, die Anwendung neu zu kompilieren, um die geänderten Definitionen nutzen zu können.)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b.  Legen Sie dem Werk ein mindestens drei Jahre lang gültiges schriftliches Angebot bei, um demselben Anwender die im vorgenannten §6a aufgeführten Materialien gegen eine Gebühr bereitzustellen, die nicht die Kosten für diese Weitergabe übersteigt.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  Wenn die Verbreitung des Werks erfolgt, indem an einem bestimmten Ort ein Zugang zum Vervielfältigen bereitgestellt wird, dann stellen Sie einen gleichwertigen Zugang zum Vervielfältigen des vorgenannten Materials am selben Ort bereit.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  Vergewissern Sie sich, dass der Anwender bereits eine Kopie dieser Materialien erhalten hat oder dass Sie diesem Anwender bereits eine Kopie zugeschickt haben.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wird benutzt von: libsoup, uuid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FreeType Project License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”Redistribution in binary form must provide a  disclaimer  that states  that  the software is based in part of the work of the FreeType Team,  in  the  distribution  documentation.  We also encourage you to put an URL to the FreeType web page  in  your  documentation, though this isn't mandatory.  These conditions  apply to any  software derived from or  based on  the FreeType Project,  not just the unmodified files.   If you use  our work, you  must acknowledge us.  However, no  fee need be paid  to 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wird benutzt von: </w:t>
      </w:r>
      <w:r w:rsidDel="00000000" w:rsidR="00000000" w:rsidRPr="00000000">
        <w:rPr>
          <w:rtl w:val="0"/>
        </w:rPr>
        <w:t xml:space="preserve">freetype2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Ich schlage folgendes vor: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Auf dem im Handbuch und im AboutScreen des Geraets erwaehen wir all die von uns verwendeten OpenSource Projekte. Ausserdem verweisen wir auf </w:t>
      </w:r>
      <w:hyperlink r:id="rId5">
        <w:r w:rsidDel="00000000" w:rsidR="00000000" w:rsidRPr="00000000">
          <w:rPr>
            <w:color w:val="1155cc"/>
            <w:u w:val="single"/>
            <w:rtl w:val="0"/>
          </w:rPr>
          <w:t xml:space="preserve">http://nonlinearlabs.com/open-source</w:t>
        </w:r>
      </w:hyperlink>
      <w:r w:rsidDel="00000000" w:rsidR="00000000" w:rsidRPr="00000000">
        <w:rPr>
          <w:rtl w:val="0"/>
        </w:rPr>
        <w:t xml:space="preserve">. Dort Verlinken wir zu jedem Projekt die entsprechende Lizenz und danken all den Entwicklern der Projekte in 1 bis 2 salbungsvollen Saetzen.</w:t>
      </w:r>
    </w:p>
    <w:p w:rsidR="00000000" w:rsidDel="00000000" w:rsidP="00000000" w:rsidRDefault="00000000" w:rsidRPr="00000000">
      <w:pPr>
        <w:contextualSpacing w:val="0"/>
      </w:pPr>
      <w:r w:rsidDel="00000000" w:rsidR="00000000" w:rsidRPr="00000000">
        <w:rPr>
          <w:rtl w:val="0"/>
        </w:rPr>
        <w:t xml:space="preserve">Um uns rechtlich abzusichern (die Kunden werden uns nix tun, aber Konkurrenten koennten uns abmahnen, wenn sie der Meinung sind, wir verwenden open source libs unrechtmaessig und verschaffen uns dadurch einen Wettbewerbsvorteil), bieten wir zunaechst an, Interessenten eine (eventuell kostenpflichtige) CD zu schicken, die eine aktuelle Kopie unseres Buildroot sowie Kopien des Sourcecode vom Playground und der Treiber enthaelt. Damit ist die Software de facto “Open-Source” und jeder Nutzer kann die Software abaendern und auf sein Keyboard spielen. Gleichzeitig verschieben wir die Arbeit an der Zusammstellung auf den Tag, an dem es mal angefragt wird. “Irgendwann” werden wir den Code dann soweit haben, dass wir ihn statt auf CD auch online anbieten.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Ich schlage fuer unseren Code prinzipiell die GPL vor. Dadurch duerften andere Entwickler unseren Kram nutzen, muessten aber ihrerseits ihre Projekte offenlegen (Copyleft) und Bugfixes/Verbesserungen an uns schicken. Einzelne Bestandteile (libundo) koennen wir trotzdem unter LGPL veroeffentlichen - dort entfaellt der Copyleft-Zwang.</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onlinearlabs.com/open-source" TargetMode="External"/></Relationships>
</file>