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sz w:val="20"/>
          <w:szCs w:val="20"/>
        </w:rPr>
        <w:t xml:space="preserve"/>
      </w:r>
    </w:p>
    <w:p>
      <w:pPr>
        <w:spacing w:after="80" w:before="0"/>
        <w:jc w:val="center"/>
      </w:pPr>
      <w:r>
        <w:rPr>
          <w:rFonts w:ascii="Arial" w:cs="Arial" w:eastAsia="Arial" w:hAnsi="Arial"/>
          <w:b/>
          <w:bCs/>
          <w:color w:val="1E3A5F"/>
          <w:sz w:val="72"/>
          <w:szCs w:val="72"/>
        </w:rPr>
        <w:t xml:space="preserve">ImmoMatch</w:t>
      </w:r>
    </w:p>
    <w:p>
      <w:pPr>
        <w:spacing w:after="480" w:before="0"/>
        <w:jc w:val="center"/>
      </w:pPr>
      <w:r>
        <w:rPr>
          <w:rFonts w:ascii="Arial" w:cs="Arial" w:eastAsia="Arial" w:hAnsi="Arial"/>
          <w:i/>
          <w:iCs/>
          <w:color w:val="2E86AB"/>
          <w:sz w:val="28"/>
          <w:szCs w:val="28"/>
        </w:rPr>
        <w:t xml:space="preserve">Intelligence artificielle pour l'immobilier</w:t>
      </w:r>
    </w:p>
    <w:p>
      <w:pPr>
        <w:pBdr>
          <w:top w:val="single" w:color="2E86AB" w:sz="8"/>
          <w:bottom w:val="single" w:color="2E86AB" w:sz="8"/>
        </w:pBdr>
        <w:spacing w:after="120" w:before="120"/>
        <w:jc w:val="center"/>
      </w:pPr>
      <w:r>
        <w:rPr>
          <w:rFonts w:ascii="Arial" w:cs="Arial" w:eastAsia="Arial" w:hAnsi="Arial"/>
          <w:b/>
          <w:bCs/>
          <w:color w:val="1E3A5F"/>
          <w:sz w:val="44"/>
          <w:szCs w:val="44"/>
        </w:rPr>
        <w:t xml:space="preserve">ANALYSE CONCURRENTIELLE</w:t>
      </w:r>
    </w:p>
    <w:p>
      <w:pPr>
        <w:spacing w:after="2000" w:before="240"/>
        <w:jc w:val="center"/>
      </w:pPr>
      <w:r>
        <w:rPr>
          <w:rFonts w:ascii="Arial" w:cs="Arial" w:eastAsia="Arial" w:hAnsi="Arial"/>
          <w:color w:val="7F8C8D"/>
          <w:sz w:val="24"/>
          <w:szCs w:val="24"/>
        </w:rPr>
        <w:t xml:space="preserve">Marché français du SaaS immobilier — Positionnement &amp; Différenciation</w:t>
      </w:r>
    </w:p>
    <w:p>
      <w:pPr>
        <w:spacing w:after="0" w:before="0"/>
        <w:jc w:val="center"/>
      </w:pPr>
      <w:r>
        <w:rPr>
          <w:rFonts w:ascii="Arial" w:cs="Arial" w:eastAsia="Arial" w:hAnsi="Arial"/>
          <w:color w:val="7F8C8D"/>
          <w:sz w:val="20"/>
          <w:szCs w:val="20"/>
        </w:rPr>
        <w:t xml:space="preserve">Avril 2026  |  Confidentiel — Usage interne</w:t>
      </w:r>
    </w:p>
    <w:p>
      <w:r>
        <w:br w:type="page"/>
      </w:r>
    </w:p>
    <w:p>
      <w:pPr>
        <w:pStyle w:val="Heading1"/>
        <w:spacing w:after="120" w:before="360"/>
      </w:pPr>
      <w:r>
        <w:rPr>
          <w:b/>
          <w:bCs/>
          <w:color w:val="1E3A5F"/>
        </w:rPr>
        <w:t xml:space="preserve">Sommaire</w:t>
      </w:r>
    </w:p>
    <w:p>
      <w:pPr>
        <w:pBdr>
          <w:bottom w:val="single" w:color="2E86AB" w:sz="4" w:space="1"/>
        </w:pBdr>
        <w:spacing w:after="12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0"/>
        <w:gridCol w:w="1826"/>
      </w:tblGrid>
      <w:tr>
        <w:tc>
          <w:tcPr>
            <w:tcW w:type="dxa" w:w="7200"/>
            <w:tcBorders>
              <w:top w:val="none" w:color="FFFFFF" w:sz="0"/>
              <w:left w:val="none" w:color="FFFFFF" w:sz="0"/>
              <w:bottom w:val="single" w:color="E8EAED" w:sz="1"/>
              <w:right w:val="none" w:color="FFFFFF" w:sz="0"/>
            </w:tcBorders>
            <w:tcMar>
              <w:top w:type="dxa" w:w="80"/>
              <w:left w:type="dxa" w:w="0"/>
              <w:bottom w:type="dxa" w:w="80"/>
              <w:right w:type="dxa" w:w="0"/>
            </w:tcMar>
          </w:tcPr>
          <w:p>
            <w:r>
              <w:rPr>
                <w:rFonts w:ascii="Arial" w:cs="Arial" w:eastAsia="Arial" w:hAnsi="Arial"/>
                <w:color w:val="2C3E50"/>
                <w:sz w:val="20"/>
                <w:szCs w:val="20"/>
              </w:rPr>
              <w:t xml:space="preserve">01.  Contexte &amp; Positionnement ImmoMatch</w:t>
            </w:r>
          </w:p>
        </w:tc>
        <w:tc>
          <w:tcPr>
            <w:tcW w:type="dxa" w:w="1826"/>
            <w:tcBorders>
              <w:top w:val="none" w:color="FFFFFF" w:sz="0"/>
              <w:left w:val="none" w:color="FFFFFF" w:sz="0"/>
              <w:bottom w:val="single" w:color="E8EAED" w:sz="1"/>
              <w:right w:val="none" w:color="FFFFFF" w:sz="0"/>
            </w:tcBorders>
            <w:tcMar>
              <w:top w:type="dxa" w:w="80"/>
              <w:left w:type="dxa" w:w="0"/>
              <w:bottom w:type="dxa" w:w="80"/>
              <w:right w:type="dxa" w:w="0"/>
            </w:tcMar>
          </w:tcPr>
          <w:p>
            <w:pPr>
              <w:jc w:val="right"/>
            </w:pPr>
            <w:r>
              <w:rPr>
                <w:rFonts w:ascii="Arial" w:cs="Arial" w:eastAsia="Arial" w:hAnsi="Arial"/>
                <w:color w:val="7F8C8D"/>
                <w:sz w:val="20"/>
                <w:szCs w:val="20"/>
              </w:rPr>
              <w:t xml:space="preserve">3</w:t>
            </w:r>
          </w:p>
        </w:tc>
      </w:tr>
      <w:tr>
        <w:tc>
          <w:tcPr>
            <w:tcW w:type="dxa" w:w="7200"/>
            <w:tcBorders>
              <w:top w:val="none" w:color="FFFFFF" w:sz="0"/>
              <w:left w:val="none" w:color="FFFFFF" w:sz="0"/>
              <w:bottom w:val="single" w:color="E8EAED" w:sz="1"/>
              <w:right w:val="none" w:color="FFFFFF" w:sz="0"/>
            </w:tcBorders>
            <w:tcMar>
              <w:top w:type="dxa" w:w="80"/>
              <w:left w:type="dxa" w:w="0"/>
              <w:bottom w:type="dxa" w:w="80"/>
              <w:right w:type="dxa" w:w="0"/>
            </w:tcMar>
          </w:tcPr>
          <w:p>
            <w:r>
              <w:rPr>
                <w:rFonts w:ascii="Arial" w:cs="Arial" w:eastAsia="Arial" w:hAnsi="Arial"/>
                <w:color w:val="2C3E50"/>
                <w:sz w:val="20"/>
                <w:szCs w:val="20"/>
              </w:rPr>
              <w:t xml:space="preserve">02.  Hektor — La Boîte Immo</w:t>
            </w:r>
          </w:p>
        </w:tc>
        <w:tc>
          <w:tcPr>
            <w:tcW w:type="dxa" w:w="1826"/>
            <w:tcBorders>
              <w:top w:val="none" w:color="FFFFFF" w:sz="0"/>
              <w:left w:val="none" w:color="FFFFFF" w:sz="0"/>
              <w:bottom w:val="single" w:color="E8EAED" w:sz="1"/>
              <w:right w:val="none" w:color="FFFFFF" w:sz="0"/>
            </w:tcBorders>
            <w:tcMar>
              <w:top w:type="dxa" w:w="80"/>
              <w:left w:type="dxa" w:w="0"/>
              <w:bottom w:type="dxa" w:w="80"/>
              <w:right w:type="dxa" w:w="0"/>
            </w:tcMar>
          </w:tcPr>
          <w:p>
            <w:pPr>
              <w:jc w:val="right"/>
            </w:pPr>
            <w:r>
              <w:rPr>
                <w:rFonts w:ascii="Arial" w:cs="Arial" w:eastAsia="Arial" w:hAnsi="Arial"/>
                <w:color w:val="7F8C8D"/>
                <w:sz w:val="20"/>
                <w:szCs w:val="20"/>
              </w:rPr>
              <w:t xml:space="preserve">4</w:t>
            </w:r>
          </w:p>
        </w:tc>
      </w:tr>
      <w:tr>
        <w:tc>
          <w:tcPr>
            <w:tcW w:type="dxa" w:w="7200"/>
            <w:tcBorders>
              <w:top w:val="none" w:color="FFFFFF" w:sz="0"/>
              <w:left w:val="none" w:color="FFFFFF" w:sz="0"/>
              <w:bottom w:val="single" w:color="E8EAED" w:sz="1"/>
              <w:right w:val="none" w:color="FFFFFF" w:sz="0"/>
            </w:tcBorders>
            <w:tcMar>
              <w:top w:type="dxa" w:w="80"/>
              <w:left w:type="dxa" w:w="0"/>
              <w:bottom w:type="dxa" w:w="80"/>
              <w:right w:type="dxa" w:w="0"/>
            </w:tcMar>
          </w:tcPr>
          <w:p>
            <w:r>
              <w:rPr>
                <w:rFonts w:ascii="Arial" w:cs="Arial" w:eastAsia="Arial" w:hAnsi="Arial"/>
                <w:color w:val="2C3E50"/>
                <w:sz w:val="20"/>
                <w:szCs w:val="20"/>
              </w:rPr>
              <w:t xml:space="preserve">03.  Apimo Pro</w:t>
            </w:r>
          </w:p>
        </w:tc>
        <w:tc>
          <w:tcPr>
            <w:tcW w:type="dxa" w:w="1826"/>
            <w:tcBorders>
              <w:top w:val="none" w:color="FFFFFF" w:sz="0"/>
              <w:left w:val="none" w:color="FFFFFF" w:sz="0"/>
              <w:bottom w:val="single" w:color="E8EAED" w:sz="1"/>
              <w:right w:val="none" w:color="FFFFFF" w:sz="0"/>
            </w:tcBorders>
            <w:tcMar>
              <w:top w:type="dxa" w:w="80"/>
              <w:left w:type="dxa" w:w="0"/>
              <w:bottom w:type="dxa" w:w="80"/>
              <w:right w:type="dxa" w:w="0"/>
            </w:tcMar>
          </w:tcPr>
          <w:p>
            <w:pPr>
              <w:jc w:val="right"/>
            </w:pPr>
            <w:r>
              <w:rPr>
                <w:rFonts w:ascii="Arial" w:cs="Arial" w:eastAsia="Arial" w:hAnsi="Arial"/>
                <w:color w:val="7F8C8D"/>
                <w:sz w:val="20"/>
                <w:szCs w:val="20"/>
              </w:rPr>
              <w:t xml:space="preserve">5</w:t>
            </w:r>
          </w:p>
        </w:tc>
      </w:tr>
      <w:tr>
        <w:tc>
          <w:tcPr>
            <w:tcW w:type="dxa" w:w="7200"/>
            <w:tcBorders>
              <w:top w:val="none" w:color="FFFFFF" w:sz="0"/>
              <w:left w:val="none" w:color="FFFFFF" w:sz="0"/>
              <w:bottom w:val="single" w:color="E8EAED" w:sz="1"/>
              <w:right w:val="none" w:color="FFFFFF" w:sz="0"/>
            </w:tcBorders>
            <w:tcMar>
              <w:top w:type="dxa" w:w="80"/>
              <w:left w:type="dxa" w:w="0"/>
              <w:bottom w:type="dxa" w:w="80"/>
              <w:right w:type="dxa" w:w="0"/>
            </w:tcMar>
          </w:tcPr>
          <w:p>
            <w:r>
              <w:rPr>
                <w:rFonts w:ascii="Arial" w:cs="Arial" w:eastAsia="Arial" w:hAnsi="Arial"/>
                <w:color w:val="2C3E50"/>
                <w:sz w:val="20"/>
                <w:szCs w:val="20"/>
              </w:rPr>
              <w:t xml:space="preserve">04.  Rodacom / Néo Sphère</w:t>
            </w:r>
          </w:p>
        </w:tc>
        <w:tc>
          <w:tcPr>
            <w:tcW w:type="dxa" w:w="1826"/>
            <w:tcBorders>
              <w:top w:val="none" w:color="FFFFFF" w:sz="0"/>
              <w:left w:val="none" w:color="FFFFFF" w:sz="0"/>
              <w:bottom w:val="single" w:color="E8EAED" w:sz="1"/>
              <w:right w:val="none" w:color="FFFFFF" w:sz="0"/>
            </w:tcBorders>
            <w:tcMar>
              <w:top w:type="dxa" w:w="80"/>
              <w:left w:type="dxa" w:w="0"/>
              <w:bottom w:type="dxa" w:w="80"/>
              <w:right w:type="dxa" w:w="0"/>
            </w:tcMar>
          </w:tcPr>
          <w:p>
            <w:pPr>
              <w:jc w:val="right"/>
            </w:pPr>
            <w:r>
              <w:rPr>
                <w:rFonts w:ascii="Arial" w:cs="Arial" w:eastAsia="Arial" w:hAnsi="Arial"/>
                <w:color w:val="7F8C8D"/>
                <w:sz w:val="20"/>
                <w:szCs w:val="20"/>
              </w:rPr>
              <w:t xml:space="preserve">6</w:t>
            </w:r>
          </w:p>
        </w:tc>
      </w:tr>
      <w:tr>
        <w:tc>
          <w:tcPr>
            <w:tcW w:type="dxa" w:w="7200"/>
            <w:tcBorders>
              <w:top w:val="none" w:color="FFFFFF" w:sz="0"/>
              <w:left w:val="none" w:color="FFFFFF" w:sz="0"/>
              <w:bottom w:val="single" w:color="E8EAED" w:sz="1"/>
              <w:right w:val="none" w:color="FFFFFF" w:sz="0"/>
            </w:tcBorders>
            <w:tcMar>
              <w:top w:type="dxa" w:w="80"/>
              <w:left w:type="dxa" w:w="0"/>
              <w:bottom w:type="dxa" w:w="80"/>
              <w:right w:type="dxa" w:w="0"/>
            </w:tcMar>
          </w:tcPr>
          <w:p>
            <w:r>
              <w:rPr>
                <w:rFonts w:ascii="Arial" w:cs="Arial" w:eastAsia="Arial" w:hAnsi="Arial"/>
                <w:color w:val="2C3E50"/>
                <w:sz w:val="20"/>
                <w:szCs w:val="20"/>
              </w:rPr>
              <w:t xml:space="preserve">05.  Netty / Septeo (Modelo Office)</w:t>
            </w:r>
          </w:p>
        </w:tc>
        <w:tc>
          <w:tcPr>
            <w:tcW w:type="dxa" w:w="1826"/>
            <w:tcBorders>
              <w:top w:val="none" w:color="FFFFFF" w:sz="0"/>
              <w:left w:val="none" w:color="FFFFFF" w:sz="0"/>
              <w:bottom w:val="single" w:color="E8EAED" w:sz="1"/>
              <w:right w:val="none" w:color="FFFFFF" w:sz="0"/>
            </w:tcBorders>
            <w:tcMar>
              <w:top w:type="dxa" w:w="80"/>
              <w:left w:type="dxa" w:w="0"/>
              <w:bottom w:type="dxa" w:w="80"/>
              <w:right w:type="dxa" w:w="0"/>
            </w:tcMar>
          </w:tcPr>
          <w:p>
            <w:pPr>
              <w:jc w:val="right"/>
            </w:pPr>
            <w:r>
              <w:rPr>
                <w:rFonts w:ascii="Arial" w:cs="Arial" w:eastAsia="Arial" w:hAnsi="Arial"/>
                <w:color w:val="7F8C8D"/>
                <w:sz w:val="20"/>
                <w:szCs w:val="20"/>
              </w:rPr>
              <w:t xml:space="preserve">7</w:t>
            </w:r>
          </w:p>
        </w:tc>
      </w:tr>
      <w:tr>
        <w:tc>
          <w:tcPr>
            <w:tcW w:type="dxa" w:w="7200"/>
            <w:tcBorders>
              <w:top w:val="none" w:color="FFFFFF" w:sz="0"/>
              <w:left w:val="none" w:color="FFFFFF" w:sz="0"/>
              <w:bottom w:val="single" w:color="E8EAED" w:sz="1"/>
              <w:right w:val="none" w:color="FFFFFF" w:sz="0"/>
            </w:tcBorders>
            <w:tcMar>
              <w:top w:type="dxa" w:w="80"/>
              <w:left w:type="dxa" w:w="0"/>
              <w:bottom w:type="dxa" w:w="80"/>
              <w:right w:type="dxa" w:w="0"/>
            </w:tcMar>
          </w:tcPr>
          <w:p>
            <w:r>
              <w:rPr>
                <w:rFonts w:ascii="Arial" w:cs="Arial" w:eastAsia="Arial" w:hAnsi="Arial"/>
                <w:color w:val="2C3E50"/>
                <w:sz w:val="20"/>
                <w:szCs w:val="20"/>
              </w:rPr>
              <w:t xml:space="preserve">06.  Yanport (Agent 360)</w:t>
            </w:r>
          </w:p>
        </w:tc>
        <w:tc>
          <w:tcPr>
            <w:tcW w:type="dxa" w:w="1826"/>
            <w:tcBorders>
              <w:top w:val="none" w:color="FFFFFF" w:sz="0"/>
              <w:left w:val="none" w:color="FFFFFF" w:sz="0"/>
              <w:bottom w:val="single" w:color="E8EAED" w:sz="1"/>
              <w:right w:val="none" w:color="FFFFFF" w:sz="0"/>
            </w:tcBorders>
            <w:tcMar>
              <w:top w:type="dxa" w:w="80"/>
              <w:left w:type="dxa" w:w="0"/>
              <w:bottom w:type="dxa" w:w="80"/>
              <w:right w:type="dxa" w:w="0"/>
            </w:tcMar>
          </w:tcPr>
          <w:p>
            <w:pPr>
              <w:jc w:val="right"/>
            </w:pPr>
            <w:r>
              <w:rPr>
                <w:rFonts w:ascii="Arial" w:cs="Arial" w:eastAsia="Arial" w:hAnsi="Arial"/>
                <w:color w:val="7F8C8D"/>
                <w:sz w:val="20"/>
                <w:szCs w:val="20"/>
              </w:rPr>
              <w:t xml:space="preserve">8</w:t>
            </w:r>
          </w:p>
        </w:tc>
      </w:tr>
      <w:tr>
        <w:tc>
          <w:tcPr>
            <w:tcW w:type="dxa" w:w="7200"/>
            <w:tcBorders>
              <w:top w:val="none" w:color="FFFFFF" w:sz="0"/>
              <w:left w:val="none" w:color="FFFFFF" w:sz="0"/>
              <w:bottom w:val="single" w:color="E8EAED" w:sz="1"/>
              <w:right w:val="none" w:color="FFFFFF" w:sz="0"/>
            </w:tcBorders>
            <w:tcMar>
              <w:top w:type="dxa" w:w="80"/>
              <w:left w:type="dxa" w:w="0"/>
              <w:bottom w:type="dxa" w:w="80"/>
              <w:right w:type="dxa" w:w="0"/>
            </w:tcMar>
          </w:tcPr>
          <w:p>
            <w:r>
              <w:rPr>
                <w:rFonts w:ascii="Arial" w:cs="Arial" w:eastAsia="Arial" w:hAnsi="Arial"/>
                <w:color w:val="2C3E50"/>
                <w:sz w:val="20"/>
                <w:szCs w:val="20"/>
              </w:rPr>
              <w:t xml:space="preserve">07.  Matrice Comparative</w:t>
            </w:r>
          </w:p>
        </w:tc>
        <w:tc>
          <w:tcPr>
            <w:tcW w:type="dxa" w:w="1826"/>
            <w:tcBorders>
              <w:top w:val="none" w:color="FFFFFF" w:sz="0"/>
              <w:left w:val="none" w:color="FFFFFF" w:sz="0"/>
              <w:bottom w:val="single" w:color="E8EAED" w:sz="1"/>
              <w:right w:val="none" w:color="FFFFFF" w:sz="0"/>
            </w:tcBorders>
            <w:tcMar>
              <w:top w:type="dxa" w:w="80"/>
              <w:left w:type="dxa" w:w="0"/>
              <w:bottom w:type="dxa" w:w="80"/>
              <w:right w:type="dxa" w:w="0"/>
            </w:tcMar>
          </w:tcPr>
          <w:p>
            <w:pPr>
              <w:jc w:val="right"/>
            </w:pPr>
            <w:r>
              <w:rPr>
                <w:rFonts w:ascii="Arial" w:cs="Arial" w:eastAsia="Arial" w:hAnsi="Arial"/>
                <w:color w:val="7F8C8D"/>
                <w:sz w:val="20"/>
                <w:szCs w:val="20"/>
              </w:rPr>
              <w:t xml:space="preserve">9</w:t>
            </w:r>
          </w:p>
        </w:tc>
      </w:tr>
      <w:tr>
        <w:tc>
          <w:tcPr>
            <w:tcW w:type="dxa" w:w="7200"/>
            <w:tcBorders>
              <w:top w:val="none" w:color="FFFFFF" w:sz="0"/>
              <w:left w:val="none" w:color="FFFFFF" w:sz="0"/>
              <w:bottom w:val="single" w:color="E8EAED" w:sz="1"/>
              <w:right w:val="none" w:color="FFFFFF" w:sz="0"/>
            </w:tcBorders>
            <w:tcMar>
              <w:top w:type="dxa" w:w="80"/>
              <w:left w:type="dxa" w:w="0"/>
              <w:bottom w:type="dxa" w:w="80"/>
              <w:right w:type="dxa" w:w="0"/>
            </w:tcMar>
          </w:tcPr>
          <w:p>
            <w:r>
              <w:rPr>
                <w:rFonts w:ascii="Arial" w:cs="Arial" w:eastAsia="Arial" w:hAnsi="Arial"/>
                <w:color w:val="2C3E50"/>
                <w:sz w:val="20"/>
                <w:szCs w:val="20"/>
              </w:rPr>
              <w:t xml:space="preserve">08.  Opportunités &amp; Recommandations</w:t>
            </w:r>
          </w:p>
        </w:tc>
        <w:tc>
          <w:tcPr>
            <w:tcW w:type="dxa" w:w="1826"/>
            <w:tcBorders>
              <w:top w:val="none" w:color="FFFFFF" w:sz="0"/>
              <w:left w:val="none" w:color="FFFFFF" w:sz="0"/>
              <w:bottom w:val="single" w:color="E8EAED" w:sz="1"/>
              <w:right w:val="none" w:color="FFFFFF" w:sz="0"/>
            </w:tcBorders>
            <w:tcMar>
              <w:top w:type="dxa" w:w="80"/>
              <w:left w:type="dxa" w:w="0"/>
              <w:bottom w:type="dxa" w:w="80"/>
              <w:right w:type="dxa" w:w="0"/>
            </w:tcMar>
          </w:tcPr>
          <w:p>
            <w:pPr>
              <w:jc w:val="right"/>
            </w:pPr>
            <w:r>
              <w:rPr>
                <w:rFonts w:ascii="Arial" w:cs="Arial" w:eastAsia="Arial" w:hAnsi="Arial"/>
                <w:color w:val="7F8C8D"/>
                <w:sz w:val="20"/>
                <w:szCs w:val="20"/>
              </w:rPr>
              <w:t xml:space="preserve">10</w:t>
            </w:r>
          </w:p>
        </w:tc>
      </w:tr>
    </w:tbl>
    <w:p>
      <w:r>
        <w:br w:type="page"/>
      </w:r>
    </w:p>
    <w:p>
      <w:pPr>
        <w:pStyle w:val="Heading1"/>
        <w:spacing w:after="120" w:before="360"/>
      </w:pPr>
      <w:r>
        <w:rPr>
          <w:b/>
          <w:bCs/>
          <w:color w:val="1E3A5F"/>
        </w:rPr>
        <w:t xml:space="preserve">01. Contexte &amp; Positionnement ImmoMatch</w:t>
      </w:r>
    </w:p>
    <w:p>
      <w:pPr>
        <w:pBdr>
          <w:bottom w:val="single" w:color="2E86AB" w:sz="4" w:space="1"/>
        </w:pBdr>
        <w:spacing w:after="120" w:before="60"/>
      </w:pPr>
      <w:r>
        <w:t xml:space="preserve"/>
      </w:r>
    </w:p>
    <w:p>
      <w:pPr>
        <w:spacing w:after="60" w:before="40"/>
      </w:pPr>
      <w:r>
        <w:rPr>
          <w:rFonts w:ascii="Arial" w:cs="Arial" w:eastAsia="Arial" w:hAnsi="Arial"/>
          <w:color w:val="2C3E50"/>
          <w:sz w:val="20"/>
          <w:szCs w:val="20"/>
        </w:rPr>
        <w:t xml:space="preserve">ImmoMatch est un SaaS B2B conçu pour les agences immobilières indépendantes et en réseau. Il automatise le matching entre prospects acheteurs et biens disponibles grâce à un algorithme hybride combinant critères objectifs (Python) et analyse qualitative propulsée par Claude AI (Anthropic). La cible principale est l'agence de 3 à 30 agents gérant 50+ biens actifs et 30+ prospects acheteurs.</w:t>
      </w:r>
    </w:p>
    <w:p>
      <w:pPr>
        <w:spacing w:after="0" w:before="80"/>
      </w:pPr>
      <w:r>
        <w:t xml:space="preserve"/>
      </w:r>
    </w:p>
    <w:p>
      <w:pPr>
        <w:spacing w:after="60" w:before="180"/>
      </w:pPr>
      <w:r>
        <w:rPr>
          <w:rFonts w:ascii="Arial" w:cs="Arial" w:eastAsia="Arial" w:hAnsi="Arial"/>
          <w:b/>
          <w:bCs/>
          <w:color w:val="2C3E50"/>
          <w:sz w:val="22"/>
          <w:szCs w:val="22"/>
        </w:rPr>
        <w:t xml:space="preserve">Proposition de valeur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Matching IA en 1 clic</w:t>
            </w:r>
          </w:p>
        </w:tc>
        <w:tc>
          <w:tcPr>
            <w:tcW w:type="dxa" w:w="3009"/>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Emails personnalisés auto</w:t>
            </w:r>
          </w:p>
        </w:tc>
        <w:tc>
          <w:tcPr>
            <w:tcW w:type="dxa" w:w="3009"/>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Pilotage &amp; analytics</w:t>
            </w:r>
          </w:p>
        </w:tc>
      </w:tr>
      <w:tr>
        <w:tc>
          <w:tcPr>
            <w:tcW w:type="dxa" w:w="3008"/>
            <w:tcBorders>
              <w:top w:val="single" w:color="BDC3C7" w:sz="1"/>
              <w:left w:val="single" w:color="BDC3C7" w:sz="1"/>
              <w:bottom w:val="single" w:color="BDC3C7" w:sz="1"/>
              <w:right w:val="single" w:color="BDC3C7" w:sz="1"/>
            </w:tcBorders>
            <w:shd w:fill="E8F4F8" w:val="clear"/>
            <w:tcMar>
              <w:top w:type="dxa" w:w="100"/>
              <w:left w:type="dxa" w:w="140"/>
              <w:bottom w:type="dxa" w:w="100"/>
              <w:right w:type="dxa" w:w="140"/>
            </w:tcMar>
          </w:tcPr>
          <w:p>
            <w:pPr>
              <w:jc w:val="center"/>
            </w:pPr>
            <w:r>
              <w:rPr>
                <w:rFonts w:ascii="Arial" w:cs="Arial" w:eastAsia="Arial" w:hAnsi="Arial"/>
                <w:color w:val="2C3E50"/>
                <w:sz w:val="18"/>
                <w:szCs w:val="18"/>
              </w:rPr>
              <w:t xml:space="preserve">Score /100 hybride
(60 pts objectifs + 40 pts IA qualitative)
Priorisation immédiate des opportunités</w:t>
            </w:r>
          </w:p>
        </w:tc>
        <w:tc>
          <w:tcPr>
            <w:tcW w:type="dxa" w:w="3009"/>
            <w:tcBorders>
              <w:top w:val="single" w:color="BDC3C7" w:sz="1"/>
              <w:left w:val="single" w:color="BDC3C7" w:sz="1"/>
              <w:bottom w:val="single" w:color="BDC3C7" w:sz="1"/>
              <w:right w:val="single" w:color="BDC3C7" w:sz="1"/>
            </w:tcBorders>
            <w:shd w:fill="E8F4F8" w:val="clear"/>
            <w:tcMar>
              <w:top w:type="dxa" w:w="100"/>
              <w:left w:type="dxa" w:w="140"/>
              <w:bottom w:type="dxa" w:w="100"/>
              <w:right w:type="dxa" w:w="140"/>
            </w:tcMar>
          </w:tcPr>
          <w:p>
            <w:pPr>
              <w:jc w:val="center"/>
            </w:pPr>
            <w:r>
              <w:rPr>
                <w:rFonts w:ascii="Arial" w:cs="Arial" w:eastAsia="Arial" w:hAnsi="Arial"/>
                <w:color w:val="2C3E50"/>
                <w:sz w:val="18"/>
                <w:szCs w:val="18"/>
              </w:rPr>
              <w:t xml:space="preserve">Emails HTML sur-mesure
générés par IA pour chaque
paire prospect / bien</w:t>
            </w:r>
          </w:p>
        </w:tc>
        <w:tc>
          <w:tcPr>
            <w:tcW w:type="dxa" w:w="3009"/>
            <w:tcBorders>
              <w:top w:val="single" w:color="BDC3C7" w:sz="1"/>
              <w:left w:val="single" w:color="BDC3C7" w:sz="1"/>
              <w:bottom w:val="single" w:color="BDC3C7" w:sz="1"/>
              <w:right w:val="single" w:color="BDC3C7" w:sz="1"/>
            </w:tcBorders>
            <w:shd w:fill="E8F4F8" w:val="clear"/>
            <w:tcMar>
              <w:top w:type="dxa" w:w="100"/>
              <w:left w:type="dxa" w:w="140"/>
              <w:bottom w:type="dxa" w:w="100"/>
              <w:right w:type="dxa" w:w="140"/>
            </w:tcMar>
          </w:tcPr>
          <w:p>
            <w:pPr>
              <w:jc w:val="center"/>
            </w:pPr>
            <w:r>
              <w:rPr>
                <w:rFonts w:ascii="Arial" w:cs="Arial" w:eastAsia="Arial" w:hAnsi="Arial"/>
                <w:color w:val="2C3E50"/>
                <w:sz w:val="18"/>
                <w:szCs w:val="18"/>
              </w:rPr>
              <w:t xml:space="preserve">Tableaux de bord mensuels,
analytics de performance,
suivi activité par agent</w:t>
            </w:r>
          </w:p>
        </w:tc>
      </w:tr>
    </w:tbl>
    <w:p>
      <w:pPr>
        <w:spacing w:after="0" w:before="120"/>
      </w:pPr>
      <w:r>
        <w:t xml:space="preserve"/>
      </w:r>
    </w:p>
    <w:p>
      <w:pPr>
        <w:spacing w:after="60" w:before="180"/>
      </w:pPr>
      <w:r>
        <w:rPr>
          <w:rFonts w:ascii="Arial" w:cs="Arial" w:eastAsia="Arial" w:hAnsi="Arial"/>
          <w:b/>
          <w:bCs/>
          <w:color w:val="2C3E50"/>
          <w:sz w:val="22"/>
          <w:szCs w:val="22"/>
        </w:rPr>
        <w:t xml:space="preserve">Différenciants clés</w:t>
      </w:r>
    </w:p>
    <w:p>
      <w:pPr>
        <w:pStyle w:val="ListParagraph"/>
        <w:numPr>
          <w:ilvl w:val="0"/>
          <w:numId w:val="2"/>
        </w:numPr>
        <w:spacing w:after="30" w:before="30"/>
      </w:pPr>
      <w:r>
        <w:rPr>
          <w:rFonts w:ascii="Arial" w:cs="Arial" w:eastAsia="Arial" w:hAnsi="Arial"/>
          <w:color w:val="2C3E50"/>
          <w:sz w:val="20"/>
          <w:szCs w:val="20"/>
        </w:rPr>
        <w:t xml:space="preserve">Score qualitatif /40 propulsé par Claude (Anthropic) — analyse DPE, style de vie, destination (RP, investissement, rénovation)</w:t>
      </w:r>
    </w:p>
    <w:p>
      <w:pPr>
        <w:pStyle w:val="ListParagraph"/>
        <w:numPr>
          <w:ilvl w:val="0"/>
          <w:numId w:val="2"/>
        </w:numPr>
        <w:spacing w:after="30" w:before="30"/>
      </w:pPr>
      <w:r>
        <w:rPr>
          <w:rFonts w:ascii="Arial" w:cs="Arial" w:eastAsia="Arial" w:hAnsi="Arial"/>
          <w:color w:val="2C3E50"/>
          <w:sz w:val="20"/>
          <w:szCs w:val="20"/>
        </w:rPr>
        <w:t xml:space="preserve">Synchronisation FTP Hektor native — import automatique toutes les 6h, mise à jour du statut des biens</w:t>
      </w:r>
    </w:p>
    <w:p>
      <w:pPr>
        <w:pStyle w:val="ListParagraph"/>
        <w:numPr>
          <w:ilvl w:val="0"/>
          <w:numId w:val="2"/>
        </w:numPr>
        <w:spacing w:after="30" w:before="30"/>
      </w:pPr>
      <w:r>
        <w:rPr>
          <w:rFonts w:ascii="Arial" w:cs="Arial" w:eastAsia="Arial" w:hAnsi="Arial"/>
          <w:color w:val="2C3E50"/>
          <w:sz w:val="20"/>
          <w:szCs w:val="20"/>
        </w:rPr>
        <w:t xml:space="preserve">Agent IA conversationnel en langage naturel sur le portefeuille</w:t>
      </w:r>
    </w:p>
    <w:p>
      <w:pPr>
        <w:pStyle w:val="ListParagraph"/>
        <w:numPr>
          <w:ilvl w:val="0"/>
          <w:numId w:val="2"/>
        </w:numPr>
        <w:spacing w:after="30" w:before="30"/>
      </w:pPr>
      <w:r>
        <w:rPr>
          <w:rFonts w:ascii="Arial" w:cs="Arial" w:eastAsia="Arial" w:hAnsi="Arial"/>
          <w:color w:val="2C3E50"/>
          <w:sz w:val="20"/>
          <w:szCs w:val="20"/>
        </w:rPr>
        <w:t xml:space="preserve">Boucle de calibration — le feedback des agents améliore les scores dans le temps</w:t>
      </w:r>
    </w:p>
    <w:p>
      <w:pPr>
        <w:pStyle w:val="ListParagraph"/>
        <w:numPr>
          <w:ilvl w:val="0"/>
          <w:numId w:val="2"/>
        </w:numPr>
        <w:spacing w:after="30" w:before="30"/>
      </w:pPr>
      <w:r>
        <w:rPr>
          <w:rFonts w:ascii="Arial" w:cs="Arial" w:eastAsia="Arial" w:hAnsi="Arial"/>
          <w:color w:val="2C3E50"/>
          <w:sz w:val="20"/>
          <w:szCs w:val="20"/>
        </w:rPr>
        <w:t xml:space="preserve">Gestion multi-agences centralisée depuis un seul tableau de bord</w:t>
      </w:r>
    </w:p>
    <w:p>
      <w:pPr>
        <w:pStyle w:val="ListParagraph"/>
        <w:numPr>
          <w:ilvl w:val="0"/>
          <w:numId w:val="2"/>
        </w:numPr>
        <w:spacing w:after="30" w:before="30"/>
      </w:pPr>
      <w:r>
        <w:rPr>
          <w:rFonts w:ascii="Arial" w:cs="Arial" w:eastAsia="Arial" w:hAnsi="Arial"/>
          <w:color w:val="2C3E50"/>
          <w:sz w:val="20"/>
          <w:szCs w:val="20"/>
        </w:rPr>
        <w:t xml:space="preserve">ROI revendiqué : 5 à 8h économisées par agent par semaine</w:t>
      </w:r>
    </w:p>
    <w:p>
      <w:pPr>
        <w:pageBreakBefore/>
        <w:spacing w:after="60" w:before="0"/>
      </w:pPr>
      <w:r>
        <w:rPr>
          <w:rFonts w:ascii="Arial" w:cs="Arial" w:eastAsia="Arial" w:hAnsi="Arial"/>
          <w:b/>
          <w:bCs/>
          <w:color w:val="1E3A5F"/>
          <w:sz w:val="32"/>
          <w:szCs w:val="32"/>
        </w:rPr>
        <w:t xml:space="preserve">02. Hektor — La Boîte Immo</w:t>
      </w:r>
    </w:p>
    <w:p>
      <w:pPr>
        <w:spacing w:after="180" w:before="0"/>
      </w:pPr>
      <w:r>
        <w:rPr>
          <w:rFonts w:ascii="Arial" w:cs="Arial" w:eastAsia="Arial" w:hAnsi="Arial"/>
          <w:i/>
          <w:iCs/>
          <w:color w:val="7F8C8D"/>
          <w:sz w:val="22"/>
          <w:szCs w:val="22"/>
        </w:rPr>
        <w:t xml:space="preserve">Leader du marché français — 8 500 agences, 45 000 utilisateurs quotidiens</w:t>
      </w:r>
    </w:p>
    <w:p>
      <w:pPr>
        <w:pBdr>
          <w:bottom w:val="single" w:color="2E86AB" w:sz="4" w:space="1"/>
        </w:pBdr>
        <w:spacing w:after="12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000"/>
        <w:gridCol w:w="2026"/>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2C3E50"/>
                <w:sz w:val="20"/>
                <w:szCs w:val="20"/>
              </w:rPr>
              <w:t xml:space="preserve">Niveau de menace pour ImmoMatch</w:t>
            </w:r>
          </w:p>
        </w:tc>
        <w:tc>
          <w:tcPr>
            <w:tcW w:type="dxa" w:w="2026"/>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ÉLEVÉE</w:t>
            </w:r>
          </w:p>
        </w:tc>
      </w:tr>
    </w:tbl>
    <w:p>
      <w:pPr>
        <w:spacing w:after="0" w:before="160"/>
      </w:pPr>
      <w:r>
        <w:t xml:space="preserve"/>
      </w:r>
    </w:p>
    <w:p>
      <w:pPr>
        <w:spacing w:after="60" w:before="180"/>
      </w:pPr>
      <w:r>
        <w:rPr>
          <w:rFonts w:ascii="Arial" w:cs="Arial" w:eastAsia="Arial" w:hAnsi="Arial"/>
          <w:b/>
          <w:bCs/>
          <w:color w:val="2C3E50"/>
          <w:sz w:val="22"/>
          <w:szCs w:val="22"/>
        </w:rPr>
        <w:t xml:space="preserve">Vue d'ensemble</w:t>
      </w:r>
    </w:p>
    <w:p>
      <w:pPr>
        <w:spacing w:after="60" w:before="40"/>
      </w:pPr>
      <w:r>
        <w:rPr>
          <w:rFonts w:ascii="Arial" w:cs="Arial" w:eastAsia="Arial" w:hAnsi="Arial"/>
          <w:color w:val="2C3E50"/>
          <w:sz w:val="20"/>
          <w:szCs w:val="20"/>
        </w:rPr>
        <w:t xml:space="preserve">Hektor est le logiciel de transaction immobilière numéro 1 pour les agences indépendantes en France, édité par La Boîte Immo. Avec plus de 8 500 agences et 45 000 utilisateurs actifs chaque jour, c'est l'acteur dominant du marché. Le logiciel couvre l'intégralité du cycle de transaction : mandat, matching prospects-biens, multidiffusion sur 30+ portails, CRM, agenda, et outils marketing.</w:t>
      </w:r>
    </w:p>
    <w:p>
      <w:pPr>
        <w:spacing w:after="60" w:before="40"/>
      </w:pPr>
      <w:r>
        <w:rPr>
          <w:rFonts w:ascii="Arial" w:cs="Arial" w:eastAsia="Arial" w:hAnsi="Arial"/>
          <w:color w:val="2C3E50"/>
          <w:sz w:val="20"/>
          <w:szCs w:val="20"/>
        </w:rPr>
        <w:t xml:space="preserve">Hektor propose un rapprochement automatique entre acquéreurs et biens — la fonctionnalité la plus appréciée du marché — ainsi que Hektor Voice, son assistant IA vocal, et une app mobile complète. ImmoMatch est actuellement intégré à Hektor via le sync FTP, ce qui en fait simultanément un partenaire et un concurrent potentiel.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Fonctionnalités clés</w:t>
            </w:r>
          </w:p>
        </w:tc>
        <w:tc>
          <w:tcPr>
            <w:tcW w:type="dxa" w:w="4513"/>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Pricing &amp; Go-to-Market</w:t>
            </w:r>
          </w:p>
        </w:tc>
      </w:tr>
      <w:tr>
        <w:tc>
          <w:tcPr>
            <w:tcW w:type="dxa" w:w="4513"/>
            <w:tcBorders>
              <w:top w:val="single" w:color="BDC3C7" w:sz="1"/>
              <w:left w:val="single" w:color="BDC3C7" w:sz="1"/>
              <w:bottom w:val="single" w:color="BDC3C7" w:sz="1"/>
              <w:right w:val="single" w:color="BDC3C7" w:sz="1"/>
            </w:tcBorders>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Rapprochement automatique acquéreurs / biens</w:t>
            </w:r>
          </w:p>
          <w:p>
            <w:pPr>
              <w:pStyle w:val="ListParagraph"/>
              <w:numPr>
                <w:ilvl w:val="0"/>
                <w:numId w:val="2"/>
              </w:numPr>
              <w:spacing w:after="20" w:before="20"/>
            </w:pPr>
            <w:r>
              <w:rPr>
                <w:rFonts w:ascii="Arial" w:cs="Arial" w:eastAsia="Arial" w:hAnsi="Arial"/>
                <w:color w:val="2C3E50"/>
                <w:sz w:val="18"/>
                <w:szCs w:val="18"/>
              </w:rPr>
              <w:t xml:space="preserve">Hektor Voice — assistant IA vocal pour les agents</w:t>
            </w:r>
          </w:p>
          <w:p>
            <w:pPr>
              <w:pStyle w:val="ListParagraph"/>
              <w:numPr>
                <w:ilvl w:val="0"/>
                <w:numId w:val="2"/>
              </w:numPr>
              <w:spacing w:after="20" w:before="20"/>
            </w:pPr>
            <w:r>
              <w:rPr>
                <w:rFonts w:ascii="Arial" w:cs="Arial" w:eastAsia="Arial" w:hAnsi="Arial"/>
                <w:color w:val="2C3E50"/>
                <w:sz w:val="18"/>
                <w:szCs w:val="18"/>
              </w:rPr>
              <w:t xml:space="preserve">Multidiffusion sur 30+ portails (inclus)</w:t>
            </w:r>
          </w:p>
          <w:p>
            <w:pPr>
              <w:pStyle w:val="ListParagraph"/>
              <w:numPr>
                <w:ilvl w:val="0"/>
                <w:numId w:val="2"/>
              </w:numPr>
              <w:spacing w:after="20" w:before="20"/>
            </w:pPr>
            <w:r>
              <w:rPr>
                <w:rFonts w:ascii="Arial" w:cs="Arial" w:eastAsia="Arial" w:hAnsi="Arial"/>
                <w:color w:val="2C3E50"/>
                <w:sz w:val="18"/>
                <w:szCs w:val="18"/>
              </w:rPr>
              <w:t xml:space="preserve">Gestion mandats, contacts, agenda, tâches</w:t>
            </w:r>
          </w:p>
          <w:p>
            <w:pPr>
              <w:pStyle w:val="ListParagraph"/>
              <w:numPr>
                <w:ilvl w:val="0"/>
                <w:numId w:val="2"/>
              </w:numPr>
              <w:spacing w:after="20" w:before="20"/>
            </w:pPr>
            <w:r>
              <w:rPr>
                <w:rFonts w:ascii="Arial" w:cs="Arial" w:eastAsia="Arial" w:hAnsi="Arial"/>
                <w:color w:val="2C3E50"/>
                <w:sz w:val="18"/>
                <w:szCs w:val="18"/>
              </w:rPr>
              <w:t xml:space="preserve">Visites virtuelles live (visioconférence)</w:t>
            </w:r>
          </w:p>
          <w:p>
            <w:pPr>
              <w:pStyle w:val="ListParagraph"/>
              <w:numPr>
                <w:ilvl w:val="0"/>
                <w:numId w:val="2"/>
              </w:numPr>
              <w:spacing w:after="20" w:before="20"/>
            </w:pPr>
            <w:r>
              <w:rPr>
                <w:rFonts w:ascii="Arial" w:cs="Arial" w:eastAsia="Arial" w:hAnsi="Arial"/>
                <w:color w:val="2C3E50"/>
                <w:sz w:val="18"/>
                <w:szCs w:val="18"/>
              </w:rPr>
              <w:t xml:space="preserve">Application mobile iOS et Android</w:t>
            </w:r>
          </w:p>
          <w:p>
            <w:pPr>
              <w:pStyle w:val="ListParagraph"/>
              <w:numPr>
                <w:ilvl w:val="0"/>
                <w:numId w:val="2"/>
              </w:numPr>
              <w:spacing w:after="20" w:before="20"/>
            </w:pPr>
            <w:r>
              <w:rPr>
                <w:rFonts w:ascii="Arial" w:cs="Arial" w:eastAsia="Arial" w:hAnsi="Arial"/>
                <w:color w:val="2C3E50"/>
                <w:sz w:val="18"/>
                <w:szCs w:val="18"/>
              </w:rPr>
              <w:t xml:space="preserve">Export CSV et sync FTP (exploité par ImmoMatch)</w:t>
            </w:r>
          </w:p>
        </w:tc>
        <w:tc>
          <w:tcPr>
            <w:tcW w:type="dxa" w:w="4513"/>
            <w:tcBorders>
              <w:top w:val="single" w:color="BDC3C7" w:sz="1"/>
              <w:left w:val="single" w:color="BDC3C7" w:sz="1"/>
              <w:bottom w:val="single" w:color="BDC3C7" w:sz="1"/>
              <w:right w:val="single" w:color="BDC3C7" w:sz="1"/>
            </w:tcBorders>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Leader incontestable du marché (8 500+ agences)</w:t>
            </w:r>
          </w:p>
          <w:p>
            <w:pPr>
              <w:pStyle w:val="ListParagraph"/>
              <w:numPr>
                <w:ilvl w:val="0"/>
                <w:numId w:val="2"/>
              </w:numPr>
              <w:spacing w:after="20" w:before="20"/>
            </w:pPr>
            <w:r>
              <w:rPr>
                <w:rFonts w:ascii="Arial" w:cs="Arial" w:eastAsia="Arial" w:hAnsi="Arial"/>
                <w:color w:val="2C3E50"/>
                <w:sz w:val="18"/>
                <w:szCs w:val="18"/>
              </w:rPr>
              <w:t xml:space="preserve">Confiance et notoriété extrêmement fortes</w:t>
            </w:r>
          </w:p>
          <w:p>
            <w:pPr>
              <w:pStyle w:val="ListParagraph"/>
              <w:numPr>
                <w:ilvl w:val="0"/>
                <w:numId w:val="2"/>
              </w:numPr>
              <w:spacing w:after="20" w:before="20"/>
            </w:pPr>
            <w:r>
              <w:rPr>
                <w:rFonts w:ascii="Arial" w:cs="Arial" w:eastAsia="Arial" w:hAnsi="Arial"/>
                <w:color w:val="2C3E50"/>
                <w:sz w:val="18"/>
                <w:szCs w:val="18"/>
              </w:rPr>
              <w:t xml:space="preserve">Écosystème complet et intégré</w:t>
            </w:r>
          </w:p>
          <w:p>
            <w:pPr>
              <w:pStyle w:val="ListParagraph"/>
              <w:numPr>
                <w:ilvl w:val="0"/>
                <w:numId w:val="2"/>
              </w:numPr>
              <w:spacing w:after="20" w:before="20"/>
            </w:pPr>
            <w:r>
              <w:rPr>
                <w:rFonts w:ascii="Arial" w:cs="Arial" w:eastAsia="Arial" w:hAnsi="Arial"/>
                <w:color w:val="2C3E50"/>
                <w:sz w:val="18"/>
                <w:szCs w:val="18"/>
              </w:rPr>
              <w:t xml:space="preserve">Application mobile reconnue</w:t>
            </w:r>
          </w:p>
          <w:p>
            <w:pPr>
              <w:pStyle w:val="ListParagraph"/>
              <w:numPr>
                <w:ilvl w:val="0"/>
                <w:numId w:val="2"/>
              </w:numPr>
              <w:spacing w:after="20" w:before="20"/>
            </w:pPr>
            <w:r>
              <w:rPr>
                <w:rFonts w:ascii="Arial" w:cs="Arial" w:eastAsia="Arial" w:hAnsi="Arial"/>
                <w:color w:val="2C3E50"/>
                <w:sz w:val="18"/>
                <w:szCs w:val="18"/>
              </w:rPr>
              <w:t xml:space="preserve">Inclus dans beaucoup de contrats réseau</w:t>
            </w:r>
          </w:p>
          <w:p>
            <w:pPr>
              <w:spacing w:after="20" w:before="80"/>
            </w:pPr>
            <w:r>
              <w:rPr>
                <w:rFonts w:ascii="Arial" w:cs="Arial" w:eastAsia="Arial" w:hAnsi="Arial"/>
                <w:sz w:val="18"/>
                <w:szCs w:val="18"/>
              </w:rPr>
              <w:t xml:space="preserve"/>
            </w:r>
          </w:p>
          <w:p>
            <w:pPr>
              <w:spacing w:after="20" w:before="0"/>
            </w:pPr>
            <w:r>
              <w:rPr>
                <w:rFonts w:ascii="Arial" w:cs="Arial" w:eastAsia="Arial" w:hAnsi="Arial"/>
                <w:b/>
                <w:bCs/>
                <w:color w:val="1E3A5F"/>
                <w:sz w:val="18"/>
                <w:szCs w:val="18"/>
              </w:rPr>
              <w:t xml:space="preserve">Distribution :</w:t>
            </w:r>
          </w:p>
          <w:p>
            <w:pPr>
              <w:pStyle w:val="ListParagraph"/>
              <w:numPr>
                <w:ilvl w:val="0"/>
                <w:numId w:val="2"/>
              </w:numPr>
              <w:spacing w:after="20" w:before="20"/>
            </w:pPr>
            <w:r>
              <w:rPr>
                <w:rFonts w:ascii="Arial" w:cs="Arial" w:eastAsia="Arial" w:hAnsi="Arial"/>
                <w:color w:val="2C3E50"/>
                <w:sz w:val="18"/>
                <w:szCs w:val="18"/>
              </w:rPr>
              <w:t xml:space="preserve">Matching basé sur des règles — pas de scoring IA qualitatif</w:t>
            </w:r>
          </w:p>
          <w:p>
            <w:pPr>
              <w:pStyle w:val="ListParagraph"/>
              <w:numPr>
                <w:ilvl w:val="0"/>
                <w:numId w:val="2"/>
              </w:numPr>
              <w:spacing w:after="20" w:before="20"/>
            </w:pPr>
            <w:r>
              <w:rPr>
                <w:rFonts w:ascii="Arial" w:cs="Arial" w:eastAsia="Arial" w:hAnsi="Arial"/>
                <w:color w:val="2C3E50"/>
                <w:sz w:val="18"/>
                <w:szCs w:val="18"/>
              </w:rPr>
              <w:t xml:space="preserve">Pas de génération d'emails personnalisés par IA</w:t>
            </w:r>
          </w:p>
          <w:p>
            <w:pPr>
              <w:pStyle w:val="ListParagraph"/>
              <w:numPr>
                <w:ilvl w:val="0"/>
                <w:numId w:val="2"/>
              </w:numPr>
              <w:spacing w:after="20" w:before="20"/>
            </w:pPr>
            <w:r>
              <w:rPr>
                <w:rFonts w:ascii="Arial" w:cs="Arial" w:eastAsia="Arial" w:hAnsi="Arial"/>
                <w:color w:val="2C3E50"/>
                <w:sz w:val="18"/>
                <w:szCs w:val="18"/>
              </w:rPr>
              <w:t xml:space="preserve">Interface parfois jugée peu moderne</w:t>
            </w:r>
          </w:p>
          <w:p>
            <w:pPr>
              <w:pStyle w:val="ListParagraph"/>
              <w:numPr>
                <w:ilvl w:val="0"/>
                <w:numId w:val="2"/>
              </w:numPr>
              <w:spacing w:after="20" w:before="20"/>
            </w:pPr>
            <w:r>
              <w:rPr>
                <w:rFonts w:ascii="Arial" w:cs="Arial" w:eastAsia="Arial" w:hAnsi="Arial"/>
                <w:color w:val="2C3E50"/>
                <w:sz w:val="18"/>
                <w:szCs w:val="18"/>
              </w:rPr>
              <w:t xml:space="preserve">Peu de flexibilité algorithmique</w:t>
            </w:r>
          </w:p>
          <w:p>
            <w:pPr>
              <w:pStyle w:val="ListParagraph"/>
              <w:numPr>
                <w:ilvl w:val="0"/>
                <w:numId w:val="2"/>
              </w:numPr>
              <w:spacing w:after="20" w:before="20"/>
            </w:pPr>
            <w:r>
              <w:rPr>
                <w:rFonts w:ascii="Arial" w:cs="Arial" w:eastAsia="Arial" w:hAnsi="Arial"/>
                <w:color w:val="2C3E50"/>
                <w:sz w:val="18"/>
                <w:szCs w:val="18"/>
              </w:rPr>
              <w:t xml:space="preserve">Tarifs peu transparents, négociation nécessaire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Forces</w:t>
            </w:r>
          </w:p>
        </w:tc>
        <w:tc>
          <w:tcPr>
            <w:tcW w:type="dxa" w:w="4513"/>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Faiblesses</w:t>
            </w:r>
          </w:p>
        </w:tc>
      </w:tr>
      <w:tr>
        <w:tc>
          <w:tcPr>
            <w:tcW w:type="dxa" w:w="4513"/>
            <w:tcBorders>
              <w:top w:val="single" w:color="BDC3C7" w:sz="1"/>
              <w:left w:val="single" w:color="BDC3C7" w:sz="1"/>
              <w:bottom w:val="single" w:color="BDC3C7" w:sz="1"/>
              <w:right w:val="single" w:color="BDC3C7" w:sz="1"/>
            </w:tcBorders>
            <w:shd w:fill="EAF7EF" w:val="clear"/>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Tarif sur devis — estimé entre 70 et 150 €/mois pour une agence</w:t>
            </w:r>
          </w:p>
          <w:p>
            <w:pPr>
              <w:pStyle w:val="ListParagraph"/>
              <w:numPr>
                <w:ilvl w:val="0"/>
                <w:numId w:val="2"/>
              </w:numPr>
              <w:spacing w:after="20" w:before="20"/>
            </w:pPr>
            <w:r>
              <w:rPr>
                <w:rFonts w:ascii="Arial" w:cs="Arial" w:eastAsia="Arial" w:hAnsi="Arial"/>
                <w:color w:val="2C3E50"/>
                <w:sz w:val="18"/>
                <w:szCs w:val="18"/>
              </w:rPr>
              <w:t xml:space="preserve">Coût total annuel estimé : 1 500 à 4 000 € (options + formation)</w:t>
            </w:r>
          </w:p>
          <w:p>
            <w:pPr>
              <w:pStyle w:val="ListParagraph"/>
              <w:numPr>
                <w:ilvl w:val="0"/>
                <w:numId w:val="2"/>
              </w:numPr>
              <w:spacing w:after="20" w:before="20"/>
            </w:pPr>
            <w:r>
              <w:rPr>
                <w:rFonts w:ascii="Arial" w:cs="Arial" w:eastAsia="Arial" w:hAnsi="Arial"/>
                <w:color w:val="2C3E50"/>
                <w:sz w:val="18"/>
                <w:szCs w:val="18"/>
              </w:rPr>
              <w:t xml:space="preserve">Abonnement simple, sans frais de licence ni d'installation</w:t>
            </w:r>
          </w:p>
          <w:p>
            <w:pPr>
              <w:pStyle w:val="ListParagraph"/>
              <w:numPr>
                <w:ilvl w:val="0"/>
                <w:numId w:val="2"/>
              </w:numPr>
              <w:spacing w:after="20" w:before="20"/>
            </w:pPr>
            <w:r>
              <w:rPr>
                <w:rFonts w:ascii="Arial" w:cs="Arial" w:eastAsia="Arial" w:hAnsi="Arial"/>
                <w:color w:val="2C3E50"/>
                <w:sz w:val="18"/>
                <w:szCs w:val="18"/>
              </w:rPr>
              <w:t xml:space="preserve">Application mobile incluse sans surcoût</w:t>
            </w:r>
          </w:p>
        </w:tc>
        <w:tc>
          <w:tcPr>
            <w:tcW w:type="dxa" w:w="4513"/>
            <w:tcBorders>
              <w:top w:val="single" w:color="BDC3C7" w:sz="1"/>
              <w:left w:val="single" w:color="BDC3C7" w:sz="1"/>
              <w:bottom w:val="single" w:color="BDC3C7" w:sz="1"/>
              <w:right w:val="single" w:color="BDC3C7" w:sz="1"/>
            </w:tcBorders>
            <w:shd w:fill="FDECEA" w:val="clear"/>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Vente directe + réseau de revendeurs partenaires</w:t>
            </w:r>
          </w:p>
          <w:p>
            <w:pPr>
              <w:pStyle w:val="ListParagraph"/>
              <w:numPr>
                <w:ilvl w:val="0"/>
                <w:numId w:val="2"/>
              </w:numPr>
              <w:spacing w:after="20" w:before="20"/>
            </w:pPr>
            <w:r>
              <w:rPr>
                <w:rFonts w:ascii="Arial" w:cs="Arial" w:eastAsia="Arial" w:hAnsi="Arial"/>
                <w:color w:val="2C3E50"/>
                <w:sz w:val="18"/>
                <w:szCs w:val="18"/>
              </w:rPr>
              <w:t xml:space="preserve">Présence forte dans les salons professionnels immobiliers</w:t>
            </w:r>
          </w:p>
          <w:p>
            <w:pPr>
              <w:pStyle w:val="ListParagraph"/>
              <w:numPr>
                <w:ilvl w:val="0"/>
                <w:numId w:val="2"/>
              </w:numPr>
              <w:spacing w:after="20" w:before="20"/>
            </w:pPr>
            <w:r>
              <w:rPr>
                <w:rFonts w:ascii="Arial" w:cs="Arial" w:eastAsia="Arial" w:hAnsi="Arial"/>
                <w:color w:val="2C3E50"/>
                <w:sz w:val="18"/>
                <w:szCs w:val="18"/>
              </w:rPr>
              <w:t xml:space="preserve">Marketing de contenu et leadership d'opinion</w:t>
            </w:r>
          </w:p>
          <w:p>
            <w:pPr>
              <w:pStyle w:val="ListParagraph"/>
              <w:numPr>
                <w:ilvl w:val="0"/>
                <w:numId w:val="2"/>
              </w:numPr>
              <w:spacing w:after="20" w:before="20"/>
            </w:pPr>
            <w:r>
              <w:rPr>
                <w:rFonts w:ascii="Arial" w:cs="Arial" w:eastAsia="Arial" w:hAnsi="Arial"/>
                <w:color w:val="2C3E50"/>
                <w:sz w:val="18"/>
                <w:szCs w:val="18"/>
              </w:rPr>
              <w:t xml:space="preserve">Réputation solide bâtie sur 10+ ans de présence</w:t>
            </w:r>
          </w:p>
        </w:tc>
      </w:tr>
    </w:tbl>
    <w:p>
      <w:pPr>
        <w:pageBreakBefore/>
        <w:spacing w:after="60" w:before="0"/>
      </w:pPr>
      <w:r>
        <w:rPr>
          <w:rFonts w:ascii="Arial" w:cs="Arial" w:eastAsia="Arial" w:hAnsi="Arial"/>
          <w:b/>
          <w:bCs/>
          <w:color w:val="1E3A5F"/>
          <w:sz w:val="32"/>
          <w:szCs w:val="32"/>
        </w:rPr>
        <w:t xml:space="preserve">03. Apimo Pro</w:t>
      </w:r>
    </w:p>
    <w:p>
      <w:pPr>
        <w:spacing w:after="180" w:before="0"/>
      </w:pPr>
      <w:r>
        <w:rPr>
          <w:rFonts w:ascii="Arial" w:cs="Arial" w:eastAsia="Arial" w:hAnsi="Arial"/>
          <w:i/>
          <w:iCs/>
          <w:color w:val="7F8C8D"/>
          <w:sz w:val="22"/>
          <w:szCs w:val="22"/>
        </w:rPr>
        <w:t xml:space="preserve">SaaS de transaction multi-portails avec outils IA en développement</w:t>
      </w:r>
    </w:p>
    <w:p>
      <w:pPr>
        <w:pBdr>
          <w:bottom w:val="single" w:color="2E86AB" w:sz="4" w:space="1"/>
        </w:pBdr>
        <w:spacing w:after="12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000"/>
        <w:gridCol w:w="2026"/>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2C3E50"/>
                <w:sz w:val="20"/>
                <w:szCs w:val="20"/>
              </w:rPr>
              <w:t xml:space="preserve">Niveau de menace pour ImmoMatch</w:t>
            </w:r>
          </w:p>
        </w:tc>
        <w:tc>
          <w:tcPr>
            <w:tcW w:type="dxa" w:w="2026"/>
            <w:tcBorders>
              <w:top w:val="single" w:color="E67E22" w:sz="1"/>
              <w:left w:val="single" w:color="E67E22" w:sz="1"/>
              <w:bottom w:val="single" w:color="E67E22" w:sz="1"/>
              <w:right w:val="single" w:color="E67E22" w:sz="1"/>
            </w:tcBorders>
            <w:shd w:fill="E67E2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MOYENNE</w:t>
            </w:r>
          </w:p>
        </w:tc>
      </w:tr>
    </w:tbl>
    <w:p>
      <w:pPr>
        <w:spacing w:after="0" w:before="160"/>
      </w:pPr>
      <w:r>
        <w:t xml:space="preserve"/>
      </w:r>
    </w:p>
    <w:p>
      <w:pPr>
        <w:spacing w:after="60" w:before="180"/>
      </w:pPr>
      <w:r>
        <w:rPr>
          <w:rFonts w:ascii="Arial" w:cs="Arial" w:eastAsia="Arial" w:hAnsi="Arial"/>
          <w:b/>
          <w:bCs/>
          <w:color w:val="2C3E50"/>
          <w:sz w:val="22"/>
          <w:szCs w:val="22"/>
        </w:rPr>
        <w:t xml:space="preserve">Vue d'ensemble</w:t>
      </w:r>
    </w:p>
    <w:p>
      <w:pPr>
        <w:spacing w:after="60" w:before="40"/>
      </w:pPr>
      <w:r>
        <w:rPr>
          <w:rFonts w:ascii="Arial" w:cs="Arial" w:eastAsia="Arial" w:hAnsi="Arial"/>
          <w:color w:val="2C3E50"/>
          <w:sz w:val="20"/>
          <w:szCs w:val="20"/>
        </w:rPr>
        <w:t xml:space="preserve">Apimo Pro est un logiciel de transaction immobilière en mode SaaS full web, développé par Apiwork. Il regroupe dans un seul espace les mandats, les biens, les contacts, l'agenda et les tâches, avec un accent fort sur la diffusion multi-portails (SeLoger, Leboncoin, Logic-Immo, Green-Acres, sites luxe à l'international).</w:t>
      </w:r>
    </w:p>
    <w:p>
      <w:pPr>
        <w:spacing w:after="60" w:before="40"/>
      </w:pPr>
      <w:r>
        <w:rPr>
          <w:rFonts w:ascii="Arial" w:cs="Arial" w:eastAsia="Arial" w:hAnsi="Arial"/>
          <w:color w:val="2C3E50"/>
          <w:sz w:val="20"/>
          <w:szCs w:val="20"/>
        </w:rPr>
        <w:t xml:space="preserve">Apimo intègre des outils IA pour la rédaction d'annonces et le matching automatique entre biens et critères acheteurs. Il propose également une application mobile iOS et iPadOS pour la gestion en mobilité. La solution cible les agences traditionnelles, les réseaux et les structures multi-agences souhaitant harmoniser leurs outils.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Fonctionnalités clés</w:t>
            </w:r>
          </w:p>
        </w:tc>
        <w:tc>
          <w:tcPr>
            <w:tcW w:type="dxa" w:w="4513"/>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Pricing &amp; Go-to-Market</w:t>
            </w:r>
          </w:p>
        </w:tc>
      </w:tr>
      <w:tr>
        <w:tc>
          <w:tcPr>
            <w:tcW w:type="dxa" w:w="4513"/>
            <w:tcBorders>
              <w:top w:val="single" w:color="BDC3C7" w:sz="1"/>
              <w:left w:val="single" w:color="BDC3C7" w:sz="1"/>
              <w:bottom w:val="single" w:color="BDC3C7" w:sz="1"/>
              <w:right w:val="single" w:color="BDC3C7" w:sz="1"/>
            </w:tcBorders>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Matching automatique acquéreurs / biens (avec IA)</w:t>
            </w:r>
          </w:p>
          <w:p>
            <w:pPr>
              <w:pStyle w:val="ListParagraph"/>
              <w:numPr>
                <w:ilvl w:val="0"/>
                <w:numId w:val="2"/>
              </w:numPr>
              <w:spacing w:after="20" w:before="20"/>
            </w:pPr>
            <w:r>
              <w:rPr>
                <w:rFonts w:ascii="Arial" w:cs="Arial" w:eastAsia="Arial" w:hAnsi="Arial"/>
                <w:color w:val="2C3E50"/>
                <w:sz w:val="18"/>
                <w:szCs w:val="18"/>
              </w:rPr>
              <w:t xml:space="preserve">Rédaction d'annonces assistée par IA</w:t>
            </w:r>
          </w:p>
          <w:p>
            <w:pPr>
              <w:pStyle w:val="ListParagraph"/>
              <w:numPr>
                <w:ilvl w:val="0"/>
                <w:numId w:val="2"/>
              </w:numPr>
              <w:spacing w:after="20" w:before="20"/>
            </w:pPr>
            <w:r>
              <w:rPr>
                <w:rFonts w:ascii="Arial" w:cs="Arial" w:eastAsia="Arial" w:hAnsi="Arial"/>
                <w:color w:val="2C3E50"/>
                <w:sz w:val="18"/>
                <w:szCs w:val="18"/>
              </w:rPr>
              <w:t xml:space="preserve">Multidiffusion France + portails internationaux</w:t>
            </w:r>
          </w:p>
          <w:p>
            <w:pPr>
              <w:pStyle w:val="ListParagraph"/>
              <w:numPr>
                <w:ilvl w:val="0"/>
                <w:numId w:val="2"/>
              </w:numPr>
              <w:spacing w:after="20" w:before="20"/>
            </w:pPr>
            <w:r>
              <w:rPr>
                <w:rFonts w:ascii="Arial" w:cs="Arial" w:eastAsia="Arial" w:hAnsi="Arial"/>
                <w:color w:val="2C3E50"/>
                <w:sz w:val="18"/>
                <w:szCs w:val="18"/>
              </w:rPr>
              <w:t xml:space="preserve">CRM contacts : acquéreurs, vendeurs, locataires</w:t>
            </w:r>
          </w:p>
          <w:p>
            <w:pPr>
              <w:pStyle w:val="ListParagraph"/>
              <w:numPr>
                <w:ilvl w:val="0"/>
                <w:numId w:val="2"/>
              </w:numPr>
              <w:spacing w:after="20" w:before="20"/>
            </w:pPr>
            <w:r>
              <w:rPr>
                <w:rFonts w:ascii="Arial" w:cs="Arial" w:eastAsia="Arial" w:hAnsi="Arial"/>
                <w:color w:val="2C3E50"/>
                <w:sz w:val="18"/>
                <w:szCs w:val="18"/>
              </w:rPr>
              <w:t xml:space="preserve">Gestion mandats de vente et de location</w:t>
            </w:r>
          </w:p>
          <w:p>
            <w:pPr>
              <w:pStyle w:val="ListParagraph"/>
              <w:numPr>
                <w:ilvl w:val="0"/>
                <w:numId w:val="2"/>
              </w:numPr>
              <w:spacing w:after="20" w:before="20"/>
            </w:pPr>
            <w:r>
              <w:rPr>
                <w:rFonts w:ascii="Arial" w:cs="Arial" w:eastAsia="Arial" w:hAnsi="Arial"/>
                <w:color w:val="2C3E50"/>
                <w:sz w:val="18"/>
                <w:szCs w:val="18"/>
              </w:rPr>
              <w:t xml:space="preserve">Application mobile iOS et iPadOS</w:t>
            </w:r>
          </w:p>
          <w:p>
            <w:pPr>
              <w:pStyle w:val="ListParagraph"/>
              <w:numPr>
                <w:ilvl w:val="0"/>
                <w:numId w:val="2"/>
              </w:numPr>
              <w:spacing w:after="20" w:before="20"/>
            </w:pPr>
            <w:r>
              <w:rPr>
                <w:rFonts w:ascii="Arial" w:cs="Arial" w:eastAsia="Arial" w:hAnsi="Arial"/>
                <w:color w:val="2C3E50"/>
                <w:sz w:val="18"/>
                <w:szCs w:val="18"/>
              </w:rPr>
              <w:t xml:space="preserve">Agenda, tâches, alertes et rappels</w:t>
            </w:r>
          </w:p>
        </w:tc>
        <w:tc>
          <w:tcPr>
            <w:tcW w:type="dxa" w:w="4513"/>
            <w:tcBorders>
              <w:top w:val="single" w:color="BDC3C7" w:sz="1"/>
              <w:left w:val="single" w:color="BDC3C7" w:sz="1"/>
              <w:bottom w:val="single" w:color="BDC3C7" w:sz="1"/>
              <w:right w:val="single" w:color="BDC3C7" w:sz="1"/>
            </w:tcBorders>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Interface moderne et SaaS-native</w:t>
            </w:r>
          </w:p>
          <w:p>
            <w:pPr>
              <w:pStyle w:val="ListParagraph"/>
              <w:numPr>
                <w:ilvl w:val="0"/>
                <w:numId w:val="2"/>
              </w:numPr>
              <w:spacing w:after="20" w:before="20"/>
            </w:pPr>
            <w:r>
              <w:rPr>
                <w:rFonts w:ascii="Arial" w:cs="Arial" w:eastAsia="Arial" w:hAnsi="Arial"/>
                <w:color w:val="2C3E50"/>
                <w:sz w:val="18"/>
                <w:szCs w:val="18"/>
              </w:rPr>
              <w:t xml:space="preserve">Portails internationaux (différenciateur luxe et expatriés)</w:t>
            </w:r>
          </w:p>
          <w:p>
            <w:pPr>
              <w:pStyle w:val="ListParagraph"/>
              <w:numPr>
                <w:ilvl w:val="0"/>
                <w:numId w:val="2"/>
              </w:numPr>
              <w:spacing w:after="20" w:before="20"/>
            </w:pPr>
            <w:r>
              <w:rPr>
                <w:rFonts w:ascii="Arial" w:cs="Arial" w:eastAsia="Arial" w:hAnsi="Arial"/>
                <w:color w:val="2C3E50"/>
                <w:sz w:val="18"/>
                <w:szCs w:val="18"/>
              </w:rPr>
              <w:t xml:space="preserve">Essai gratuit — réduction de la friction à l'entrée</w:t>
            </w:r>
          </w:p>
          <w:p>
            <w:pPr>
              <w:pStyle w:val="ListParagraph"/>
              <w:numPr>
                <w:ilvl w:val="0"/>
                <w:numId w:val="2"/>
              </w:numPr>
              <w:spacing w:after="20" w:before="20"/>
            </w:pPr>
            <w:r>
              <w:rPr>
                <w:rFonts w:ascii="Arial" w:cs="Arial" w:eastAsia="Arial" w:hAnsi="Arial"/>
                <w:color w:val="2C3E50"/>
                <w:sz w:val="18"/>
                <w:szCs w:val="18"/>
              </w:rPr>
              <w:t xml:space="preserve">Matching avec IA en cours de développement</w:t>
            </w:r>
          </w:p>
          <w:p>
            <w:pPr>
              <w:pStyle w:val="ListParagraph"/>
              <w:numPr>
                <w:ilvl w:val="0"/>
                <w:numId w:val="2"/>
              </w:numPr>
              <w:spacing w:after="20" w:before="20"/>
            </w:pPr>
            <w:r>
              <w:rPr>
                <w:rFonts w:ascii="Arial" w:cs="Arial" w:eastAsia="Arial" w:hAnsi="Arial"/>
                <w:color w:val="2C3E50"/>
                <w:sz w:val="18"/>
                <w:szCs w:val="18"/>
              </w:rPr>
              <w:t xml:space="preserve">Bonne présence sur les comparateurs en ligne</w:t>
            </w:r>
          </w:p>
          <w:p>
            <w:pPr>
              <w:spacing w:after="20" w:before="80"/>
            </w:pPr>
            <w:r>
              <w:rPr>
                <w:rFonts w:ascii="Arial" w:cs="Arial" w:eastAsia="Arial" w:hAnsi="Arial"/>
                <w:sz w:val="18"/>
                <w:szCs w:val="18"/>
              </w:rPr>
              <w:t xml:space="preserve"/>
            </w:r>
          </w:p>
          <w:p>
            <w:pPr>
              <w:spacing w:after="20" w:before="0"/>
            </w:pPr>
            <w:r>
              <w:rPr>
                <w:rFonts w:ascii="Arial" w:cs="Arial" w:eastAsia="Arial" w:hAnsi="Arial"/>
                <w:b/>
                <w:bCs/>
                <w:color w:val="1E3A5F"/>
                <w:sz w:val="18"/>
                <w:szCs w:val="18"/>
              </w:rPr>
              <w:t xml:space="preserve">Distribution :</w:t>
            </w:r>
          </w:p>
          <w:p>
            <w:pPr>
              <w:pStyle w:val="ListParagraph"/>
              <w:numPr>
                <w:ilvl w:val="0"/>
                <w:numId w:val="2"/>
              </w:numPr>
              <w:spacing w:after="20" w:before="20"/>
            </w:pPr>
            <w:r>
              <w:rPr>
                <w:rFonts w:ascii="Arial" w:cs="Arial" w:eastAsia="Arial" w:hAnsi="Arial"/>
                <w:color w:val="2C3E50"/>
                <w:sz w:val="18"/>
                <w:szCs w:val="18"/>
              </w:rPr>
              <w:t xml:space="preserve">Qualité et profondeur du matching IA non documentée</w:t>
            </w:r>
          </w:p>
          <w:p>
            <w:pPr>
              <w:pStyle w:val="ListParagraph"/>
              <w:numPr>
                <w:ilvl w:val="0"/>
                <w:numId w:val="2"/>
              </w:numPr>
              <w:spacing w:after="20" w:before="20"/>
            </w:pPr>
            <w:r>
              <w:rPr>
                <w:rFonts w:ascii="Arial" w:cs="Arial" w:eastAsia="Arial" w:hAnsi="Arial"/>
                <w:color w:val="2C3E50"/>
                <w:sz w:val="18"/>
                <w:szCs w:val="18"/>
              </w:rPr>
              <w:t xml:space="preserve">Pas de scoring qualitatif /100 comparable à ImmoMatch</w:t>
            </w:r>
          </w:p>
          <w:p>
            <w:pPr>
              <w:pStyle w:val="ListParagraph"/>
              <w:numPr>
                <w:ilvl w:val="0"/>
                <w:numId w:val="2"/>
              </w:numPr>
              <w:spacing w:after="20" w:before="20"/>
            </w:pPr>
            <w:r>
              <w:rPr>
                <w:rFonts w:ascii="Arial" w:cs="Arial" w:eastAsia="Arial" w:hAnsi="Arial"/>
                <w:color w:val="2C3E50"/>
                <w:sz w:val="18"/>
                <w:szCs w:val="18"/>
              </w:rPr>
              <w:t xml:space="preserve">Pas d'intégration native Hektor FTP</w:t>
            </w:r>
          </w:p>
          <w:p>
            <w:pPr>
              <w:pStyle w:val="ListParagraph"/>
              <w:numPr>
                <w:ilvl w:val="0"/>
                <w:numId w:val="2"/>
              </w:numPr>
              <w:spacing w:after="20" w:before="20"/>
            </w:pPr>
            <w:r>
              <w:rPr>
                <w:rFonts w:ascii="Arial" w:cs="Arial" w:eastAsia="Arial" w:hAnsi="Arial"/>
                <w:color w:val="2C3E50"/>
                <w:sz w:val="18"/>
                <w:szCs w:val="18"/>
              </w:rPr>
              <w:t xml:space="preserve">Pas d'agent IA conversationnel</w:t>
            </w:r>
          </w:p>
          <w:p>
            <w:pPr>
              <w:pStyle w:val="ListParagraph"/>
              <w:numPr>
                <w:ilvl w:val="0"/>
                <w:numId w:val="2"/>
              </w:numPr>
              <w:spacing w:after="20" w:before="20"/>
            </w:pPr>
            <w:r>
              <w:rPr>
                <w:rFonts w:ascii="Arial" w:cs="Arial" w:eastAsia="Arial" w:hAnsi="Arial"/>
                <w:color w:val="2C3E50"/>
                <w:sz w:val="18"/>
                <w:szCs w:val="18"/>
              </w:rPr>
              <w:t xml:space="preserve">Pas de génération d'emails HTML personnalisés</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Forces</w:t>
            </w:r>
          </w:p>
        </w:tc>
        <w:tc>
          <w:tcPr>
            <w:tcW w:type="dxa" w:w="4513"/>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Faiblesses</w:t>
            </w:r>
          </w:p>
        </w:tc>
      </w:tr>
      <w:tr>
        <w:tc>
          <w:tcPr>
            <w:tcW w:type="dxa" w:w="4513"/>
            <w:tcBorders>
              <w:top w:val="single" w:color="BDC3C7" w:sz="1"/>
              <w:left w:val="single" w:color="BDC3C7" w:sz="1"/>
              <w:bottom w:val="single" w:color="BDC3C7" w:sz="1"/>
              <w:right w:val="single" w:color="BDC3C7" w:sz="1"/>
            </w:tcBorders>
            <w:shd w:fill="EAF7EF" w:val="clear"/>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Tarif sur devis (pas de grille publique)</w:t>
            </w:r>
          </w:p>
          <w:p>
            <w:pPr>
              <w:pStyle w:val="ListParagraph"/>
              <w:numPr>
                <w:ilvl w:val="0"/>
                <w:numId w:val="2"/>
              </w:numPr>
              <w:spacing w:after="20" w:before="20"/>
            </w:pPr>
            <w:r>
              <w:rPr>
                <w:rFonts w:ascii="Arial" w:cs="Arial" w:eastAsia="Arial" w:hAnsi="Arial"/>
                <w:color w:val="2C3E50"/>
                <w:sz w:val="18"/>
                <w:szCs w:val="18"/>
              </w:rPr>
              <w:t xml:space="preserve">Essai gratuit de 7 jours disponible</w:t>
            </w:r>
          </w:p>
          <w:p>
            <w:pPr>
              <w:pStyle w:val="ListParagraph"/>
              <w:numPr>
                <w:ilvl w:val="0"/>
                <w:numId w:val="2"/>
              </w:numPr>
              <w:spacing w:after="20" w:before="20"/>
            </w:pPr>
            <w:r>
              <w:rPr>
                <w:rFonts w:ascii="Arial" w:cs="Arial" w:eastAsia="Arial" w:hAnsi="Arial"/>
                <w:color w:val="2C3E50"/>
                <w:sz w:val="18"/>
                <w:szCs w:val="18"/>
              </w:rPr>
              <w:t xml:space="preserve">Positionnement prix similaire à Hektor</w:t>
            </w:r>
          </w:p>
        </w:tc>
        <w:tc>
          <w:tcPr>
            <w:tcW w:type="dxa" w:w="4513"/>
            <w:tcBorders>
              <w:top w:val="single" w:color="BDC3C7" w:sz="1"/>
              <w:left w:val="single" w:color="BDC3C7" w:sz="1"/>
              <w:bottom w:val="single" w:color="BDC3C7" w:sz="1"/>
              <w:right w:val="single" w:color="BDC3C7" w:sz="1"/>
            </w:tcBorders>
            <w:shd w:fill="FDECEA" w:val="clear"/>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Vente directe en ligne et par téléphone</w:t>
            </w:r>
          </w:p>
          <w:p>
            <w:pPr>
              <w:pStyle w:val="ListParagraph"/>
              <w:numPr>
                <w:ilvl w:val="0"/>
                <w:numId w:val="2"/>
              </w:numPr>
              <w:spacing w:after="20" w:before="20"/>
            </w:pPr>
            <w:r>
              <w:rPr>
                <w:rFonts w:ascii="Arial" w:cs="Arial" w:eastAsia="Arial" w:hAnsi="Arial"/>
                <w:color w:val="2C3E50"/>
                <w:sz w:val="18"/>
                <w:szCs w:val="18"/>
              </w:rPr>
              <w:t xml:space="preserve">Essai gratuit 7 jours — conversion digitale</w:t>
            </w:r>
          </w:p>
          <w:p>
            <w:pPr>
              <w:pStyle w:val="ListParagraph"/>
              <w:numPr>
                <w:ilvl w:val="0"/>
                <w:numId w:val="2"/>
              </w:numPr>
              <w:spacing w:after="20" w:before="20"/>
            </w:pPr>
            <w:r>
              <w:rPr>
                <w:rFonts w:ascii="Arial" w:cs="Arial" w:eastAsia="Arial" w:hAnsi="Arial"/>
                <w:color w:val="2C3E50"/>
                <w:sz w:val="18"/>
                <w:szCs w:val="18"/>
              </w:rPr>
              <w:t xml:space="preserve">Partenariats portails immobiliers</w:t>
            </w:r>
          </w:p>
          <w:p>
            <w:pPr>
              <w:pStyle w:val="ListParagraph"/>
              <w:numPr>
                <w:ilvl w:val="0"/>
                <w:numId w:val="2"/>
              </w:numPr>
              <w:spacing w:after="20" w:before="20"/>
            </w:pPr>
            <w:r>
              <w:rPr>
                <w:rFonts w:ascii="Arial" w:cs="Arial" w:eastAsia="Arial" w:hAnsi="Arial"/>
                <w:color w:val="2C3E50"/>
                <w:sz w:val="18"/>
                <w:szCs w:val="18"/>
              </w:rPr>
              <w:t xml:space="preserve">Présence sur comparateurs logiciels (Capterra, GetApp)</w:t>
            </w:r>
          </w:p>
        </w:tc>
      </w:tr>
    </w:tbl>
    <w:p>
      <w:pPr>
        <w:pageBreakBefore/>
        <w:spacing w:after="60" w:before="0"/>
      </w:pPr>
      <w:r>
        <w:rPr>
          <w:rFonts w:ascii="Arial" w:cs="Arial" w:eastAsia="Arial" w:hAnsi="Arial"/>
          <w:b/>
          <w:bCs/>
          <w:color w:val="1E3A5F"/>
          <w:sz w:val="32"/>
          <w:szCs w:val="32"/>
        </w:rPr>
        <w:t xml:space="preserve">04. Rodacom / Néo Sphère</w:t>
      </w:r>
    </w:p>
    <w:p>
      <w:pPr>
        <w:spacing w:after="180" w:before="0"/>
      </w:pPr>
      <w:r>
        <w:rPr>
          <w:rFonts w:ascii="Arial" w:cs="Arial" w:eastAsia="Arial" w:hAnsi="Arial"/>
          <w:i/>
          <w:iCs/>
          <w:color w:val="7F8C8D"/>
          <w:sz w:val="22"/>
          <w:szCs w:val="22"/>
        </w:rPr>
        <w:t xml:space="preserve">CRM immobilier avec automatismes — positionnement prix-agressif</w:t>
      </w:r>
    </w:p>
    <w:p>
      <w:pPr>
        <w:pBdr>
          <w:bottom w:val="single" w:color="2E86AB" w:sz="4" w:space="1"/>
        </w:pBdr>
        <w:spacing w:after="12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000"/>
        <w:gridCol w:w="2026"/>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2C3E50"/>
                <w:sz w:val="20"/>
                <w:szCs w:val="20"/>
              </w:rPr>
              <w:t xml:space="preserve">Niveau de menace pour ImmoMatch</w:t>
            </w:r>
          </w:p>
        </w:tc>
        <w:tc>
          <w:tcPr>
            <w:tcW w:type="dxa" w:w="2026"/>
            <w:tcBorders>
              <w:top w:val="single" w:color="27AE60" w:sz="1"/>
              <w:left w:val="single" w:color="27AE60" w:sz="1"/>
              <w:bottom w:val="single" w:color="27AE60" w:sz="1"/>
              <w:right w:val="single" w:color="27AE60" w:sz="1"/>
            </w:tcBorders>
            <w:shd w:fill="27AE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FAIBLE</w:t>
            </w:r>
          </w:p>
        </w:tc>
      </w:tr>
    </w:tbl>
    <w:p>
      <w:pPr>
        <w:spacing w:after="0" w:before="160"/>
      </w:pPr>
      <w:r>
        <w:t xml:space="preserve"/>
      </w:r>
    </w:p>
    <w:p>
      <w:pPr>
        <w:spacing w:after="60" w:before="180"/>
      </w:pPr>
      <w:r>
        <w:rPr>
          <w:rFonts w:ascii="Arial" w:cs="Arial" w:eastAsia="Arial" w:hAnsi="Arial"/>
          <w:b/>
          <w:bCs/>
          <w:color w:val="2C3E50"/>
          <w:sz w:val="22"/>
          <w:szCs w:val="22"/>
        </w:rPr>
        <w:t xml:space="preserve">Vue d'ensemble</w:t>
      </w:r>
    </w:p>
    <w:p>
      <w:pPr>
        <w:spacing w:after="60" w:before="40"/>
      </w:pPr>
      <w:r>
        <w:rPr>
          <w:rFonts w:ascii="Arial" w:cs="Arial" w:eastAsia="Arial" w:hAnsi="Arial"/>
          <w:color w:val="2C3E50"/>
          <w:sz w:val="20"/>
          <w:szCs w:val="20"/>
        </w:rPr>
        <w:t xml:space="preserve">Rodacom est un éditeur français spécialisé dans les logiciels immobiliers. Sa solution phare, Néo Sphère, est un CRM full web taillé pour les agences indépendantes et les réseaux régionaux. Le positionnement de Rodacom est centré sur l'automatisation des tâches récurrentes : plus de 40 automatismes et campagnes d'emailing pré-configurés pour les acquéreurs, vendeurs, locataires et bailleurs.</w:t>
      </w:r>
    </w:p>
    <w:p>
      <w:pPr>
        <w:spacing w:after="60" w:before="40"/>
      </w:pPr>
      <w:r>
        <w:rPr>
          <w:rFonts w:ascii="Arial" w:cs="Arial" w:eastAsia="Arial" w:hAnsi="Arial"/>
          <w:color w:val="2C3E50"/>
          <w:sz w:val="20"/>
          <w:szCs w:val="20"/>
        </w:rPr>
        <w:t xml:space="preserve">Avec un tarif d'entrée très agressif (dès 39 €/mois), Rodacom attaque le bas du marché. Le rapprochement automatique est inclus dans le pack de base. La solution couvre également la communication digitale, les réseaux sociaux, les documents juridiques et la signature électronique.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Fonctionnalités clés</w:t>
            </w:r>
          </w:p>
        </w:tc>
        <w:tc>
          <w:tcPr>
            <w:tcW w:type="dxa" w:w="4513"/>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Pricing &amp; Go-to-Market</w:t>
            </w:r>
          </w:p>
        </w:tc>
      </w:tr>
      <w:tr>
        <w:tc>
          <w:tcPr>
            <w:tcW w:type="dxa" w:w="4513"/>
            <w:tcBorders>
              <w:top w:val="single" w:color="BDC3C7" w:sz="1"/>
              <w:left w:val="single" w:color="BDC3C7" w:sz="1"/>
              <w:bottom w:val="single" w:color="BDC3C7" w:sz="1"/>
              <w:right w:val="single" w:color="BDC3C7" w:sz="1"/>
            </w:tcBorders>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Rapprochement automatique (matching) inclus</w:t>
            </w:r>
          </w:p>
          <w:p>
            <w:pPr>
              <w:pStyle w:val="ListParagraph"/>
              <w:numPr>
                <w:ilvl w:val="0"/>
                <w:numId w:val="2"/>
              </w:numPr>
              <w:spacing w:after="20" w:before="20"/>
            </w:pPr>
            <w:r>
              <w:rPr>
                <w:rFonts w:ascii="Arial" w:cs="Arial" w:eastAsia="Arial" w:hAnsi="Arial"/>
                <w:color w:val="2C3E50"/>
                <w:sz w:val="18"/>
                <w:szCs w:val="18"/>
              </w:rPr>
              <w:t xml:space="preserve">40+ automatismes et campagnes d'emailing</w:t>
            </w:r>
          </w:p>
          <w:p>
            <w:pPr>
              <w:pStyle w:val="ListParagraph"/>
              <w:numPr>
                <w:ilvl w:val="0"/>
                <w:numId w:val="2"/>
              </w:numPr>
              <w:spacing w:after="20" w:before="20"/>
            </w:pPr>
            <w:r>
              <w:rPr>
                <w:rFonts w:ascii="Arial" w:cs="Arial" w:eastAsia="Arial" w:hAnsi="Arial"/>
                <w:color w:val="2C3E50"/>
                <w:sz w:val="18"/>
                <w:szCs w:val="18"/>
              </w:rPr>
              <w:t xml:space="preserve">Multidiffusion portails et réseaux sociaux</w:t>
            </w:r>
          </w:p>
          <w:p>
            <w:pPr>
              <w:pStyle w:val="ListParagraph"/>
              <w:numPr>
                <w:ilvl w:val="0"/>
                <w:numId w:val="2"/>
              </w:numPr>
              <w:spacing w:after="20" w:before="20"/>
            </w:pPr>
            <w:r>
              <w:rPr>
                <w:rFonts w:ascii="Arial" w:cs="Arial" w:eastAsia="Arial" w:hAnsi="Arial"/>
                <w:color w:val="2C3E50"/>
                <w:sz w:val="18"/>
                <w:szCs w:val="18"/>
              </w:rPr>
              <w:t xml:space="preserve">Documents juridiques personnalisés</w:t>
            </w:r>
          </w:p>
          <w:p>
            <w:pPr>
              <w:pStyle w:val="ListParagraph"/>
              <w:numPr>
                <w:ilvl w:val="0"/>
                <w:numId w:val="2"/>
              </w:numPr>
              <w:spacing w:after="20" w:before="20"/>
            </w:pPr>
            <w:r>
              <w:rPr>
                <w:rFonts w:ascii="Arial" w:cs="Arial" w:eastAsia="Arial" w:hAnsi="Arial"/>
                <w:color w:val="2C3E50"/>
                <w:sz w:val="18"/>
                <w:szCs w:val="18"/>
              </w:rPr>
              <w:t xml:space="preserve">Signature électronique intégrée</w:t>
            </w:r>
          </w:p>
          <w:p>
            <w:pPr>
              <w:pStyle w:val="ListParagraph"/>
              <w:numPr>
                <w:ilvl w:val="0"/>
                <w:numId w:val="2"/>
              </w:numPr>
              <w:spacing w:after="20" w:before="20"/>
            </w:pPr>
            <w:r>
              <w:rPr>
                <w:rFonts w:ascii="Arial" w:cs="Arial" w:eastAsia="Arial" w:hAnsi="Arial"/>
                <w:color w:val="2C3E50"/>
                <w:sz w:val="18"/>
                <w:szCs w:val="18"/>
              </w:rPr>
              <w:t xml:space="preserve">Cartographie des prix immobiliers</w:t>
            </w:r>
          </w:p>
          <w:p>
            <w:pPr>
              <w:pStyle w:val="ListParagraph"/>
              <w:numPr>
                <w:ilvl w:val="0"/>
                <w:numId w:val="2"/>
              </w:numPr>
              <w:spacing w:after="20" w:before="20"/>
            </w:pPr>
            <w:r>
              <w:rPr>
                <w:rFonts w:ascii="Arial" w:cs="Arial" w:eastAsia="Arial" w:hAnsi="Arial"/>
                <w:color w:val="2C3E50"/>
                <w:sz w:val="18"/>
                <w:szCs w:val="18"/>
              </w:rPr>
              <w:t xml:space="preserve">Messagerie interne et reporting</w:t>
            </w:r>
          </w:p>
        </w:tc>
        <w:tc>
          <w:tcPr>
            <w:tcW w:type="dxa" w:w="4513"/>
            <w:tcBorders>
              <w:top w:val="single" w:color="BDC3C7" w:sz="1"/>
              <w:left w:val="single" w:color="BDC3C7" w:sz="1"/>
              <w:bottom w:val="single" w:color="BDC3C7" w:sz="1"/>
              <w:right w:val="single" w:color="BDC3C7" w:sz="1"/>
            </w:tcBorders>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Prix d'entrée très bas — accessibilité maximale</w:t>
            </w:r>
          </w:p>
          <w:p>
            <w:pPr>
              <w:pStyle w:val="ListParagraph"/>
              <w:numPr>
                <w:ilvl w:val="0"/>
                <w:numId w:val="2"/>
              </w:numPr>
              <w:spacing w:after="20" w:before="20"/>
            </w:pPr>
            <w:r>
              <w:rPr>
                <w:rFonts w:ascii="Arial" w:cs="Arial" w:eastAsia="Arial" w:hAnsi="Arial"/>
                <w:color w:val="2C3E50"/>
                <w:sz w:val="18"/>
                <w:szCs w:val="18"/>
              </w:rPr>
              <w:t xml:space="preserve">Automatismes nombreux et pré-configurés</w:t>
            </w:r>
          </w:p>
          <w:p>
            <w:pPr>
              <w:pStyle w:val="ListParagraph"/>
              <w:numPr>
                <w:ilvl w:val="0"/>
                <w:numId w:val="2"/>
              </w:numPr>
              <w:spacing w:after="20" w:before="20"/>
            </w:pPr>
            <w:r>
              <w:rPr>
                <w:rFonts w:ascii="Arial" w:cs="Arial" w:eastAsia="Arial" w:hAnsi="Arial"/>
                <w:color w:val="2C3E50"/>
                <w:sz w:val="18"/>
                <w:szCs w:val="18"/>
              </w:rPr>
              <w:t xml:space="preserve">Solution tout-en-un (CRM + diffusion + legal)</w:t>
            </w:r>
          </w:p>
          <w:p>
            <w:pPr>
              <w:pStyle w:val="ListParagraph"/>
              <w:numPr>
                <w:ilvl w:val="0"/>
                <w:numId w:val="2"/>
              </w:numPr>
              <w:spacing w:after="20" w:before="20"/>
            </w:pPr>
            <w:r>
              <w:rPr>
                <w:rFonts w:ascii="Arial" w:cs="Arial" w:eastAsia="Arial" w:hAnsi="Arial"/>
                <w:color w:val="2C3E50"/>
                <w:sz w:val="18"/>
                <w:szCs w:val="18"/>
              </w:rPr>
              <w:t xml:space="preserve">Bonne couverture fonctionnelle pour petites agences</w:t>
            </w:r>
          </w:p>
          <w:p>
            <w:pPr>
              <w:spacing w:after="20" w:before="80"/>
            </w:pPr>
            <w:r>
              <w:rPr>
                <w:rFonts w:ascii="Arial" w:cs="Arial" w:eastAsia="Arial" w:hAnsi="Arial"/>
                <w:sz w:val="18"/>
                <w:szCs w:val="18"/>
              </w:rPr>
              <w:t xml:space="preserve"/>
            </w:r>
          </w:p>
          <w:p>
            <w:pPr>
              <w:spacing w:after="20" w:before="0"/>
            </w:pPr>
            <w:r>
              <w:rPr>
                <w:rFonts w:ascii="Arial" w:cs="Arial" w:eastAsia="Arial" w:hAnsi="Arial"/>
                <w:b/>
                <w:bCs/>
                <w:color w:val="1E3A5F"/>
                <w:sz w:val="18"/>
                <w:szCs w:val="18"/>
              </w:rPr>
              <w:t xml:space="preserve">Distribution :</w:t>
            </w:r>
          </w:p>
          <w:p>
            <w:pPr>
              <w:pStyle w:val="ListParagraph"/>
              <w:numPr>
                <w:ilvl w:val="0"/>
                <w:numId w:val="2"/>
              </w:numPr>
              <w:spacing w:after="20" w:before="20"/>
            </w:pPr>
            <w:r>
              <w:rPr>
                <w:rFonts w:ascii="Arial" w:cs="Arial" w:eastAsia="Arial" w:hAnsi="Arial"/>
                <w:color w:val="2C3E50"/>
                <w:sz w:val="18"/>
                <w:szCs w:val="18"/>
              </w:rPr>
              <w:t xml:space="preserve">Aucune intelligence artificielle dans le matching</w:t>
            </w:r>
          </w:p>
          <w:p>
            <w:pPr>
              <w:pStyle w:val="ListParagraph"/>
              <w:numPr>
                <w:ilvl w:val="0"/>
                <w:numId w:val="2"/>
              </w:numPr>
              <w:spacing w:after="20" w:before="20"/>
            </w:pPr>
            <w:r>
              <w:rPr>
                <w:rFonts w:ascii="Arial" w:cs="Arial" w:eastAsia="Arial" w:hAnsi="Arial"/>
                <w:color w:val="2C3E50"/>
                <w:sz w:val="18"/>
                <w:szCs w:val="18"/>
              </w:rPr>
              <w:t xml:space="preserve">Matching purement basé sur des règles (critères bruts)</w:t>
            </w:r>
          </w:p>
          <w:p>
            <w:pPr>
              <w:pStyle w:val="ListParagraph"/>
              <w:numPr>
                <w:ilvl w:val="0"/>
                <w:numId w:val="2"/>
              </w:numPr>
              <w:spacing w:after="20" w:before="20"/>
            </w:pPr>
            <w:r>
              <w:rPr>
                <w:rFonts w:ascii="Arial" w:cs="Arial" w:eastAsia="Arial" w:hAnsi="Arial"/>
                <w:color w:val="2C3E50"/>
                <w:sz w:val="18"/>
                <w:szCs w:val="18"/>
              </w:rPr>
              <w:t xml:space="preserve">Pas de scoring qualitatif ni d'analyse DPE/style de vie</w:t>
            </w:r>
          </w:p>
          <w:p>
            <w:pPr>
              <w:pStyle w:val="ListParagraph"/>
              <w:numPr>
                <w:ilvl w:val="0"/>
                <w:numId w:val="2"/>
              </w:numPr>
              <w:spacing w:after="20" w:before="20"/>
            </w:pPr>
            <w:r>
              <w:rPr>
                <w:rFonts w:ascii="Arial" w:cs="Arial" w:eastAsia="Arial" w:hAnsi="Arial"/>
                <w:color w:val="2C3E50"/>
                <w:sz w:val="18"/>
                <w:szCs w:val="18"/>
              </w:rPr>
              <w:t xml:space="preserve">Interface datée comparée aux solutions modernes</w:t>
            </w:r>
          </w:p>
          <w:p>
            <w:pPr>
              <w:pStyle w:val="ListParagraph"/>
              <w:numPr>
                <w:ilvl w:val="0"/>
                <w:numId w:val="2"/>
              </w:numPr>
              <w:spacing w:after="20" w:before="20"/>
            </w:pPr>
            <w:r>
              <w:rPr>
                <w:rFonts w:ascii="Arial" w:cs="Arial" w:eastAsia="Arial" w:hAnsi="Arial"/>
                <w:color w:val="2C3E50"/>
                <w:sz w:val="18"/>
                <w:szCs w:val="18"/>
              </w:rPr>
              <w:t xml:space="preserve">Pas d'emails générés par IA</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Forces</w:t>
            </w:r>
          </w:p>
        </w:tc>
        <w:tc>
          <w:tcPr>
            <w:tcW w:type="dxa" w:w="4513"/>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Faiblesses</w:t>
            </w:r>
          </w:p>
        </w:tc>
      </w:tr>
      <w:tr>
        <w:tc>
          <w:tcPr>
            <w:tcW w:type="dxa" w:w="4513"/>
            <w:tcBorders>
              <w:top w:val="single" w:color="BDC3C7" w:sz="1"/>
              <w:left w:val="single" w:color="BDC3C7" w:sz="1"/>
              <w:bottom w:val="single" w:color="BDC3C7" w:sz="1"/>
              <w:right w:val="single" w:color="BDC3C7" w:sz="1"/>
            </w:tcBorders>
            <w:shd w:fill="EAF7EF" w:val="clear"/>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A partir de 39 €/mois (pack de base)</w:t>
            </w:r>
          </w:p>
          <w:p>
            <w:pPr>
              <w:pStyle w:val="ListParagraph"/>
              <w:numPr>
                <w:ilvl w:val="0"/>
                <w:numId w:val="2"/>
              </w:numPr>
              <w:spacing w:after="20" w:before="20"/>
            </w:pPr>
            <w:r>
              <w:rPr>
                <w:rFonts w:ascii="Arial" w:cs="Arial" w:eastAsia="Arial" w:hAnsi="Arial"/>
                <w:color w:val="2C3E50"/>
                <w:sz w:val="18"/>
                <w:szCs w:val="18"/>
              </w:rPr>
              <w:t xml:space="preserve">+ 10 €/mois par utilisateur supplémentaire</w:t>
            </w:r>
          </w:p>
          <w:p>
            <w:pPr>
              <w:pStyle w:val="ListParagraph"/>
              <w:numPr>
                <w:ilvl w:val="0"/>
                <w:numId w:val="2"/>
              </w:numPr>
              <w:spacing w:after="20" w:before="20"/>
            </w:pPr>
            <w:r>
              <w:rPr>
                <w:rFonts w:ascii="Arial" w:cs="Arial" w:eastAsia="Arial" w:hAnsi="Arial"/>
                <w:color w:val="2C3E50"/>
                <w:sz w:val="18"/>
                <w:szCs w:val="18"/>
              </w:rPr>
              <w:t xml:space="preserve">Matching automatique inclus dans l'offre de base</w:t>
            </w:r>
          </w:p>
          <w:p>
            <w:pPr>
              <w:pStyle w:val="ListParagraph"/>
              <w:numPr>
                <w:ilvl w:val="0"/>
                <w:numId w:val="2"/>
              </w:numPr>
              <w:spacing w:after="20" w:before="20"/>
            </w:pPr>
            <w:r>
              <w:rPr>
                <w:rFonts w:ascii="Arial" w:cs="Arial" w:eastAsia="Arial" w:hAnsi="Arial"/>
                <w:color w:val="2C3E50"/>
                <w:sz w:val="18"/>
                <w:szCs w:val="18"/>
              </w:rPr>
              <w:t xml:space="preserve">Positionnement prix très agressif vs. concurrents</w:t>
            </w:r>
          </w:p>
        </w:tc>
        <w:tc>
          <w:tcPr>
            <w:tcW w:type="dxa" w:w="4513"/>
            <w:tcBorders>
              <w:top w:val="single" w:color="BDC3C7" w:sz="1"/>
              <w:left w:val="single" w:color="BDC3C7" w:sz="1"/>
              <w:bottom w:val="single" w:color="BDC3C7" w:sz="1"/>
              <w:right w:val="single" w:color="BDC3C7" w:sz="1"/>
            </w:tcBorders>
            <w:shd w:fill="FDECEA" w:val="clear"/>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Vente directe, force commerciale terrain</w:t>
            </w:r>
          </w:p>
          <w:p>
            <w:pPr>
              <w:pStyle w:val="ListParagraph"/>
              <w:numPr>
                <w:ilvl w:val="0"/>
                <w:numId w:val="2"/>
              </w:numPr>
              <w:spacing w:after="20" w:before="20"/>
            </w:pPr>
            <w:r>
              <w:rPr>
                <w:rFonts w:ascii="Arial" w:cs="Arial" w:eastAsia="Arial" w:hAnsi="Arial"/>
                <w:color w:val="2C3E50"/>
                <w:sz w:val="18"/>
                <w:szCs w:val="18"/>
              </w:rPr>
              <w:t xml:space="preserve">Positionnement prix — acquisition par rapport coût/valeur</w:t>
            </w:r>
          </w:p>
          <w:p>
            <w:pPr>
              <w:pStyle w:val="ListParagraph"/>
              <w:numPr>
                <w:ilvl w:val="0"/>
                <w:numId w:val="2"/>
              </w:numPr>
              <w:spacing w:after="20" w:before="20"/>
            </w:pPr>
            <w:r>
              <w:rPr>
                <w:rFonts w:ascii="Arial" w:cs="Arial" w:eastAsia="Arial" w:hAnsi="Arial"/>
                <w:color w:val="2C3E50"/>
                <w:sz w:val="18"/>
                <w:szCs w:val="18"/>
              </w:rPr>
              <w:t xml:space="preserve">Ciblage réseaux d'agences régionaux</w:t>
            </w:r>
          </w:p>
          <w:p>
            <w:pPr>
              <w:pStyle w:val="ListParagraph"/>
              <w:numPr>
                <w:ilvl w:val="0"/>
                <w:numId w:val="2"/>
              </w:numPr>
              <w:spacing w:after="20" w:before="20"/>
            </w:pPr>
            <w:r>
              <w:rPr>
                <w:rFonts w:ascii="Arial" w:cs="Arial" w:eastAsia="Arial" w:hAnsi="Arial"/>
                <w:color w:val="2C3E50"/>
                <w:sz w:val="18"/>
                <w:szCs w:val="18"/>
              </w:rPr>
              <w:t xml:space="preserve">Comparateurs logiciels et référencement</w:t>
            </w:r>
          </w:p>
        </w:tc>
      </w:tr>
    </w:tbl>
    <w:p>
      <w:pPr>
        <w:pageBreakBefore/>
        <w:spacing w:after="60" w:before="0"/>
      </w:pPr>
      <w:r>
        <w:rPr>
          <w:rFonts w:ascii="Arial" w:cs="Arial" w:eastAsia="Arial" w:hAnsi="Arial"/>
          <w:b/>
          <w:bCs/>
          <w:color w:val="1E3A5F"/>
          <w:sz w:val="32"/>
          <w:szCs w:val="32"/>
        </w:rPr>
        <w:t xml:space="preserve">05. Netty / Septeo (Modelo Office)</w:t>
      </w:r>
    </w:p>
    <w:p>
      <w:pPr>
        <w:spacing w:after="180" w:before="0"/>
      </w:pPr>
      <w:r>
        <w:rPr>
          <w:rFonts w:ascii="Arial" w:cs="Arial" w:eastAsia="Arial" w:hAnsi="Arial"/>
          <w:i/>
          <w:iCs/>
          <w:color w:val="7F8C8D"/>
          <w:sz w:val="22"/>
          <w:szCs w:val="22"/>
        </w:rPr>
        <w:t xml:space="preserve">Suite complète pour agences — leader européen des professions réglementées</w:t>
      </w:r>
    </w:p>
    <w:p>
      <w:pPr>
        <w:pBdr>
          <w:bottom w:val="single" w:color="2E86AB" w:sz="4" w:space="1"/>
        </w:pBdr>
        <w:spacing w:after="12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000"/>
        <w:gridCol w:w="2026"/>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2C3E50"/>
                <w:sz w:val="20"/>
                <w:szCs w:val="20"/>
              </w:rPr>
              <w:t xml:space="preserve">Niveau de menace pour ImmoMatch</w:t>
            </w:r>
          </w:p>
        </w:tc>
        <w:tc>
          <w:tcPr>
            <w:tcW w:type="dxa" w:w="2026"/>
            <w:tcBorders>
              <w:top w:val="single" w:color="E67E22" w:sz="1"/>
              <w:left w:val="single" w:color="E67E22" w:sz="1"/>
              <w:bottom w:val="single" w:color="E67E22" w:sz="1"/>
              <w:right w:val="single" w:color="E67E22" w:sz="1"/>
            </w:tcBorders>
            <w:shd w:fill="E67E2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MOYENNE</w:t>
            </w:r>
          </w:p>
        </w:tc>
      </w:tr>
    </w:tbl>
    <w:p>
      <w:pPr>
        <w:spacing w:after="0" w:before="160"/>
      </w:pPr>
      <w:r>
        <w:t xml:space="preserve"/>
      </w:r>
    </w:p>
    <w:p>
      <w:pPr>
        <w:spacing w:after="60" w:before="180"/>
      </w:pPr>
      <w:r>
        <w:rPr>
          <w:rFonts w:ascii="Arial" w:cs="Arial" w:eastAsia="Arial" w:hAnsi="Arial"/>
          <w:b/>
          <w:bCs/>
          <w:color w:val="2C3E50"/>
          <w:sz w:val="22"/>
          <w:szCs w:val="22"/>
        </w:rPr>
        <w:t xml:space="preserve">Vue d'ensemble</w:t>
      </w:r>
    </w:p>
    <w:p>
      <w:pPr>
        <w:spacing w:after="60" w:before="40"/>
      </w:pPr>
      <w:r>
        <w:rPr>
          <w:rFonts w:ascii="Arial" w:cs="Arial" w:eastAsia="Arial" w:hAnsi="Arial"/>
          <w:color w:val="2C3E50"/>
          <w:sz w:val="20"/>
          <w:szCs w:val="20"/>
        </w:rPr>
        <w:t xml:space="preserve">Netty, désormais intégrée au groupe Septeo sous la marque Modelo Office, est une solution de transaction immobilière full web à destination des agences de taille intermédiaire à grande. Le groupe Septeo est le leader européen des logiciels SaaS pour les professions réglementées (immobilier, droit), présent dans toute la chaîne de valeur jusqu'à la signature notariale.</w:t>
      </w:r>
    </w:p>
    <w:p>
      <w:pPr>
        <w:spacing w:after="60" w:before="40"/>
      </w:pPr>
      <w:r>
        <w:rPr>
          <w:rFonts w:ascii="Arial" w:cs="Arial" w:eastAsia="Arial" w:hAnsi="Arial"/>
          <w:color w:val="2C3E50"/>
          <w:sz w:val="20"/>
          <w:szCs w:val="20"/>
        </w:rPr>
        <w:t xml:space="preserve">Modelo Office propose plus de 35 fonctionnalités : visites virtuelles 360°, virtual home staging par IA, outil d'estimation (Modelo Insight), multidiffusion, matching par alertes email, et intégration notariale via Seiitra. L'accent est mis sur la complétude de l'offre et la conformité légale. Le tarif d'entrée est plus élevé que les autres solutions.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Fonctionnalités clés</w:t>
            </w:r>
          </w:p>
        </w:tc>
        <w:tc>
          <w:tcPr>
            <w:tcW w:type="dxa" w:w="4513"/>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Pricing &amp; Go-to-Market</w:t>
            </w:r>
          </w:p>
        </w:tc>
      </w:tr>
      <w:tr>
        <w:tc>
          <w:tcPr>
            <w:tcW w:type="dxa" w:w="4513"/>
            <w:tcBorders>
              <w:top w:val="single" w:color="BDC3C7" w:sz="1"/>
              <w:left w:val="single" w:color="BDC3C7" w:sz="1"/>
              <w:bottom w:val="single" w:color="BDC3C7" w:sz="1"/>
              <w:right w:val="single" w:color="BDC3C7" w:sz="1"/>
            </w:tcBorders>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Matching par alertes email (acquéreurs vs. biens)</w:t>
            </w:r>
          </w:p>
          <w:p>
            <w:pPr>
              <w:pStyle w:val="ListParagraph"/>
              <w:numPr>
                <w:ilvl w:val="0"/>
                <w:numId w:val="2"/>
              </w:numPr>
              <w:spacing w:after="20" w:before="20"/>
            </w:pPr>
            <w:r>
              <w:rPr>
                <w:rFonts w:ascii="Arial" w:cs="Arial" w:eastAsia="Arial" w:hAnsi="Arial"/>
                <w:color w:val="2C3E50"/>
                <w:sz w:val="18"/>
                <w:szCs w:val="18"/>
              </w:rPr>
              <w:t xml:space="preserve">Virtual home staging par IA (transformation photos)</w:t>
            </w:r>
          </w:p>
          <w:p>
            <w:pPr>
              <w:pStyle w:val="ListParagraph"/>
              <w:numPr>
                <w:ilvl w:val="0"/>
                <w:numId w:val="2"/>
              </w:numPr>
              <w:spacing w:after="20" w:before="20"/>
            </w:pPr>
            <w:r>
              <w:rPr>
                <w:rFonts w:ascii="Arial" w:cs="Arial" w:eastAsia="Arial" w:hAnsi="Arial"/>
                <w:color w:val="2C3E50"/>
                <w:sz w:val="18"/>
                <w:szCs w:val="18"/>
              </w:rPr>
              <w:t xml:space="preserve">Visites virtuelles 360° intégrées</w:t>
            </w:r>
          </w:p>
          <w:p>
            <w:pPr>
              <w:pStyle w:val="ListParagraph"/>
              <w:numPr>
                <w:ilvl w:val="0"/>
                <w:numId w:val="2"/>
              </w:numPr>
              <w:spacing w:after="20" w:before="20"/>
            </w:pPr>
            <w:r>
              <w:rPr>
                <w:rFonts w:ascii="Arial" w:cs="Arial" w:eastAsia="Arial" w:hAnsi="Arial"/>
                <w:color w:val="2C3E50"/>
                <w:sz w:val="18"/>
                <w:szCs w:val="18"/>
              </w:rPr>
              <w:t xml:space="preserve">Estimation immobilière (Modelo Insight)</w:t>
            </w:r>
          </w:p>
          <w:p>
            <w:pPr>
              <w:pStyle w:val="ListParagraph"/>
              <w:numPr>
                <w:ilvl w:val="0"/>
                <w:numId w:val="2"/>
              </w:numPr>
              <w:spacing w:after="20" w:before="20"/>
            </w:pPr>
            <w:r>
              <w:rPr>
                <w:rFonts w:ascii="Arial" w:cs="Arial" w:eastAsia="Arial" w:hAnsi="Arial"/>
                <w:color w:val="2C3E50"/>
                <w:sz w:val="18"/>
                <w:szCs w:val="18"/>
              </w:rPr>
              <w:t xml:space="preserve">Multidiffusion portails + réseaux sociaux</w:t>
            </w:r>
          </w:p>
          <w:p>
            <w:pPr>
              <w:pStyle w:val="ListParagraph"/>
              <w:numPr>
                <w:ilvl w:val="0"/>
                <w:numId w:val="2"/>
              </w:numPr>
              <w:spacing w:after="20" w:before="20"/>
            </w:pPr>
            <w:r>
              <w:rPr>
                <w:rFonts w:ascii="Arial" w:cs="Arial" w:eastAsia="Arial" w:hAnsi="Arial"/>
                <w:color w:val="2C3E50"/>
                <w:sz w:val="18"/>
                <w:szCs w:val="18"/>
              </w:rPr>
              <w:t xml:space="preserve">Documents légaux + signature électronique</w:t>
            </w:r>
          </w:p>
          <w:p>
            <w:pPr>
              <w:pStyle w:val="ListParagraph"/>
              <w:numPr>
                <w:ilvl w:val="0"/>
                <w:numId w:val="2"/>
              </w:numPr>
              <w:spacing w:after="20" w:before="20"/>
            </w:pPr>
            <w:r>
              <w:rPr>
                <w:rFonts w:ascii="Arial" w:cs="Arial" w:eastAsia="Arial" w:hAnsi="Arial"/>
                <w:color w:val="2C3E50"/>
                <w:sz w:val="18"/>
                <w:szCs w:val="18"/>
              </w:rPr>
              <w:t xml:space="preserve">Intégration notariale (chaîne complète)</w:t>
            </w:r>
          </w:p>
          <w:p>
            <w:pPr>
              <w:pStyle w:val="ListParagraph"/>
              <w:numPr>
                <w:ilvl w:val="0"/>
                <w:numId w:val="2"/>
              </w:numPr>
              <w:spacing w:after="20" w:before="20"/>
            </w:pPr>
            <w:r>
              <w:rPr>
                <w:rFonts w:ascii="Arial" w:cs="Arial" w:eastAsia="Arial" w:hAnsi="Arial"/>
                <w:color w:val="2C3E50"/>
                <w:sz w:val="18"/>
                <w:szCs w:val="18"/>
              </w:rPr>
              <w:t xml:space="preserve">Module gestion locative et syndic</w:t>
            </w:r>
          </w:p>
        </w:tc>
        <w:tc>
          <w:tcPr>
            <w:tcW w:type="dxa" w:w="4513"/>
            <w:tcBorders>
              <w:top w:val="single" w:color="BDC3C7" w:sz="1"/>
              <w:left w:val="single" w:color="BDC3C7" w:sz="1"/>
              <w:bottom w:val="single" w:color="BDC3C7" w:sz="1"/>
              <w:right w:val="single" w:color="BDC3C7" w:sz="1"/>
            </w:tcBorders>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Écosystème complet — de la transaction à l'acte notarié</w:t>
            </w:r>
          </w:p>
          <w:p>
            <w:pPr>
              <w:pStyle w:val="ListParagraph"/>
              <w:numPr>
                <w:ilvl w:val="0"/>
                <w:numId w:val="2"/>
              </w:numPr>
              <w:spacing w:after="20" w:before="20"/>
            </w:pPr>
            <w:r>
              <w:rPr>
                <w:rFonts w:ascii="Arial" w:cs="Arial" w:eastAsia="Arial" w:hAnsi="Arial"/>
                <w:color w:val="2C3E50"/>
                <w:sz w:val="18"/>
                <w:szCs w:val="18"/>
              </w:rPr>
              <w:t xml:space="preserve">IA pour le home staging (valeur perçue des biens)</w:t>
            </w:r>
          </w:p>
          <w:p>
            <w:pPr>
              <w:pStyle w:val="ListParagraph"/>
              <w:numPr>
                <w:ilvl w:val="0"/>
                <w:numId w:val="2"/>
              </w:numPr>
              <w:spacing w:after="20" w:before="20"/>
            </w:pPr>
            <w:r>
              <w:rPr>
                <w:rFonts w:ascii="Arial" w:cs="Arial" w:eastAsia="Arial" w:hAnsi="Arial"/>
                <w:color w:val="2C3E50"/>
                <w:sz w:val="18"/>
                <w:szCs w:val="18"/>
              </w:rPr>
              <w:t xml:space="preserve">Conformité réglementaire irréprochable</w:t>
            </w:r>
          </w:p>
          <w:p>
            <w:pPr>
              <w:pStyle w:val="ListParagraph"/>
              <w:numPr>
                <w:ilvl w:val="0"/>
                <w:numId w:val="2"/>
              </w:numPr>
              <w:spacing w:after="20" w:before="20"/>
            </w:pPr>
            <w:r>
              <w:rPr>
                <w:rFonts w:ascii="Arial" w:cs="Arial" w:eastAsia="Arial" w:hAnsi="Arial"/>
                <w:color w:val="2C3E50"/>
                <w:sz w:val="18"/>
                <w:szCs w:val="18"/>
              </w:rPr>
              <w:t xml:space="preserve">Adapté aux structures multi-agences de taille moyenne/grande</w:t>
            </w:r>
          </w:p>
          <w:p>
            <w:pPr>
              <w:pStyle w:val="ListParagraph"/>
              <w:numPr>
                <w:ilvl w:val="0"/>
                <w:numId w:val="2"/>
              </w:numPr>
              <w:spacing w:after="20" w:before="20"/>
            </w:pPr>
            <w:r>
              <w:rPr>
                <w:rFonts w:ascii="Arial" w:cs="Arial" w:eastAsia="Arial" w:hAnsi="Arial"/>
                <w:color w:val="2C3E50"/>
                <w:sz w:val="18"/>
                <w:szCs w:val="18"/>
              </w:rPr>
              <w:t xml:space="preserve">Support et formation solides</w:t>
            </w:r>
          </w:p>
          <w:p>
            <w:pPr>
              <w:spacing w:after="20" w:before="80"/>
            </w:pPr>
            <w:r>
              <w:rPr>
                <w:rFonts w:ascii="Arial" w:cs="Arial" w:eastAsia="Arial" w:hAnsi="Arial"/>
                <w:sz w:val="18"/>
                <w:szCs w:val="18"/>
              </w:rPr>
              <w:t xml:space="preserve"/>
            </w:r>
          </w:p>
          <w:p>
            <w:pPr>
              <w:spacing w:after="20" w:before="0"/>
            </w:pPr>
            <w:r>
              <w:rPr>
                <w:rFonts w:ascii="Arial" w:cs="Arial" w:eastAsia="Arial" w:hAnsi="Arial"/>
                <w:b/>
                <w:bCs/>
                <w:color w:val="1E3A5F"/>
                <w:sz w:val="18"/>
                <w:szCs w:val="18"/>
              </w:rPr>
              <w:t xml:space="preserve">Distribution :</w:t>
            </w:r>
          </w:p>
          <w:p>
            <w:pPr>
              <w:pStyle w:val="ListParagraph"/>
              <w:numPr>
                <w:ilvl w:val="0"/>
                <w:numId w:val="2"/>
              </w:numPr>
              <w:spacing w:after="20" w:before="20"/>
            </w:pPr>
            <w:r>
              <w:rPr>
                <w:rFonts w:ascii="Arial" w:cs="Arial" w:eastAsia="Arial" w:hAnsi="Arial"/>
                <w:color w:val="2C3E50"/>
                <w:sz w:val="18"/>
                <w:szCs w:val="18"/>
              </w:rPr>
              <w:t xml:space="preserve">Solution lourde, complexe à prendre en main</w:t>
            </w:r>
          </w:p>
          <w:p>
            <w:pPr>
              <w:pStyle w:val="ListParagraph"/>
              <w:numPr>
                <w:ilvl w:val="0"/>
                <w:numId w:val="2"/>
              </w:numPr>
              <w:spacing w:after="20" w:before="20"/>
            </w:pPr>
            <w:r>
              <w:rPr>
                <w:rFonts w:ascii="Arial" w:cs="Arial" w:eastAsia="Arial" w:hAnsi="Arial"/>
                <w:color w:val="2C3E50"/>
                <w:sz w:val="18"/>
                <w:szCs w:val="18"/>
              </w:rPr>
              <w:t xml:space="preserve">Tarif élevé — moins accessible pour petites agences</w:t>
            </w:r>
          </w:p>
          <w:p>
            <w:pPr>
              <w:pStyle w:val="ListParagraph"/>
              <w:numPr>
                <w:ilvl w:val="0"/>
                <w:numId w:val="2"/>
              </w:numPr>
              <w:spacing w:after="20" w:before="20"/>
            </w:pPr>
            <w:r>
              <w:rPr>
                <w:rFonts w:ascii="Arial" w:cs="Arial" w:eastAsia="Arial" w:hAnsi="Arial"/>
                <w:color w:val="2C3E50"/>
                <w:sz w:val="18"/>
                <w:szCs w:val="18"/>
              </w:rPr>
              <w:t xml:space="preserve">Matching non spécialisé — alertes email sans scoring IA</w:t>
            </w:r>
          </w:p>
          <w:p>
            <w:pPr>
              <w:pStyle w:val="ListParagraph"/>
              <w:numPr>
                <w:ilvl w:val="0"/>
                <w:numId w:val="2"/>
              </w:numPr>
              <w:spacing w:after="20" w:before="20"/>
            </w:pPr>
            <w:r>
              <w:rPr>
                <w:rFonts w:ascii="Arial" w:cs="Arial" w:eastAsia="Arial" w:hAnsi="Arial"/>
                <w:color w:val="2C3E50"/>
                <w:sz w:val="18"/>
                <w:szCs w:val="18"/>
              </w:rPr>
              <w:t xml:space="preserve">Pas de génération d'emails personnalisés par IA</w:t>
            </w:r>
          </w:p>
          <w:p>
            <w:pPr>
              <w:pStyle w:val="ListParagraph"/>
              <w:numPr>
                <w:ilvl w:val="0"/>
                <w:numId w:val="2"/>
              </w:numPr>
              <w:spacing w:after="20" w:before="20"/>
            </w:pPr>
            <w:r>
              <w:rPr>
                <w:rFonts w:ascii="Arial" w:cs="Arial" w:eastAsia="Arial" w:hAnsi="Arial"/>
                <w:color w:val="2C3E50"/>
                <w:sz w:val="18"/>
                <w:szCs w:val="18"/>
              </w:rPr>
              <w:t xml:space="preserve">Rigidité des paramètres, faible personnalisation algorithmique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Forces</w:t>
            </w:r>
          </w:p>
        </w:tc>
        <w:tc>
          <w:tcPr>
            <w:tcW w:type="dxa" w:w="4513"/>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Faiblesses</w:t>
            </w:r>
          </w:p>
        </w:tc>
      </w:tr>
      <w:tr>
        <w:tc>
          <w:tcPr>
            <w:tcW w:type="dxa" w:w="4513"/>
            <w:tcBorders>
              <w:top w:val="single" w:color="BDC3C7" w:sz="1"/>
              <w:left w:val="single" w:color="BDC3C7" w:sz="1"/>
              <w:bottom w:val="single" w:color="BDC3C7" w:sz="1"/>
              <w:right w:val="single" w:color="BDC3C7" w:sz="1"/>
            </w:tcBorders>
            <w:shd w:fill="EAF7EF" w:val="clear"/>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A partir de 89 à 119 €/mois HT (selon modules)</w:t>
            </w:r>
          </w:p>
          <w:p>
            <w:pPr>
              <w:pStyle w:val="ListParagraph"/>
              <w:numPr>
                <w:ilvl w:val="0"/>
                <w:numId w:val="2"/>
              </w:numPr>
              <w:spacing w:after="20" w:before="20"/>
            </w:pPr>
            <w:r>
              <w:rPr>
                <w:rFonts w:ascii="Arial" w:cs="Arial" w:eastAsia="Arial" w:hAnsi="Arial"/>
                <w:color w:val="2C3E50"/>
                <w:sz w:val="18"/>
                <w:szCs w:val="18"/>
              </w:rPr>
              <w:t xml:space="preserve">Tarif sur devis pour les offres complètes</w:t>
            </w:r>
          </w:p>
          <w:p>
            <w:pPr>
              <w:pStyle w:val="ListParagraph"/>
              <w:numPr>
                <w:ilvl w:val="0"/>
                <w:numId w:val="2"/>
              </w:numPr>
              <w:spacing w:after="20" w:before="20"/>
            </w:pPr>
            <w:r>
              <w:rPr>
                <w:rFonts w:ascii="Arial" w:cs="Arial" w:eastAsia="Arial" w:hAnsi="Arial"/>
                <w:color w:val="2C3E50"/>
                <w:sz w:val="18"/>
                <w:szCs w:val="18"/>
              </w:rPr>
              <w:t xml:space="preserve">Modules additionnels facturés séparément</w:t>
            </w:r>
          </w:p>
          <w:p>
            <w:pPr>
              <w:pStyle w:val="ListParagraph"/>
              <w:numPr>
                <w:ilvl w:val="0"/>
                <w:numId w:val="2"/>
              </w:numPr>
              <w:spacing w:after="20" w:before="20"/>
            </w:pPr>
            <w:r>
              <w:rPr>
                <w:rFonts w:ascii="Arial" w:cs="Arial" w:eastAsia="Arial" w:hAnsi="Arial"/>
                <w:color w:val="2C3E50"/>
                <w:sz w:val="18"/>
                <w:szCs w:val="18"/>
              </w:rPr>
              <w:t xml:space="preserve">Positionnement premium vs. alternatives</w:t>
            </w:r>
          </w:p>
        </w:tc>
        <w:tc>
          <w:tcPr>
            <w:tcW w:type="dxa" w:w="4513"/>
            <w:tcBorders>
              <w:top w:val="single" w:color="BDC3C7" w:sz="1"/>
              <w:left w:val="single" w:color="BDC3C7" w:sz="1"/>
              <w:bottom w:val="single" w:color="BDC3C7" w:sz="1"/>
              <w:right w:val="single" w:color="BDC3C7" w:sz="1"/>
            </w:tcBorders>
            <w:shd w:fill="FDECEA" w:val="clear"/>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Réseau de partenaires intégrateurs (cabinets-conseils)</w:t>
            </w:r>
          </w:p>
          <w:p>
            <w:pPr>
              <w:pStyle w:val="ListParagraph"/>
              <w:numPr>
                <w:ilvl w:val="0"/>
                <w:numId w:val="2"/>
              </w:numPr>
              <w:spacing w:after="20" w:before="20"/>
            </w:pPr>
            <w:r>
              <w:rPr>
                <w:rFonts w:ascii="Arial" w:cs="Arial" w:eastAsia="Arial" w:hAnsi="Arial"/>
                <w:color w:val="2C3E50"/>
                <w:sz w:val="18"/>
                <w:szCs w:val="18"/>
              </w:rPr>
              <w:t xml:space="preserve">Présence forte dans les réseaux régionaux et franchises</w:t>
            </w:r>
          </w:p>
          <w:p>
            <w:pPr>
              <w:pStyle w:val="ListParagraph"/>
              <w:numPr>
                <w:ilvl w:val="0"/>
                <w:numId w:val="2"/>
              </w:numPr>
              <w:spacing w:after="20" w:before="20"/>
            </w:pPr>
            <w:r>
              <w:rPr>
                <w:rFonts w:ascii="Arial" w:cs="Arial" w:eastAsia="Arial" w:hAnsi="Arial"/>
                <w:color w:val="2C3E50"/>
                <w:sz w:val="18"/>
                <w:szCs w:val="18"/>
              </w:rPr>
              <w:t xml:space="preserve">Cross-sell dans l'écosystème Septeo (notaires, gestionnaires)</w:t>
            </w:r>
          </w:p>
          <w:p>
            <w:pPr>
              <w:pStyle w:val="ListParagraph"/>
              <w:numPr>
                <w:ilvl w:val="0"/>
                <w:numId w:val="2"/>
              </w:numPr>
              <w:spacing w:after="20" w:before="20"/>
            </w:pPr>
            <w:r>
              <w:rPr>
                <w:rFonts w:ascii="Arial" w:cs="Arial" w:eastAsia="Arial" w:hAnsi="Arial"/>
                <w:color w:val="2C3E50"/>
                <w:sz w:val="18"/>
                <w:szCs w:val="18"/>
              </w:rPr>
              <w:t xml:space="preserve">Événements sectoriels et relations institutionnelles</w:t>
            </w:r>
          </w:p>
        </w:tc>
      </w:tr>
    </w:tbl>
    <w:p>
      <w:pPr>
        <w:pageBreakBefore/>
        <w:spacing w:after="60" w:before="0"/>
      </w:pPr>
      <w:r>
        <w:rPr>
          <w:rFonts w:ascii="Arial" w:cs="Arial" w:eastAsia="Arial" w:hAnsi="Arial"/>
          <w:b/>
          <w:bCs/>
          <w:color w:val="1E3A5F"/>
          <w:sz w:val="32"/>
          <w:szCs w:val="32"/>
        </w:rPr>
        <w:t xml:space="preserve">06. Yanport — Agent 360</w:t>
      </w:r>
    </w:p>
    <w:p>
      <w:pPr>
        <w:spacing w:after="180" w:before="0"/>
      </w:pPr>
      <w:r>
        <w:rPr>
          <w:rFonts w:ascii="Arial" w:cs="Arial" w:eastAsia="Arial" w:hAnsi="Arial"/>
          <w:i/>
          <w:iCs/>
          <w:color w:val="7F8C8D"/>
          <w:sz w:val="22"/>
          <w:szCs w:val="22"/>
        </w:rPr>
        <w:t xml:space="preserve">Plateforme data &amp; IA pour la valorisation et la prospection immobilière</w:t>
      </w:r>
    </w:p>
    <w:p>
      <w:pPr>
        <w:pBdr>
          <w:bottom w:val="single" w:color="2E86AB" w:sz="4" w:space="1"/>
        </w:pBdr>
        <w:spacing w:after="120" w:before="6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7000"/>
        <w:gridCol w:w="2026"/>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2C3E50"/>
                <w:sz w:val="20"/>
                <w:szCs w:val="20"/>
              </w:rPr>
              <w:t xml:space="preserve">Niveau de menace pour ImmoMatch</w:t>
            </w:r>
          </w:p>
        </w:tc>
        <w:tc>
          <w:tcPr>
            <w:tcW w:type="dxa" w:w="2026"/>
            <w:tcBorders>
              <w:top w:val="single" w:color="27AE60" w:sz="1"/>
              <w:left w:val="single" w:color="27AE60" w:sz="1"/>
              <w:bottom w:val="single" w:color="27AE60" w:sz="1"/>
              <w:right w:val="single" w:color="27AE60" w:sz="1"/>
            </w:tcBorders>
            <w:shd w:fill="27AE6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FAIBLE</w:t>
            </w:r>
          </w:p>
        </w:tc>
      </w:tr>
    </w:tbl>
    <w:p>
      <w:pPr>
        <w:spacing w:after="0" w:before="160"/>
      </w:pPr>
      <w:r>
        <w:t xml:space="preserve"/>
      </w:r>
    </w:p>
    <w:p>
      <w:pPr>
        <w:spacing w:after="60" w:before="180"/>
      </w:pPr>
      <w:r>
        <w:rPr>
          <w:rFonts w:ascii="Arial" w:cs="Arial" w:eastAsia="Arial" w:hAnsi="Arial"/>
          <w:b/>
          <w:bCs/>
          <w:color w:val="2C3E50"/>
          <w:sz w:val="22"/>
          <w:szCs w:val="22"/>
        </w:rPr>
        <w:t xml:space="preserve">Vue d'ensemble</w:t>
      </w:r>
    </w:p>
    <w:p>
      <w:pPr>
        <w:spacing w:after="60" w:before="40"/>
      </w:pPr>
      <w:r>
        <w:rPr>
          <w:rFonts w:ascii="Arial" w:cs="Arial" w:eastAsia="Arial" w:hAnsi="Arial"/>
          <w:color w:val="2C3E50"/>
          <w:sz w:val="20"/>
          <w:szCs w:val="20"/>
        </w:rPr>
        <w:t xml:space="preserve">Yanport n'est pas un logiciel de transaction traditionnel : c'est une plateforme de data immobilière et d'intelligence artificielle orientée analyse de marché et prospection. Yanport agrège des données de transactions, construit des modèles d'estimation (précision moyenne 85% selon INSEE) et propose son moteur via une API aux professionnels.</w:t>
      </w:r>
    </w:p>
    <w:p>
      <w:pPr>
        <w:spacing w:after="60" w:before="40"/>
      </w:pPr>
      <w:r>
        <w:rPr>
          <w:rFonts w:ascii="Arial" w:cs="Arial" w:eastAsia="Arial" w:hAnsi="Arial"/>
          <w:color w:val="2C3E50"/>
          <w:sz w:val="20"/>
          <w:szCs w:val="20"/>
        </w:rPr>
        <w:t xml:space="preserve">Sa solution Agent 360 intègre désormais un assistant IA qui aide les agents à préparer leur approche commerciale en générant des arguments personnalisés basés sur les caractéristiques du bien, son historique, son DPE. Yanport se positionne comme un accélérateur de décision — complémentaire aux logiciels de transaction, pas un substitut direct.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Fonctionnalités clés</w:t>
            </w:r>
          </w:p>
        </w:tc>
        <w:tc>
          <w:tcPr>
            <w:tcW w:type="dxa" w:w="4513"/>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Pricing &amp; Go-to-Market</w:t>
            </w:r>
          </w:p>
        </w:tc>
      </w:tr>
      <w:tr>
        <w:tc>
          <w:tcPr>
            <w:tcW w:type="dxa" w:w="4513"/>
            <w:tcBorders>
              <w:top w:val="single" w:color="BDC3C7" w:sz="1"/>
              <w:left w:val="single" w:color="BDC3C7" w:sz="1"/>
              <w:bottom w:val="single" w:color="BDC3C7" w:sz="1"/>
              <w:right w:val="single" w:color="BDC3C7" w:sz="1"/>
            </w:tcBorders>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Estimation immobilière IA — précision 85% (source INSEE)</w:t>
            </w:r>
          </w:p>
          <w:p>
            <w:pPr>
              <w:pStyle w:val="ListParagraph"/>
              <w:numPr>
                <w:ilvl w:val="0"/>
                <w:numId w:val="2"/>
              </w:numPr>
              <w:spacing w:after="20" w:before="20"/>
            </w:pPr>
            <w:r>
              <w:rPr>
                <w:rFonts w:ascii="Arial" w:cs="Arial" w:eastAsia="Arial" w:hAnsi="Arial"/>
                <w:color w:val="2C3E50"/>
                <w:sz w:val="18"/>
                <w:szCs w:val="18"/>
              </w:rPr>
              <w:t xml:space="preserve">Assistant IA Agent 360 — arguments de prospection générés</w:t>
            </w:r>
          </w:p>
          <w:p>
            <w:pPr>
              <w:pStyle w:val="ListParagraph"/>
              <w:numPr>
                <w:ilvl w:val="0"/>
                <w:numId w:val="2"/>
              </w:numPr>
              <w:spacing w:after="20" w:before="20"/>
            </w:pPr>
            <w:r>
              <w:rPr>
                <w:rFonts w:ascii="Arial" w:cs="Arial" w:eastAsia="Arial" w:hAnsi="Arial"/>
                <w:color w:val="2C3E50"/>
                <w:sz w:val="18"/>
                <w:szCs w:val="18"/>
              </w:rPr>
              <w:t xml:space="preserve">Base de données déduplication + historique transactions</w:t>
            </w:r>
          </w:p>
          <w:p>
            <w:pPr>
              <w:pStyle w:val="ListParagraph"/>
              <w:numPr>
                <w:ilvl w:val="0"/>
                <w:numId w:val="2"/>
              </w:numPr>
              <w:spacing w:after="20" w:before="20"/>
            </w:pPr>
            <w:r>
              <w:rPr>
                <w:rFonts w:ascii="Arial" w:cs="Arial" w:eastAsia="Arial" w:hAnsi="Arial"/>
                <w:color w:val="2C3E50"/>
                <w:sz w:val="18"/>
                <w:szCs w:val="18"/>
              </w:rPr>
              <w:t xml:space="preserve">Géo-matching adresse haute précision pour prospection terrain</w:t>
            </w:r>
          </w:p>
          <w:p>
            <w:pPr>
              <w:pStyle w:val="ListParagraph"/>
              <w:numPr>
                <w:ilvl w:val="0"/>
                <w:numId w:val="2"/>
              </w:numPr>
              <w:spacing w:after="20" w:before="20"/>
            </w:pPr>
            <w:r>
              <w:rPr>
                <w:rFonts w:ascii="Arial" w:cs="Arial" w:eastAsia="Arial" w:hAnsi="Arial"/>
                <w:color w:val="2C3E50"/>
                <w:sz w:val="18"/>
                <w:szCs w:val="18"/>
              </w:rPr>
              <w:t xml:space="preserve">Cartographie et indices de marché en temps réel</w:t>
            </w:r>
          </w:p>
          <w:p>
            <w:pPr>
              <w:pStyle w:val="ListParagraph"/>
              <w:numPr>
                <w:ilvl w:val="0"/>
                <w:numId w:val="2"/>
              </w:numPr>
              <w:spacing w:after="20" w:before="20"/>
            </w:pPr>
            <w:r>
              <w:rPr>
                <w:rFonts w:ascii="Arial" w:cs="Arial" w:eastAsia="Arial" w:hAnsi="Arial"/>
                <w:color w:val="2C3E50"/>
                <w:sz w:val="18"/>
                <w:szCs w:val="18"/>
              </w:rPr>
              <w:t xml:space="preserve">API pour intégration dans d'autres outils</w:t>
            </w:r>
          </w:p>
          <w:p>
            <w:pPr>
              <w:pStyle w:val="ListParagraph"/>
              <w:numPr>
                <w:ilvl w:val="0"/>
                <w:numId w:val="2"/>
              </w:numPr>
              <w:spacing w:after="20" w:before="20"/>
            </w:pPr>
            <w:r>
              <w:rPr>
                <w:rFonts w:ascii="Arial" w:cs="Arial" w:eastAsia="Arial" w:hAnsi="Arial"/>
                <w:color w:val="2C3E50"/>
                <w:sz w:val="18"/>
                <w:szCs w:val="18"/>
              </w:rPr>
              <w:t xml:space="preserve">Analyse DPE et données socio-économiques</w:t>
            </w:r>
          </w:p>
        </w:tc>
        <w:tc>
          <w:tcPr>
            <w:tcW w:type="dxa" w:w="4513"/>
            <w:tcBorders>
              <w:top w:val="single" w:color="BDC3C7" w:sz="1"/>
              <w:left w:val="single" w:color="BDC3C7" w:sz="1"/>
              <w:bottom w:val="single" w:color="BDC3C7" w:sz="1"/>
              <w:right w:val="single" w:color="BDC3C7" w:sz="1"/>
            </w:tcBorders>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Leadership reconnu sur la donnée immobilière en France</w:t>
            </w:r>
          </w:p>
          <w:p>
            <w:pPr>
              <w:pStyle w:val="ListParagraph"/>
              <w:numPr>
                <w:ilvl w:val="0"/>
                <w:numId w:val="2"/>
              </w:numPr>
              <w:spacing w:after="20" w:before="20"/>
            </w:pPr>
            <w:r>
              <w:rPr>
                <w:rFonts w:ascii="Arial" w:cs="Arial" w:eastAsia="Arial" w:hAnsi="Arial"/>
                <w:color w:val="2C3E50"/>
                <w:sz w:val="18"/>
                <w:szCs w:val="18"/>
              </w:rPr>
              <w:t xml:space="preserve">IA sophistiquée pour l'estimation et la prospection</w:t>
            </w:r>
          </w:p>
          <w:p>
            <w:pPr>
              <w:pStyle w:val="ListParagraph"/>
              <w:numPr>
                <w:ilvl w:val="0"/>
                <w:numId w:val="2"/>
              </w:numPr>
              <w:spacing w:after="20" w:before="20"/>
            </w:pPr>
            <w:r>
              <w:rPr>
                <w:rFonts w:ascii="Arial" w:cs="Arial" w:eastAsia="Arial" w:hAnsi="Arial"/>
                <w:color w:val="2C3E50"/>
                <w:sz w:val="18"/>
                <w:szCs w:val="18"/>
              </w:rPr>
              <w:t xml:space="preserve">Modèle API — intégrable dans n'importe quel outil</w:t>
            </w:r>
          </w:p>
          <w:p>
            <w:pPr>
              <w:pStyle w:val="ListParagraph"/>
              <w:numPr>
                <w:ilvl w:val="0"/>
                <w:numId w:val="2"/>
              </w:numPr>
              <w:spacing w:after="20" w:before="20"/>
            </w:pPr>
            <w:r>
              <w:rPr>
                <w:rFonts w:ascii="Arial" w:cs="Arial" w:eastAsia="Arial" w:hAnsi="Arial"/>
                <w:color w:val="2C3E50"/>
                <w:sz w:val="18"/>
                <w:szCs w:val="18"/>
              </w:rPr>
              <w:t xml:space="preserve">Complémentaire à ImmoMatch (non concurrent direct)</w:t>
            </w:r>
          </w:p>
          <w:p>
            <w:pPr>
              <w:pStyle w:val="ListParagraph"/>
              <w:numPr>
                <w:ilvl w:val="0"/>
                <w:numId w:val="2"/>
              </w:numPr>
              <w:spacing w:after="20" w:before="20"/>
            </w:pPr>
            <w:r>
              <w:rPr>
                <w:rFonts w:ascii="Arial" w:cs="Arial" w:eastAsia="Arial" w:hAnsi="Arial"/>
                <w:color w:val="2C3E50"/>
                <w:sz w:val="18"/>
                <w:szCs w:val="18"/>
              </w:rPr>
              <w:t xml:space="preserve">Analyse DPE et contexte marché unique</w:t>
            </w:r>
          </w:p>
          <w:p>
            <w:pPr>
              <w:spacing w:after="20" w:before="80"/>
            </w:pPr>
            <w:r>
              <w:rPr>
                <w:rFonts w:ascii="Arial" w:cs="Arial" w:eastAsia="Arial" w:hAnsi="Arial"/>
                <w:sz w:val="18"/>
                <w:szCs w:val="18"/>
              </w:rPr>
              <w:t xml:space="preserve"/>
            </w:r>
          </w:p>
          <w:p>
            <w:pPr>
              <w:spacing w:after="20" w:before="0"/>
            </w:pPr>
            <w:r>
              <w:rPr>
                <w:rFonts w:ascii="Arial" w:cs="Arial" w:eastAsia="Arial" w:hAnsi="Arial"/>
                <w:b/>
                <w:bCs/>
                <w:color w:val="1E3A5F"/>
                <w:sz w:val="18"/>
                <w:szCs w:val="18"/>
              </w:rPr>
              <w:t xml:space="preserve">Distribution :</w:t>
            </w:r>
          </w:p>
          <w:p>
            <w:pPr>
              <w:pStyle w:val="ListParagraph"/>
              <w:numPr>
                <w:ilvl w:val="0"/>
                <w:numId w:val="2"/>
              </w:numPr>
              <w:spacing w:after="20" w:before="20"/>
            </w:pPr>
            <w:r>
              <w:rPr>
                <w:rFonts w:ascii="Arial" w:cs="Arial" w:eastAsia="Arial" w:hAnsi="Arial"/>
                <w:color w:val="2C3E50"/>
                <w:sz w:val="18"/>
                <w:szCs w:val="18"/>
              </w:rPr>
              <w:t xml:space="preserve">Pas un outil de matching prospects / biens</w:t>
            </w:r>
          </w:p>
          <w:p>
            <w:pPr>
              <w:pStyle w:val="ListParagraph"/>
              <w:numPr>
                <w:ilvl w:val="0"/>
                <w:numId w:val="2"/>
              </w:numPr>
              <w:spacing w:after="20" w:before="20"/>
            </w:pPr>
            <w:r>
              <w:rPr>
                <w:rFonts w:ascii="Arial" w:cs="Arial" w:eastAsia="Arial" w:hAnsi="Arial"/>
                <w:color w:val="2C3E50"/>
                <w:sz w:val="18"/>
                <w:szCs w:val="18"/>
              </w:rPr>
              <w:t xml:space="preserve">Pas de CRM, de gestion de mandats, ni d'emailing</w:t>
            </w:r>
          </w:p>
          <w:p>
            <w:pPr>
              <w:pStyle w:val="ListParagraph"/>
              <w:numPr>
                <w:ilvl w:val="0"/>
                <w:numId w:val="2"/>
              </w:numPr>
              <w:spacing w:after="20" w:before="20"/>
            </w:pPr>
            <w:r>
              <w:rPr>
                <w:rFonts w:ascii="Arial" w:cs="Arial" w:eastAsia="Arial" w:hAnsi="Arial"/>
                <w:color w:val="2C3E50"/>
                <w:sz w:val="18"/>
                <w:szCs w:val="18"/>
              </w:rPr>
              <w:t xml:space="preserve">Positionnement data pur — ne répond pas à la douleur matching</w:t>
            </w:r>
          </w:p>
          <w:p>
            <w:pPr>
              <w:pStyle w:val="ListParagraph"/>
              <w:numPr>
                <w:ilvl w:val="0"/>
                <w:numId w:val="2"/>
              </w:numPr>
              <w:spacing w:after="20" w:before="20"/>
            </w:pPr>
            <w:r>
              <w:rPr>
                <w:rFonts w:ascii="Arial" w:cs="Arial" w:eastAsia="Arial" w:hAnsi="Arial"/>
                <w:color w:val="2C3E50"/>
                <w:sz w:val="18"/>
                <w:szCs w:val="18"/>
              </w:rPr>
              <w:t xml:space="preserve">Complexité d'usage pour les agents non-analytiques</w:t>
            </w:r>
          </w:p>
          <w:p>
            <w:pPr>
              <w:pStyle w:val="ListParagraph"/>
              <w:numPr>
                <w:ilvl w:val="0"/>
                <w:numId w:val="2"/>
              </w:numPr>
              <w:spacing w:after="20" w:before="20"/>
            </w:pPr>
            <w:r>
              <w:rPr>
                <w:rFonts w:ascii="Arial" w:cs="Arial" w:eastAsia="Arial" w:hAnsi="Arial"/>
                <w:color w:val="2C3E50"/>
                <w:sz w:val="18"/>
                <w:szCs w:val="18"/>
              </w:rPr>
              <w:t xml:space="preserve">Risque : intégration dans Hektor ou Apimo pourrait affaiblir la valeur d'ImmoMatch sur la partie qualitative</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DC3C7" w:sz="1"/>
              <w:left w:val="single" w:color="BDC3C7" w:sz="1"/>
              <w:bottom w:val="single" w:color="BDC3C7" w:sz="1"/>
              <w:right w:val="single" w:color="BDC3C7"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Forces</w:t>
            </w:r>
          </w:p>
        </w:tc>
        <w:tc>
          <w:tcPr>
            <w:tcW w:type="dxa" w:w="4513"/>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Faiblesses</w:t>
            </w:r>
          </w:p>
        </w:tc>
      </w:tr>
      <w:tr>
        <w:tc>
          <w:tcPr>
            <w:tcW w:type="dxa" w:w="4513"/>
            <w:tcBorders>
              <w:top w:val="single" w:color="BDC3C7" w:sz="1"/>
              <w:left w:val="single" w:color="BDC3C7" w:sz="1"/>
              <w:bottom w:val="single" w:color="BDC3C7" w:sz="1"/>
              <w:right w:val="single" w:color="BDC3C7" w:sz="1"/>
            </w:tcBorders>
            <w:shd w:fill="EAF7EF" w:val="clear"/>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Tarif sur devis selon usage et volume de données</w:t>
            </w:r>
          </w:p>
          <w:p>
            <w:pPr>
              <w:pStyle w:val="ListParagraph"/>
              <w:numPr>
                <w:ilvl w:val="0"/>
                <w:numId w:val="2"/>
              </w:numPr>
              <w:spacing w:after="20" w:before="20"/>
            </w:pPr>
            <w:r>
              <w:rPr>
                <w:rFonts w:ascii="Arial" w:cs="Arial" w:eastAsia="Arial" w:hAnsi="Arial"/>
                <w:color w:val="2C3E50"/>
                <w:sz w:val="18"/>
                <w:szCs w:val="18"/>
              </w:rPr>
              <w:t xml:space="preserve">Modèle API (facturation à l'utilisation possible)</w:t>
            </w:r>
          </w:p>
          <w:p>
            <w:pPr>
              <w:pStyle w:val="ListParagraph"/>
              <w:numPr>
                <w:ilvl w:val="0"/>
                <w:numId w:val="2"/>
              </w:numPr>
              <w:spacing w:after="20" w:before="20"/>
            </w:pPr>
            <w:r>
              <w:rPr>
                <w:rFonts w:ascii="Arial" w:cs="Arial" w:eastAsia="Arial" w:hAnsi="Arial"/>
                <w:color w:val="2C3E50"/>
                <w:sz w:val="18"/>
                <w:szCs w:val="18"/>
              </w:rPr>
              <w:t xml:space="preserve">Positionnement analytics — segment premium data</w:t>
            </w:r>
          </w:p>
        </w:tc>
        <w:tc>
          <w:tcPr>
            <w:tcW w:type="dxa" w:w="4513"/>
            <w:tcBorders>
              <w:top w:val="single" w:color="BDC3C7" w:sz="1"/>
              <w:left w:val="single" w:color="BDC3C7" w:sz="1"/>
              <w:bottom w:val="single" w:color="BDC3C7" w:sz="1"/>
              <w:right w:val="single" w:color="BDC3C7" w:sz="1"/>
            </w:tcBorders>
            <w:shd w:fill="FDECEA" w:val="clear"/>
            <w:tcMar>
              <w:top w:type="dxa" w:w="100"/>
              <w:left w:type="dxa" w:w="140"/>
              <w:bottom w:type="dxa" w:w="100"/>
              <w:right w:type="dxa" w:w="140"/>
            </w:tcMar>
          </w:tcPr>
          <w:p>
            <w:pPr>
              <w:pStyle w:val="ListParagraph"/>
              <w:numPr>
                <w:ilvl w:val="0"/>
                <w:numId w:val="2"/>
              </w:numPr>
              <w:spacing w:after="20" w:before="20"/>
            </w:pPr>
            <w:r>
              <w:rPr>
                <w:rFonts w:ascii="Arial" w:cs="Arial" w:eastAsia="Arial" w:hAnsi="Arial"/>
                <w:color w:val="2C3E50"/>
                <w:sz w:val="18"/>
                <w:szCs w:val="18"/>
              </w:rPr>
              <w:t xml:space="preserve">Vente directe aux agences et réseaux</w:t>
            </w:r>
          </w:p>
          <w:p>
            <w:pPr>
              <w:pStyle w:val="ListParagraph"/>
              <w:numPr>
                <w:ilvl w:val="0"/>
                <w:numId w:val="2"/>
              </w:numPr>
              <w:spacing w:after="20" w:before="20"/>
            </w:pPr>
            <w:r>
              <w:rPr>
                <w:rFonts w:ascii="Arial" w:cs="Arial" w:eastAsia="Arial" w:hAnsi="Arial"/>
                <w:color w:val="2C3E50"/>
                <w:sz w:val="18"/>
                <w:szCs w:val="18"/>
              </w:rPr>
              <w:t xml:space="preserve">Partenariats API avec logiciels tiers (Hektor, etc.)</w:t>
            </w:r>
          </w:p>
          <w:p>
            <w:pPr>
              <w:pStyle w:val="ListParagraph"/>
              <w:numPr>
                <w:ilvl w:val="0"/>
                <w:numId w:val="2"/>
              </w:numPr>
              <w:spacing w:after="20" w:before="20"/>
            </w:pPr>
            <w:r>
              <w:rPr>
                <w:rFonts w:ascii="Arial" w:cs="Arial" w:eastAsia="Arial" w:hAnsi="Arial"/>
                <w:color w:val="2C3E50"/>
                <w:sz w:val="18"/>
                <w:szCs w:val="18"/>
              </w:rPr>
              <w:t xml:space="preserve">Présence dans les salons et conférences Proptech</w:t>
            </w:r>
          </w:p>
          <w:p>
            <w:pPr>
              <w:pStyle w:val="ListParagraph"/>
              <w:numPr>
                <w:ilvl w:val="0"/>
                <w:numId w:val="2"/>
              </w:numPr>
              <w:spacing w:after="20" w:before="20"/>
            </w:pPr>
            <w:r>
              <w:rPr>
                <w:rFonts w:ascii="Arial" w:cs="Arial" w:eastAsia="Arial" w:hAnsi="Arial"/>
                <w:color w:val="2C3E50"/>
                <w:sz w:val="18"/>
                <w:szCs w:val="18"/>
              </w:rPr>
              <w:t xml:space="preserve">Référencement data dans les médias immobiliers</w:t>
            </w:r>
          </w:p>
        </w:tc>
      </w:tr>
    </w:tbl>
    <w:p>
      <w:pPr>
        <w:pageBreakBefore/>
      </w:pPr>
      <w:r>
        <w:t xml:space="preserve"/>
      </w:r>
    </w:p>
    <w:p>
      <w:pPr>
        <w:pStyle w:val="Heading1"/>
        <w:spacing w:after="120" w:before="360"/>
      </w:pPr>
      <w:r>
        <w:rPr>
          <w:b/>
          <w:bCs/>
          <w:color w:val="1E3A5F"/>
        </w:rPr>
        <w:t xml:space="preserve">07. Matrice Comparative</w:t>
      </w:r>
    </w:p>
    <w:p>
      <w:pPr>
        <w:pBdr>
          <w:bottom w:val="single" w:color="2E86AB" w:sz="4" w:space="1"/>
        </w:pBdr>
        <w:spacing w:after="120" w:before="60"/>
      </w:pPr>
      <w:r>
        <w:t xml:space="preserve"/>
      </w:r>
    </w:p>
    <w:p>
      <w:pPr>
        <w:spacing w:after="60" w:before="40"/>
      </w:pPr>
      <w:r>
        <w:rPr>
          <w:rFonts w:ascii="Arial" w:cs="Arial" w:eastAsia="Arial" w:hAnsi="Arial"/>
          <w:color w:val="2C3E50"/>
          <w:sz w:val="20"/>
          <w:szCs w:val="20"/>
        </w:rPr>
        <w:t xml:space="preserve">Synthèse des 5 concurrents analysés face à ImmoMatch sur les critères clés du marché.</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226"/>
      </w:tblGrid>
      <w:tr>
        <w:tc>
          <w:tcPr>
            <w:tcW w:type="dxa" w:w="1800"/>
            <w:tcBorders>
              <w:top w:val="single" w:color="BDC3C7" w:sz="1"/>
              <w:left w:val="single" w:color="BDC3C7" w:sz="1"/>
              <w:bottom w:val="single" w:color="BDC3C7" w:sz="1"/>
              <w:right w:val="single" w:color="BDC3C7" w:sz="1"/>
            </w:tcBorders>
            <w:shd w:fill="3449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Critère</w:t>
            </w:r>
          </w:p>
        </w:tc>
        <w:tc>
          <w:tcPr>
            <w:tcW w:type="dxa" w:w="1200"/>
            <w:tcBorders>
              <w:top w:val="single" w:color="BDC3C7" w:sz="1"/>
              <w:left w:val="single" w:color="BDC3C7" w:sz="1"/>
              <w:bottom w:val="single" w:color="BDC3C7" w:sz="1"/>
              <w:right w:val="single" w:color="BDC3C7" w:sz="1"/>
            </w:tcBorders>
            <w:shd w:fill="1A5276" w:val="clear"/>
            <w:tcMar>
              <w:top w:type="dxa" w:w="100"/>
              <w:left w:type="dxa" w:w="140"/>
              <w:bottom w:type="dxa" w:w="100"/>
              <w:right w:type="dxa" w:w="140"/>
            </w:tcMar>
          </w:tcPr>
          <w:p>
            <w:pPr>
              <w:jc w:val="center"/>
            </w:pPr>
            <w:r>
              <w:rPr>
                <w:rFonts w:ascii="Arial" w:cs="Arial" w:eastAsia="Arial" w:hAnsi="Arial"/>
                <w:b/>
                <w:bCs/>
                <w:color w:val="FFFFFF"/>
                <w:sz w:val="17"/>
                <w:szCs w:val="17"/>
              </w:rPr>
              <w:t xml:space="preserve">ImmoMatch</w:t>
            </w:r>
          </w:p>
        </w:tc>
        <w:tc>
          <w:tcPr>
            <w:tcW w:type="dxa" w:w="1200"/>
            <w:tcBorders>
              <w:top w:val="single" w:color="BDC3C7" w:sz="1"/>
              <w:left w:val="single" w:color="BDC3C7" w:sz="1"/>
              <w:bottom w:val="single" w:color="BDC3C7" w:sz="1"/>
              <w:right w:val="single" w:color="BDC3C7"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Hektor</w:t>
            </w:r>
          </w:p>
        </w:tc>
        <w:tc>
          <w:tcPr>
            <w:tcW w:type="dxa" w:w="1200"/>
            <w:tcBorders>
              <w:top w:val="single" w:color="BDC3C7" w:sz="1"/>
              <w:left w:val="single" w:color="BDC3C7" w:sz="1"/>
              <w:bottom w:val="single" w:color="BDC3C7" w:sz="1"/>
              <w:right w:val="single" w:color="BDC3C7"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Apimo</w:t>
            </w:r>
          </w:p>
        </w:tc>
        <w:tc>
          <w:tcPr>
            <w:tcW w:type="dxa" w:w="1200"/>
            <w:tcBorders>
              <w:top w:val="single" w:color="BDC3C7" w:sz="1"/>
              <w:left w:val="single" w:color="BDC3C7" w:sz="1"/>
              <w:bottom w:val="single" w:color="BDC3C7" w:sz="1"/>
              <w:right w:val="single" w:color="BDC3C7"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Rodacom</w:t>
            </w:r>
          </w:p>
        </w:tc>
        <w:tc>
          <w:tcPr>
            <w:tcW w:type="dxa" w:w="1200"/>
            <w:tcBorders>
              <w:top w:val="single" w:color="BDC3C7" w:sz="1"/>
              <w:left w:val="single" w:color="BDC3C7" w:sz="1"/>
              <w:bottom w:val="single" w:color="BDC3C7" w:sz="1"/>
              <w:right w:val="single" w:color="BDC3C7"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Netty/Septeo</w:t>
            </w:r>
          </w:p>
        </w:tc>
        <w:tc>
          <w:tcPr>
            <w:tcW w:type="dxa" w:w="1226"/>
            <w:tcBorders>
              <w:top w:val="single" w:color="BDC3C7" w:sz="1"/>
              <w:left w:val="single" w:color="BDC3C7" w:sz="1"/>
              <w:bottom w:val="single" w:color="BDC3C7" w:sz="1"/>
              <w:right w:val="single" w:color="BDC3C7" w:sz="1"/>
            </w:tcBorders>
            <w:shd w:fill="2E4057"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Yanport</w:t>
            </w:r>
          </w:p>
        </w:tc>
      </w:tr>
      <w:tr>
        <w:tc>
          <w:tcPr>
            <w:tcW w:type="dxa" w:w="1800"/>
            <w:tcBorders>
              <w:top w:val="single" w:color="BDC3C7" w:sz="1"/>
              <w:left w:val="single" w:color="BDC3C7" w:sz="1"/>
              <w:bottom w:val="single" w:color="BDC3C7" w:sz="1"/>
              <w:right w:val="single" w:color="BDC3C7" w:sz="1"/>
            </w:tcBorders>
            <w:shd w:fill="D5E8F0" w:val="clear"/>
            <w:tcMar>
              <w:top w:type="dxa" w:w="100"/>
              <w:left w:type="dxa" w:w="140"/>
              <w:bottom w:type="dxa" w:w="100"/>
              <w:right w:type="dxa" w:w="140"/>
            </w:tcMar>
            <w:vAlign w:val="center"/>
          </w:tcPr>
          <w:p>
            <w:r>
              <w:rPr>
                <w:rFonts w:ascii="Arial" w:cs="Arial" w:eastAsia="Arial" w:hAnsi="Arial"/>
                <w:b/>
                <w:bCs/>
                <w:color w:val="1E3A5F"/>
                <w:sz w:val="18"/>
                <w:szCs w:val="18"/>
              </w:rPr>
              <w:t xml:space="preserve">Matching IA qualitatif</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Score /100 hybride (Python + Claude)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Règles simples, pas IA</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IA partielle (non documentée)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Règles simples uniquement</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Alertes email, pas de score IA</w:t>
            </w:r>
          </w:p>
        </w:tc>
        <w:tc>
          <w:tcPr>
            <w:tcW w:type="dxa" w:w="122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Non applicable</w:t>
            </w:r>
          </w:p>
        </w:tc>
      </w:tr>
      <w:tr>
        <w:tc>
          <w:tcPr>
            <w:tcW w:type="dxa" w:w="1800"/>
            <w:tcBorders>
              <w:top w:val="single" w:color="BDC3C7" w:sz="1"/>
              <w:left w:val="single" w:color="BDC3C7" w:sz="1"/>
              <w:bottom w:val="single" w:color="BDC3C7" w:sz="1"/>
              <w:right w:val="single" w:color="BDC3C7" w:sz="1"/>
            </w:tcBorders>
            <w:shd w:fill="D5E8F0" w:val="clear"/>
            <w:tcMar>
              <w:top w:type="dxa" w:w="100"/>
              <w:left w:type="dxa" w:w="140"/>
              <w:bottom w:type="dxa" w:w="100"/>
              <w:right w:type="dxa" w:w="140"/>
            </w:tcMar>
            <w:vAlign w:val="center"/>
          </w:tcPr>
          <w:p>
            <w:r>
              <w:rPr>
                <w:rFonts w:ascii="Arial" w:cs="Arial" w:eastAsia="Arial" w:hAnsi="Arial"/>
                <w:b/>
                <w:bCs/>
                <w:color w:val="1E3A5F"/>
                <w:sz w:val="18"/>
                <w:szCs w:val="18"/>
              </w:rPr>
              <w:t xml:space="preserve">Emails personnalisés IA</w:t>
            </w:r>
          </w:p>
        </w:tc>
        <w:tc>
          <w:tcPr>
            <w:tcW w:type="dxa" w:w="12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HTML sur-mesure par paire prospect/bien</w:t>
            </w:r>
          </w:p>
        </w:tc>
        <w:tc>
          <w:tcPr>
            <w:tcW w:type="dxa" w:w="12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Non</w:t>
            </w:r>
          </w:p>
        </w:tc>
        <w:tc>
          <w:tcPr>
            <w:tcW w:type="dxa" w:w="12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Non</w:t>
            </w:r>
          </w:p>
        </w:tc>
        <w:tc>
          <w:tcPr>
            <w:tcW w:type="dxa" w:w="12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Templates fixes</w:t>
            </w:r>
          </w:p>
        </w:tc>
        <w:tc>
          <w:tcPr>
            <w:tcW w:type="dxa" w:w="12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Non</w:t>
            </w:r>
          </w:p>
        </w:tc>
        <w:tc>
          <w:tcPr>
            <w:tcW w:type="dxa" w:w="1226"/>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Arguments de prospection</w:t>
            </w:r>
          </w:p>
        </w:tc>
      </w:tr>
      <w:tr>
        <w:tc>
          <w:tcPr>
            <w:tcW w:type="dxa" w:w="1800"/>
            <w:tcBorders>
              <w:top w:val="single" w:color="BDC3C7" w:sz="1"/>
              <w:left w:val="single" w:color="BDC3C7" w:sz="1"/>
              <w:bottom w:val="single" w:color="BDC3C7" w:sz="1"/>
              <w:right w:val="single" w:color="BDC3C7" w:sz="1"/>
            </w:tcBorders>
            <w:shd w:fill="D5E8F0" w:val="clear"/>
            <w:tcMar>
              <w:top w:type="dxa" w:w="100"/>
              <w:left w:type="dxa" w:w="140"/>
              <w:bottom w:type="dxa" w:w="100"/>
              <w:right w:type="dxa" w:w="140"/>
            </w:tcMar>
            <w:vAlign w:val="center"/>
          </w:tcPr>
          <w:p>
            <w:r>
              <w:rPr>
                <w:rFonts w:ascii="Arial" w:cs="Arial" w:eastAsia="Arial" w:hAnsi="Arial"/>
                <w:b/>
                <w:bCs/>
                <w:color w:val="1E3A5F"/>
                <w:sz w:val="18"/>
                <w:szCs w:val="18"/>
              </w:rPr>
              <w:t xml:space="preserve">Intégration Hektor native</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Sync FTP automatique toutes 6h</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Produit natif Hektor</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Non documenté</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Non documenté</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Non documenté</w:t>
            </w:r>
          </w:p>
        </w:tc>
        <w:tc>
          <w:tcPr>
            <w:tcW w:type="dxa" w:w="122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Via API possible</w:t>
            </w:r>
          </w:p>
        </w:tc>
      </w:tr>
      <w:tr>
        <w:tc>
          <w:tcPr>
            <w:tcW w:type="dxa" w:w="1800"/>
            <w:tcBorders>
              <w:top w:val="single" w:color="BDC3C7" w:sz="1"/>
              <w:left w:val="single" w:color="BDC3C7" w:sz="1"/>
              <w:bottom w:val="single" w:color="BDC3C7" w:sz="1"/>
              <w:right w:val="single" w:color="BDC3C7" w:sz="1"/>
            </w:tcBorders>
            <w:shd w:fill="D5E8F0" w:val="clear"/>
            <w:tcMar>
              <w:top w:type="dxa" w:w="100"/>
              <w:left w:type="dxa" w:w="140"/>
              <w:bottom w:type="dxa" w:w="100"/>
              <w:right w:type="dxa" w:w="140"/>
            </w:tcMar>
            <w:vAlign w:val="center"/>
          </w:tcPr>
          <w:p>
            <w:r>
              <w:rPr>
                <w:rFonts w:ascii="Arial" w:cs="Arial" w:eastAsia="Arial" w:hAnsi="Arial"/>
                <w:b/>
                <w:bCs/>
                <w:color w:val="1E3A5F"/>
                <w:sz w:val="18"/>
                <w:szCs w:val="18"/>
              </w:rPr>
              <w:t xml:space="preserve">Agent IA conversationnel</w:t>
            </w:r>
          </w:p>
        </w:tc>
        <w:tc>
          <w:tcPr>
            <w:tcW w:type="dxa" w:w="12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Questions en langage naturel sur le portfolio</w:t>
            </w:r>
          </w:p>
        </w:tc>
        <w:tc>
          <w:tcPr>
            <w:tcW w:type="dxa" w:w="12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Hektor Voice (tâches)</w:t>
            </w:r>
          </w:p>
        </w:tc>
        <w:tc>
          <w:tcPr>
            <w:tcW w:type="dxa" w:w="12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Non</w:t>
            </w:r>
          </w:p>
        </w:tc>
        <w:tc>
          <w:tcPr>
            <w:tcW w:type="dxa" w:w="12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Non</w:t>
            </w:r>
          </w:p>
        </w:tc>
        <w:tc>
          <w:tcPr>
            <w:tcW w:type="dxa" w:w="12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Non</w:t>
            </w:r>
          </w:p>
        </w:tc>
        <w:tc>
          <w:tcPr>
            <w:tcW w:type="dxa" w:w="1226"/>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IA data/estimation</w:t>
            </w:r>
          </w:p>
        </w:tc>
      </w:tr>
      <w:tr>
        <w:tc>
          <w:tcPr>
            <w:tcW w:type="dxa" w:w="1800"/>
            <w:tcBorders>
              <w:top w:val="single" w:color="BDC3C7" w:sz="1"/>
              <w:left w:val="single" w:color="BDC3C7" w:sz="1"/>
              <w:bottom w:val="single" w:color="BDC3C7" w:sz="1"/>
              <w:right w:val="single" w:color="BDC3C7" w:sz="1"/>
            </w:tcBorders>
            <w:shd w:fill="D5E8F0" w:val="clear"/>
            <w:tcMar>
              <w:top w:type="dxa" w:w="100"/>
              <w:left w:type="dxa" w:w="140"/>
              <w:bottom w:type="dxa" w:w="100"/>
              <w:right w:type="dxa" w:w="140"/>
            </w:tcMar>
            <w:vAlign w:val="center"/>
          </w:tcPr>
          <w:p>
            <w:r>
              <w:rPr>
                <w:rFonts w:ascii="Arial" w:cs="Arial" w:eastAsia="Arial" w:hAnsi="Arial"/>
                <w:b/>
                <w:bCs/>
                <w:color w:val="1E3A5F"/>
                <w:sz w:val="18"/>
                <w:szCs w:val="18"/>
              </w:rPr>
              <w:t xml:space="preserve">Calibration IA (feedback)</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Boucle d'apprentissage par agent</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Non</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Non</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Non</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Non</w:t>
            </w:r>
          </w:p>
        </w:tc>
        <w:tc>
          <w:tcPr>
            <w:tcW w:type="dxa" w:w="122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Non</w:t>
            </w:r>
          </w:p>
        </w:tc>
      </w:tr>
      <w:tr>
        <w:tc>
          <w:tcPr>
            <w:tcW w:type="dxa" w:w="1800"/>
            <w:tcBorders>
              <w:top w:val="single" w:color="BDC3C7" w:sz="1"/>
              <w:left w:val="single" w:color="BDC3C7" w:sz="1"/>
              <w:bottom w:val="single" w:color="BDC3C7" w:sz="1"/>
              <w:right w:val="single" w:color="BDC3C7" w:sz="1"/>
            </w:tcBorders>
            <w:shd w:fill="D5E8F0" w:val="clear"/>
            <w:tcMar>
              <w:top w:type="dxa" w:w="100"/>
              <w:left w:type="dxa" w:w="140"/>
              <w:bottom w:type="dxa" w:w="100"/>
              <w:right w:type="dxa" w:w="140"/>
            </w:tcMar>
            <w:vAlign w:val="center"/>
          </w:tcPr>
          <w:p>
            <w:r>
              <w:rPr>
                <w:rFonts w:ascii="Arial" w:cs="Arial" w:eastAsia="Arial" w:hAnsi="Arial"/>
                <w:b/>
                <w:bCs/>
                <w:color w:val="1E3A5F"/>
                <w:sz w:val="18"/>
                <w:szCs w:val="18"/>
              </w:rPr>
              <w:t xml:space="preserve">Tarif d'entrée estimé</w:t>
            </w:r>
          </w:p>
        </w:tc>
        <w:tc>
          <w:tcPr>
            <w:tcW w:type="dxa" w:w="12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Sur devis — 3 plans (Starter/Pro/Multi)</w:t>
            </w:r>
          </w:p>
        </w:tc>
        <w:tc>
          <w:tcPr>
            <w:tcW w:type="dxa" w:w="12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~70-150 €/mois</w:t>
            </w:r>
          </w:p>
        </w:tc>
        <w:tc>
          <w:tcPr>
            <w:tcW w:type="dxa" w:w="12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Sur devis (essai 7j gratuit)</w:t>
            </w:r>
          </w:p>
        </w:tc>
        <w:tc>
          <w:tcPr>
            <w:tcW w:type="dxa" w:w="12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Dès 39 €/mois</w:t>
            </w:r>
          </w:p>
        </w:tc>
        <w:tc>
          <w:tcPr>
            <w:tcW w:type="dxa" w:w="12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~89-119 €/mois</w:t>
            </w:r>
          </w:p>
        </w:tc>
        <w:tc>
          <w:tcPr>
            <w:tcW w:type="dxa" w:w="1226"/>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Sur devis (API)</w:t>
            </w:r>
          </w:p>
        </w:tc>
      </w:tr>
      <w:tr>
        <w:tc>
          <w:tcPr>
            <w:tcW w:type="dxa" w:w="1800"/>
            <w:tcBorders>
              <w:top w:val="single" w:color="BDC3C7" w:sz="1"/>
              <w:left w:val="single" w:color="BDC3C7" w:sz="1"/>
              <w:bottom w:val="single" w:color="BDC3C7" w:sz="1"/>
              <w:right w:val="single" w:color="BDC3C7" w:sz="1"/>
            </w:tcBorders>
            <w:shd w:fill="D5E8F0" w:val="clear"/>
            <w:tcMar>
              <w:top w:type="dxa" w:w="100"/>
              <w:left w:type="dxa" w:w="140"/>
              <w:bottom w:type="dxa" w:w="100"/>
              <w:right w:type="dxa" w:w="140"/>
            </w:tcMar>
            <w:vAlign w:val="center"/>
          </w:tcPr>
          <w:p>
            <w:r>
              <w:rPr>
                <w:rFonts w:ascii="Arial" w:cs="Arial" w:eastAsia="Arial" w:hAnsi="Arial"/>
                <w:b/>
                <w:bCs/>
                <w:color w:val="1E3A5F"/>
                <w:sz w:val="18"/>
                <w:szCs w:val="18"/>
              </w:rPr>
              <w:t xml:space="preserve">Cible principale</w:t>
            </w:r>
          </w:p>
        </w:tc>
        <w:tc>
          <w:tcPr>
            <w:tcW w:type="dxa" w:w="12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3-30 agents, 50+ biens, 30+ prospects</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Toute agence indépendante</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Agences trad. et réseaux</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Petites agences budget serré</w:t>
            </w:r>
          </w:p>
        </w:tc>
        <w:tc>
          <w:tcPr>
            <w:tcW w:type="dxa" w:w="1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Agences moyen/grand format</w:t>
            </w:r>
          </w:p>
        </w:tc>
        <w:tc>
          <w:tcPr>
            <w:tcW w:type="dxa" w:w="122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Pros cherchant data IA</w:t>
            </w:r>
          </w:p>
        </w:tc>
      </w:tr>
      <w:tr>
        <w:tc>
          <w:tcPr>
            <w:tcW w:type="dxa" w:w="1800"/>
            <w:tcBorders>
              <w:top w:val="single" w:color="BDC3C7" w:sz="1"/>
              <w:left w:val="single" w:color="BDC3C7" w:sz="1"/>
              <w:bottom w:val="single" w:color="BDC3C7" w:sz="1"/>
              <w:right w:val="single" w:color="BDC3C7" w:sz="1"/>
            </w:tcBorders>
            <w:shd w:fill="D5E8F0" w:val="clear"/>
            <w:tcMar>
              <w:top w:type="dxa" w:w="100"/>
              <w:left w:type="dxa" w:w="140"/>
              <w:bottom w:type="dxa" w:w="100"/>
              <w:right w:type="dxa" w:w="140"/>
            </w:tcMar>
            <w:vAlign w:val="center"/>
          </w:tcPr>
          <w:p>
            <w:r>
              <w:rPr>
                <w:rFonts w:ascii="Arial" w:cs="Arial" w:eastAsia="Arial" w:hAnsi="Arial"/>
                <w:b/>
                <w:bCs/>
                <w:color w:val="1E3A5F"/>
                <w:sz w:val="18"/>
                <w:szCs w:val="18"/>
              </w:rPr>
              <w:t xml:space="preserve">Niveau de menace</w:t>
            </w:r>
          </w:p>
        </w:tc>
        <w:tc>
          <w:tcPr>
            <w:tcW w:type="dxa" w:w="12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vAlign w:val="top"/>
          </w:tcPr>
          <w:p>
            <w:pPr>
              <w:jc w:val="center"/>
            </w:pPr>
            <w:r>
              <w:rPr>
                <w:rFonts w:ascii="Arial" w:cs="Arial" w:eastAsia="Arial" w:hAnsi="Arial"/>
                <w:color w:val="2C3E50"/>
                <w:sz w:val="17"/>
                <w:szCs w:val="17"/>
              </w:rPr>
              <w:t xml:space="preserve">—</w:t>
            </w:r>
          </w:p>
        </w:tc>
        <w:tc>
          <w:tcPr>
            <w:tcW w:type="dxa" w:w="1200"/>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ELEVEE</w:t>
            </w:r>
          </w:p>
        </w:tc>
        <w:tc>
          <w:tcPr>
            <w:tcW w:type="dxa" w:w="1200"/>
            <w:tcBorders>
              <w:top w:val="single" w:color="BDC3C7" w:sz="1"/>
              <w:left w:val="single" w:color="BDC3C7" w:sz="1"/>
              <w:bottom w:val="single" w:color="BDC3C7" w:sz="1"/>
              <w:right w:val="single" w:color="BDC3C7" w:sz="1"/>
            </w:tcBorders>
            <w:shd w:fill="E67E2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MOYENNE</w:t>
            </w:r>
          </w:p>
        </w:tc>
        <w:tc>
          <w:tcPr>
            <w:tcW w:type="dxa" w:w="1200"/>
            <w:tcBorders>
              <w:top w:val="single" w:color="BDC3C7" w:sz="1"/>
              <w:left w:val="single" w:color="BDC3C7" w:sz="1"/>
              <w:bottom w:val="single" w:color="BDC3C7" w:sz="1"/>
              <w:right w:val="single" w:color="BDC3C7"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FAIBLE</w:t>
            </w:r>
          </w:p>
        </w:tc>
        <w:tc>
          <w:tcPr>
            <w:tcW w:type="dxa" w:w="1200"/>
            <w:tcBorders>
              <w:top w:val="single" w:color="BDC3C7" w:sz="1"/>
              <w:left w:val="single" w:color="BDC3C7" w:sz="1"/>
              <w:bottom w:val="single" w:color="BDC3C7" w:sz="1"/>
              <w:right w:val="single" w:color="BDC3C7" w:sz="1"/>
            </w:tcBorders>
            <w:shd w:fill="E67E2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MOYENNE</w:t>
            </w:r>
          </w:p>
        </w:tc>
        <w:tc>
          <w:tcPr>
            <w:tcW w:type="dxa" w:w="1226"/>
            <w:tcBorders>
              <w:top w:val="single" w:color="BDC3C7" w:sz="1"/>
              <w:left w:val="single" w:color="BDC3C7" w:sz="1"/>
              <w:bottom w:val="single" w:color="BDC3C7" w:sz="1"/>
              <w:right w:val="single" w:color="BDC3C7" w:sz="1"/>
            </w:tcBorders>
            <w:shd w:fill="27AE6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FAIBLE</w:t>
            </w:r>
          </w:p>
        </w:tc>
      </w:tr>
    </w:tbl>
    <w:p>
      <w:pPr>
        <w:pageBreakBefore/>
      </w:pPr>
      <w:r>
        <w:t xml:space="preserve"/>
      </w:r>
    </w:p>
    <w:p>
      <w:pPr>
        <w:pStyle w:val="Heading1"/>
        <w:spacing w:after="120" w:before="360"/>
      </w:pPr>
      <w:r>
        <w:rPr>
          <w:b/>
          <w:bCs/>
          <w:color w:val="1E3A5F"/>
        </w:rPr>
        <w:t xml:space="preserve">08. Opportunités &amp; Recommandations</w:t>
      </w:r>
    </w:p>
    <w:p>
      <w:pPr>
        <w:pBdr>
          <w:bottom w:val="single" w:color="2E86AB" w:sz="4" w:space="1"/>
        </w:pBdr>
        <w:spacing w:after="120" w:before="60"/>
      </w:pPr>
      <w:r>
        <w:t xml:space="preserve"/>
      </w:r>
    </w:p>
    <w:p>
      <w:pPr>
        <w:spacing w:after="60" w:before="40"/>
      </w:pPr>
      <w:r>
        <w:rPr>
          <w:rFonts w:ascii="Arial" w:cs="Arial" w:eastAsia="Arial" w:hAnsi="Arial"/>
          <w:color w:val="2C3E50"/>
          <w:sz w:val="20"/>
          <w:szCs w:val="20"/>
        </w:rPr>
        <w:t xml:space="preserve">Synthèse stratégique issue de l'analyse concurrentielle — actions prioritaires pour ImmoMatch.</w:t>
      </w:r>
    </w:p>
    <w:p>
      <w:pPr>
        <w:spacing w:after="0" w:before="100"/>
      </w:pPr>
      <w:r>
        <w:t xml:space="preserve"/>
      </w:r>
    </w:p>
    <w:p>
      <w:pPr>
        <w:pStyle w:val="Heading2"/>
        <w:spacing w:after="80" w:before="240"/>
      </w:pPr>
      <w:r>
        <w:rPr>
          <w:b/>
          <w:bCs/>
          <w:color w:val="2E86AB"/>
        </w:rPr>
        <w:t xml:space="preserve">Avantages compétitifs à protéger</w:t>
      </w:r>
    </w:p>
    <w:p>
      <w:pPr>
        <w:pStyle w:val="ListParagraph"/>
        <w:numPr>
          <w:ilvl w:val="0"/>
          <w:numId w:val="2"/>
        </w:numPr>
        <w:spacing w:after="30" w:before="30"/>
      </w:pPr>
      <w:r>
        <w:rPr>
          <w:rFonts w:ascii="Arial" w:cs="Arial" w:eastAsia="Arial" w:hAnsi="Arial"/>
          <w:color w:val="2C3E50"/>
          <w:sz w:val="20"/>
          <w:szCs w:val="20"/>
        </w:rPr>
        <w:t xml:space="preserve">Le scoring IA qualitatif /40 propulsé par Claude est l'avantage le plus difficile à répliquer pour Hektor ou Apimo. Il doit rester le coeur de la proposition de valeur et être cité en priorité dans tous les discours commerciaux.</w:t>
      </w:r>
    </w:p>
    <w:p>
      <w:pPr>
        <w:pStyle w:val="ListParagraph"/>
        <w:numPr>
          <w:ilvl w:val="0"/>
          <w:numId w:val="2"/>
        </w:numPr>
        <w:spacing w:after="30" w:before="30"/>
      </w:pPr>
      <w:r>
        <w:rPr>
          <w:rFonts w:ascii="Arial" w:cs="Arial" w:eastAsia="Arial" w:hAnsi="Arial"/>
          <w:color w:val="2C3E50"/>
          <w:sz w:val="20"/>
          <w:szCs w:val="20"/>
        </w:rPr>
        <w:t xml:space="preserve">La boucle de calibration (feedback des agents améliorant les scores) est un avantage de data moat : plus ImmoMatch est utilisé, meilleur il devient. Valorisez cet effet réseau interne dans les démonstrations.</w:t>
      </w:r>
    </w:p>
    <w:p>
      <w:pPr>
        <w:pStyle w:val="ListParagraph"/>
        <w:numPr>
          <w:ilvl w:val="0"/>
          <w:numId w:val="2"/>
        </w:numPr>
        <w:spacing w:after="30" w:before="30"/>
      </w:pPr>
      <w:r>
        <w:rPr>
          <w:rFonts w:ascii="Arial" w:cs="Arial" w:eastAsia="Arial" w:hAnsi="Arial"/>
          <w:color w:val="2C3E50"/>
          <w:sz w:val="20"/>
          <w:szCs w:val="20"/>
        </w:rPr>
        <w:t xml:space="preserve">La synchronisation FTP Hektor native est un différenciateur fort pour les 8 500+ agences Hektor. C'est la principale porte d'entrée commerciale — exploitez-la systématiquement.</w:t>
      </w:r>
    </w:p>
    <w:p>
      <w:pPr>
        <w:spacing w:after="0" w:before="80"/>
      </w:pPr>
      <w:r>
        <w:t xml:space="preserve"/>
      </w:r>
    </w:p>
    <w:p>
      <w:pPr>
        <w:pStyle w:val="Heading2"/>
        <w:spacing w:after="80" w:before="240"/>
      </w:pPr>
      <w:r>
        <w:rPr>
          <w:b/>
          <w:bCs/>
          <w:color w:val="2E86AB"/>
        </w:rPr>
        <w:t xml:space="preserve">Zones de vulnérabilité</w:t>
      </w:r>
    </w:p>
    <w:p>
      <w:pPr>
        <w:pStyle w:val="ListParagraph"/>
        <w:numPr>
          <w:ilvl w:val="0"/>
          <w:numId w:val="2"/>
        </w:numPr>
        <w:spacing w:after="30" w:before="30"/>
      </w:pPr>
      <w:r>
        <w:rPr>
          <w:rFonts w:ascii="Arial" w:cs="Arial" w:eastAsia="Arial" w:hAnsi="Arial"/>
          <w:color w:val="2C3E50"/>
          <w:sz w:val="20"/>
          <w:szCs w:val="20"/>
        </w:rPr>
        <w:t xml:space="preserve">Hektor pourrait intégrer un scoring IA plus poussé dans une prochaine version — surveiller les annonces produit et maintenir une avance algorithmique.</w:t>
      </w:r>
    </w:p>
    <w:p>
      <w:pPr>
        <w:pStyle w:val="ListParagraph"/>
        <w:numPr>
          <w:ilvl w:val="0"/>
          <w:numId w:val="2"/>
        </w:numPr>
        <w:spacing w:after="30" w:before="30"/>
      </w:pPr>
      <w:r>
        <w:rPr>
          <w:rFonts w:ascii="Arial" w:cs="Arial" w:eastAsia="Arial" w:hAnsi="Arial"/>
          <w:color w:val="2C3E50"/>
          <w:sz w:val="20"/>
          <w:szCs w:val="20"/>
        </w:rPr>
        <w:t xml:space="preserve">Apimo développe ses outils IA activement. Si leur matching IA devient documenté et comparable, la différenciation devra reposer davantage sur la personnalisation des emails et l'agent conversationnel.</w:t>
      </w:r>
    </w:p>
    <w:p>
      <w:pPr>
        <w:pStyle w:val="ListParagraph"/>
        <w:numPr>
          <w:ilvl w:val="0"/>
          <w:numId w:val="2"/>
        </w:numPr>
        <w:spacing w:after="30" w:before="30"/>
      </w:pPr>
      <w:r>
        <w:rPr>
          <w:rFonts w:ascii="Arial" w:cs="Arial" w:eastAsia="Arial" w:hAnsi="Arial"/>
          <w:color w:val="2C3E50"/>
          <w:sz w:val="20"/>
          <w:szCs w:val="20"/>
        </w:rPr>
        <w:t xml:space="preserve">Le tarif doit rester clairement justifié par le ROI (5-8h/agent/semaine) — une concurrence par le prix avec Rodacom (39 €/mois) est impossible et doit être évitée.</w:t>
      </w:r>
    </w:p>
    <w:p>
      <w:pPr>
        <w:spacing w:after="0" w:before="80"/>
      </w:pPr>
      <w:r>
        <w:t xml:space="preserve"/>
      </w:r>
    </w:p>
    <w:p>
      <w:pPr>
        <w:pStyle w:val="Heading2"/>
        <w:spacing w:after="80" w:before="240"/>
      </w:pPr>
      <w:r>
        <w:rPr>
          <w:b/>
          <w:bCs/>
          <w:color w:val="2E86AB"/>
        </w:rPr>
        <w:t xml:space="preserve">Opportunités à saisir</w:t>
      </w:r>
    </w:p>
    <w:p>
      <w:pPr>
        <w:pStyle w:val="ListParagraph"/>
        <w:numPr>
          <w:ilvl w:val="0"/>
          <w:numId w:val="2"/>
        </w:numPr>
        <w:spacing w:after="30" w:before="30"/>
      </w:pPr>
      <w:r>
        <w:rPr>
          <w:rFonts w:ascii="Arial" w:cs="Arial" w:eastAsia="Arial" w:hAnsi="Arial"/>
          <w:color w:val="2C3E50"/>
          <w:sz w:val="20"/>
          <w:szCs w:val="20"/>
        </w:rPr>
        <w:t xml:space="preserve">Agences Hektor non équipées d'IA : le segment naturel le plus accessible. Un partenariat commercial avec La Boîte Immo (listing marketplace, co-marketing) réduirait les coûts d'acquisition client.</w:t>
      </w:r>
    </w:p>
    <w:p>
      <w:pPr>
        <w:pStyle w:val="ListParagraph"/>
        <w:numPr>
          <w:ilvl w:val="0"/>
          <w:numId w:val="2"/>
        </w:numPr>
        <w:spacing w:after="30" w:before="30"/>
      </w:pPr>
      <w:r>
        <w:rPr>
          <w:rFonts w:ascii="Arial" w:cs="Arial" w:eastAsia="Arial" w:hAnsi="Arial"/>
          <w:color w:val="2C3E50"/>
          <w:sz w:val="20"/>
          <w:szCs w:val="20"/>
        </w:rPr>
        <w:t xml:space="preserve">Yanport est complémentaire, pas concurrent. Un partenariat API Yanport + ImmoMatch (matching enrichi avec données de marché) créerait une offre unique et différenciante.</w:t>
      </w:r>
    </w:p>
    <w:p>
      <w:pPr>
        <w:pStyle w:val="ListParagraph"/>
        <w:numPr>
          <w:ilvl w:val="0"/>
          <w:numId w:val="2"/>
        </w:numPr>
        <w:spacing w:after="30" w:before="30"/>
      </w:pPr>
      <w:r>
        <w:rPr>
          <w:rFonts w:ascii="Arial" w:cs="Arial" w:eastAsia="Arial" w:hAnsi="Arial"/>
          <w:color w:val="2C3E50"/>
          <w:sz w:val="20"/>
          <w:szCs w:val="20"/>
        </w:rPr>
        <w:t xml:space="preserve">Plan Multi-agences : Néo Sphère et Netty montrent que les réseaux régionaux sont demandeurs d'une solution centralisée. ImmoMatch doit accélérer sur ce segment avec des cas clients démontrés.</w:t>
      </w:r>
    </w:p>
    <w:p>
      <w:pPr>
        <w:pStyle w:val="ListParagraph"/>
        <w:numPr>
          <w:ilvl w:val="0"/>
          <w:numId w:val="2"/>
        </w:numPr>
        <w:spacing w:after="30" w:before="30"/>
      </w:pPr>
      <w:r>
        <w:rPr>
          <w:rFonts w:ascii="Arial" w:cs="Arial" w:eastAsia="Arial" w:hAnsi="Arial"/>
          <w:color w:val="2C3E50"/>
          <w:sz w:val="20"/>
          <w:szCs w:val="20"/>
        </w:rPr>
        <w:t xml:space="preserve">L'objection 'on a déjà un CRM' est l'objection #2 la plus fréquente selon le guide de vente : positionner ImmoMatch explicitement comme une couche IA complémentaire aux CRM existants, pas un remplaçant.</w:t>
      </w:r>
    </w:p>
    <w:p>
      <w:pPr>
        <w:spacing w:after="0" w:before="80"/>
      </w:pPr>
      <w:r>
        <w:t xml:space="preserve"/>
      </w:r>
    </w:p>
    <w:p>
      <w:pPr>
        <w:pStyle w:val="Heading2"/>
        <w:spacing w:after="80" w:before="240"/>
      </w:pPr>
      <w:r>
        <w:rPr>
          <w:b/>
          <w:bCs/>
          <w:color w:val="2E86AB"/>
        </w:rPr>
        <w:t xml:space="preserve">Recommandations immédiates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526"/>
        <w:gridCol w:w="1500"/>
        <w:gridCol w:w="1500"/>
      </w:tblGrid>
      <w:tr>
        <w:tc>
          <w:tcPr>
            <w:tcW w:type="dxa" w:w="500"/>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5526"/>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 recommandée</w:t>
            </w:r>
          </w:p>
        </w:tc>
        <w:tc>
          <w:tcPr>
            <w:tcW w:type="dxa" w:w="1500"/>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Priorité</w:t>
            </w:r>
          </w:p>
        </w:tc>
        <w:tc>
          <w:tcPr>
            <w:tcW w:type="dxa" w:w="1500"/>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Horizon</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center"/>
            </w:pPr>
            <w:r>
              <w:rPr>
                <w:rFonts w:ascii="Arial" w:cs="Arial" w:eastAsia="Arial" w:hAnsi="Arial"/>
                <w:color w:val="2C3E50"/>
                <w:sz w:val="17"/>
                <w:szCs w:val="17"/>
              </w:rPr>
              <w:t xml:space="preserve">1</w:t>
            </w:r>
          </w:p>
        </w:tc>
        <w:tc>
          <w:tcPr>
            <w:tcW w:type="dxa" w:w="552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Créer un cas client chiffré avec Saint François Immobilier (temps économisé, ventes déclenchées par matching IA) — l'arme #1 en démo</w:t>
            </w:r>
          </w:p>
        </w:tc>
        <w:tc>
          <w:tcPr>
            <w:tcW w:type="dxa" w:w="1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center"/>
            </w:pPr>
            <w:r>
              <w:rPr>
                <w:rFonts w:ascii="Arial" w:cs="Arial" w:eastAsia="Arial" w:hAnsi="Arial"/>
                <w:b/>
                <w:bCs/>
                <w:color w:val="C0392B"/>
                <w:sz w:val="17"/>
                <w:szCs w:val="17"/>
              </w:rPr>
              <w:t xml:space="preserve">HAUTE</w:t>
            </w:r>
          </w:p>
        </w:tc>
        <w:tc>
          <w:tcPr>
            <w:tcW w:type="dxa" w:w="1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center"/>
            </w:pPr>
            <w:r>
              <w:rPr>
                <w:rFonts w:ascii="Arial" w:cs="Arial" w:eastAsia="Arial" w:hAnsi="Arial"/>
                <w:color w:val="2C3E50"/>
                <w:sz w:val="17"/>
                <w:szCs w:val="17"/>
              </w:rPr>
              <w:t xml:space="preserve">Court terme</w:t>
            </w:r>
          </w:p>
        </w:tc>
      </w:tr>
      <w:tr>
        <w:tc>
          <w:tcPr>
            <w:tcW w:type="dxa" w:w="5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center"/>
            </w:pPr>
            <w:r>
              <w:rPr>
                <w:rFonts w:ascii="Arial" w:cs="Arial" w:eastAsia="Arial" w:hAnsi="Arial"/>
                <w:color w:val="2C3E50"/>
                <w:sz w:val="17"/>
                <w:szCs w:val="17"/>
              </w:rPr>
              <w:t xml:space="preserve">2</w:t>
            </w:r>
          </w:p>
        </w:tc>
        <w:tc>
          <w:tcPr>
            <w:tcW w:type="dxa" w:w="5526"/>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Documenter le benchmark matching ImmoMatch vs Hektor sur un jeu de données réel (précision des scores, emails ouverts)</w:t>
            </w:r>
          </w:p>
        </w:tc>
        <w:tc>
          <w:tcPr>
            <w:tcW w:type="dxa" w:w="15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tcPr>
          <w:p>
            <w:pPr>
              <w:jc w:val="center"/>
            </w:pPr>
            <w:r>
              <w:rPr>
                <w:rFonts w:ascii="Arial" w:cs="Arial" w:eastAsia="Arial" w:hAnsi="Arial"/>
                <w:b/>
                <w:bCs/>
                <w:color w:val="C0392B"/>
                <w:sz w:val="17"/>
                <w:szCs w:val="17"/>
              </w:rPr>
              <w:t xml:space="preserve">HAUTE</w:t>
            </w:r>
          </w:p>
        </w:tc>
        <w:tc>
          <w:tcPr>
            <w:tcW w:type="dxa" w:w="15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center"/>
            </w:pPr>
            <w:r>
              <w:rPr>
                <w:rFonts w:ascii="Arial" w:cs="Arial" w:eastAsia="Arial" w:hAnsi="Arial"/>
                <w:color w:val="2C3E50"/>
                <w:sz w:val="17"/>
                <w:szCs w:val="17"/>
              </w:rPr>
              <w:t xml:space="preserve">Court terme</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center"/>
            </w:pPr>
            <w:r>
              <w:rPr>
                <w:rFonts w:ascii="Arial" w:cs="Arial" w:eastAsia="Arial" w:hAnsi="Arial"/>
                <w:color w:val="2C3E50"/>
                <w:sz w:val="17"/>
                <w:szCs w:val="17"/>
              </w:rPr>
              <w:t xml:space="preserve">3</w:t>
            </w:r>
          </w:p>
        </w:tc>
        <w:tc>
          <w:tcPr>
            <w:tcW w:type="dxa" w:w="552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Contacter La Boîte Immo pour explorer un partenariat marketplace / intégration listée dans leur écosystème</w:t>
            </w:r>
          </w:p>
        </w:tc>
        <w:tc>
          <w:tcPr>
            <w:tcW w:type="dxa" w:w="1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center"/>
            </w:pPr>
            <w:r>
              <w:rPr>
                <w:rFonts w:ascii="Arial" w:cs="Arial" w:eastAsia="Arial" w:hAnsi="Arial"/>
                <w:b/>
                <w:bCs/>
                <w:color w:val="C0392B"/>
                <w:sz w:val="17"/>
                <w:szCs w:val="17"/>
              </w:rPr>
              <w:t xml:space="preserve">HAUTE</w:t>
            </w:r>
          </w:p>
        </w:tc>
        <w:tc>
          <w:tcPr>
            <w:tcW w:type="dxa" w:w="1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center"/>
            </w:pPr>
            <w:r>
              <w:rPr>
                <w:rFonts w:ascii="Arial" w:cs="Arial" w:eastAsia="Arial" w:hAnsi="Arial"/>
                <w:color w:val="2C3E50"/>
                <w:sz w:val="17"/>
                <w:szCs w:val="17"/>
              </w:rPr>
              <w:t xml:space="preserve">Moyen terme</w:t>
            </w:r>
          </w:p>
        </w:tc>
      </w:tr>
      <w:tr>
        <w:tc>
          <w:tcPr>
            <w:tcW w:type="dxa" w:w="5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center"/>
            </w:pPr>
            <w:r>
              <w:rPr>
                <w:rFonts w:ascii="Arial" w:cs="Arial" w:eastAsia="Arial" w:hAnsi="Arial"/>
                <w:color w:val="2C3E50"/>
                <w:sz w:val="17"/>
                <w:szCs w:val="17"/>
              </w:rPr>
              <w:t xml:space="preserve">4</w:t>
            </w:r>
          </w:p>
        </w:tc>
        <w:tc>
          <w:tcPr>
            <w:tcW w:type="dxa" w:w="5526"/>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Préparer un brief de positionnement anti-Hektor clair pour l'équipe commerciale (coexister, pas s'opposer)</w:t>
            </w:r>
          </w:p>
        </w:tc>
        <w:tc>
          <w:tcPr>
            <w:tcW w:type="dxa" w:w="15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tcPr>
          <w:p>
            <w:pPr>
              <w:jc w:val="center"/>
            </w:pPr>
            <w:r>
              <w:rPr>
                <w:rFonts w:ascii="Arial" w:cs="Arial" w:eastAsia="Arial" w:hAnsi="Arial"/>
                <w:b/>
                <w:bCs/>
                <w:color w:val="E67E22"/>
                <w:sz w:val="17"/>
                <w:szCs w:val="17"/>
              </w:rPr>
              <w:t xml:space="preserve">MOYENNE</w:t>
            </w:r>
          </w:p>
        </w:tc>
        <w:tc>
          <w:tcPr>
            <w:tcW w:type="dxa" w:w="15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center"/>
            </w:pPr>
            <w:r>
              <w:rPr>
                <w:rFonts w:ascii="Arial" w:cs="Arial" w:eastAsia="Arial" w:hAnsi="Arial"/>
                <w:color w:val="2C3E50"/>
                <w:sz w:val="17"/>
                <w:szCs w:val="17"/>
              </w:rPr>
              <w:t xml:space="preserve">Court terme</w:t>
            </w:r>
          </w:p>
        </w:tc>
      </w:tr>
      <w:tr>
        <w:tc>
          <w:tcPr>
            <w:tcW w:type="dxa" w:w="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center"/>
            </w:pPr>
            <w:r>
              <w:rPr>
                <w:rFonts w:ascii="Arial" w:cs="Arial" w:eastAsia="Arial" w:hAnsi="Arial"/>
                <w:color w:val="2C3E50"/>
                <w:sz w:val="17"/>
                <w:szCs w:val="17"/>
              </w:rPr>
              <w:t xml:space="preserve">5</w:t>
            </w:r>
          </w:p>
        </w:tc>
        <w:tc>
          <w:tcPr>
            <w:tcW w:type="dxa" w:w="5526"/>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Explorer un partenariat data avec Yanport pour enrichir le score qualitatif avec des données de marché locales</w:t>
            </w:r>
          </w:p>
        </w:tc>
        <w:tc>
          <w:tcPr>
            <w:tcW w:type="dxa" w:w="1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pPr>
              <w:jc w:val="center"/>
            </w:pPr>
            <w:r>
              <w:rPr>
                <w:rFonts w:ascii="Arial" w:cs="Arial" w:eastAsia="Arial" w:hAnsi="Arial"/>
                <w:b/>
                <w:bCs/>
                <w:color w:val="E67E22"/>
                <w:sz w:val="17"/>
                <w:szCs w:val="17"/>
              </w:rPr>
              <w:t xml:space="preserve">MOYENNE</w:t>
            </w:r>
          </w:p>
        </w:tc>
        <w:tc>
          <w:tcPr>
            <w:tcW w:type="dxa" w:w="15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vAlign w:val="top"/>
          </w:tcPr>
          <w:p>
            <w:pPr>
              <w:jc w:val="center"/>
            </w:pPr>
            <w:r>
              <w:rPr>
                <w:rFonts w:ascii="Arial" w:cs="Arial" w:eastAsia="Arial" w:hAnsi="Arial"/>
                <w:color w:val="2C3E50"/>
                <w:sz w:val="17"/>
                <w:szCs w:val="17"/>
              </w:rPr>
              <w:t xml:space="preserve">Moyen terme</w:t>
            </w:r>
          </w:p>
        </w:tc>
      </w:tr>
      <w:tr>
        <w:tc>
          <w:tcPr>
            <w:tcW w:type="dxa" w:w="5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center"/>
            </w:pPr>
            <w:r>
              <w:rPr>
                <w:rFonts w:ascii="Arial" w:cs="Arial" w:eastAsia="Arial" w:hAnsi="Arial"/>
                <w:color w:val="2C3E50"/>
                <w:sz w:val="17"/>
                <w:szCs w:val="17"/>
              </w:rPr>
              <w:t xml:space="preserve">6</w:t>
            </w:r>
          </w:p>
        </w:tc>
        <w:tc>
          <w:tcPr>
            <w:tcW w:type="dxa" w:w="5526"/>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left"/>
            </w:pPr>
            <w:r>
              <w:rPr>
                <w:rFonts w:ascii="Arial" w:cs="Arial" w:eastAsia="Arial" w:hAnsi="Arial"/>
                <w:color w:val="2C3E50"/>
                <w:sz w:val="17"/>
                <w:szCs w:val="17"/>
              </w:rPr>
              <w:t xml:space="preserve">Surveiller trimestriellement les mises à jour produit d'Apimo sur leur module IA matching</w:t>
            </w:r>
          </w:p>
        </w:tc>
        <w:tc>
          <w:tcPr>
            <w:tcW w:type="dxa" w:w="15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tcPr>
          <w:p>
            <w:pPr>
              <w:jc w:val="center"/>
            </w:pPr>
            <w:r>
              <w:rPr>
                <w:rFonts w:ascii="Arial" w:cs="Arial" w:eastAsia="Arial" w:hAnsi="Arial"/>
                <w:b/>
                <w:bCs/>
                <w:color w:val="27AE60"/>
                <w:sz w:val="17"/>
                <w:szCs w:val="17"/>
              </w:rPr>
              <w:t xml:space="preserve">FAIBLE</w:t>
            </w:r>
          </w:p>
        </w:tc>
        <w:tc>
          <w:tcPr>
            <w:tcW w:type="dxa" w:w="1500"/>
            <w:tcBorders>
              <w:top w:val="single" w:color="BDC3C7" w:sz="1"/>
              <w:left w:val="single" w:color="BDC3C7" w:sz="1"/>
              <w:bottom w:val="single" w:color="BDC3C7" w:sz="1"/>
              <w:right w:val="single" w:color="BDC3C7" w:sz="1"/>
            </w:tcBorders>
            <w:shd w:fill="F2F4F5" w:val="clear"/>
            <w:tcMar>
              <w:top w:type="dxa" w:w="100"/>
              <w:left w:type="dxa" w:w="140"/>
              <w:bottom w:type="dxa" w:w="100"/>
              <w:right w:type="dxa" w:w="140"/>
            </w:tcMar>
            <w:vAlign w:val="top"/>
          </w:tcPr>
          <w:p>
            <w:pPr>
              <w:jc w:val="center"/>
            </w:pPr>
            <w:r>
              <w:rPr>
                <w:rFonts w:ascii="Arial" w:cs="Arial" w:eastAsia="Arial" w:hAnsi="Arial"/>
                <w:color w:val="2C3E50"/>
                <w:sz w:val="17"/>
                <w:szCs w:val="17"/>
              </w:rPr>
              <w:t xml:space="preserve">Continu</w:t>
            </w:r>
          </w:p>
        </w:tc>
      </w:tr>
    </w:tbl>
    <w:p>
      <w:pPr>
        <w:spacing w:after="0" w:before="200"/>
      </w:pPr>
      <w:r>
        <w:t xml:space="preserve"/>
      </w:r>
    </w:p>
    <w:p>
      <w:pPr>
        <w:spacing w:after="0" w:before="240"/>
        <w:jc w:val="center"/>
      </w:pPr>
      <w:r>
        <w:rPr>
          <w:rFonts w:ascii="Arial" w:cs="Arial" w:eastAsia="Arial" w:hAnsi="Arial"/>
          <w:i/>
          <w:iCs/>
          <w:color w:val="7F8C8D"/>
          <w:sz w:val="18"/>
          <w:szCs w:val="18"/>
        </w:rPr>
        <w:t xml:space="preserve">—  Fin du document  —</w:t>
      </w:r>
    </w:p>
    <w:p>
      <w:pPr>
        <w:spacing w:after="0" w:before="80"/>
        <w:jc w:val="center"/>
      </w:pPr>
      <w:r>
        <w:rPr>
          <w:rFonts w:ascii="Arial" w:cs="Arial" w:eastAsia="Arial" w:hAnsi="Arial"/>
          <w:color w:val="7F8C8D"/>
          <w:sz w:val="16"/>
          <w:szCs w:val="16"/>
        </w:rPr>
        <w:t xml:space="preserve">ImmoMatch — Analyse Concurrentielle — Confidentiel — Avril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7740"/>
      </w:tabs>
    </w:pPr>
    <w:r>
      <w:rPr>
        <w:rFonts w:ascii="Arial" w:cs="Arial" w:eastAsia="Arial" w:hAnsi="Arial"/>
        <w:i/>
        <w:iCs/>
        <w:color w:val="7F8C8D"/>
        <w:sz w:val="16"/>
        <w:szCs w:val="16"/>
      </w:rPr>
      <w:t xml:space="preserve">Confidentiel — Usage interne</w:t>
    </w:r>
    <w:r>
      <w:rPr>
        <w:rFonts w:ascii="Arial" w:cs="Arial" w:eastAsia="Arial" w:hAnsi="Arial"/>
        <w:color w:val="7F8C8D"/>
        <w:sz w:val="16"/>
        <w:szCs w:val="16"/>
      </w:rPr>
      <w:t xml:space="preserve">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tabs>
        <w:tab w:val="right" w:pos="7740"/>
      </w:tabs>
    </w:pPr>
    <w:r>
      <w:rPr>
        <w:rFonts w:ascii="Arial" w:cs="Arial" w:eastAsia="Arial" w:hAnsi="Arial"/>
        <w:b/>
        <w:bCs/>
        <w:color w:val="1E3A5F"/>
        <w:sz w:val="18"/>
        <w:szCs w:val="18"/>
      </w:rPr>
      <w:t xml:space="preserve">ImmoMatch</w:t>
    </w:r>
    <w:r>
      <w:rPr>
        <w:rFonts w:ascii="Arial" w:cs="Arial" w:eastAsia="Arial" w:hAnsi="Arial"/>
        <w:color w:val="7F8C8D"/>
        <w:sz w:val="18"/>
        <w:szCs w:val="18"/>
      </w:rPr>
      <w:t xml:space="preserve">  |  Analyse Concurrentielle — Confidentiel</w:t>
    </w:r>
    <w:r>
      <w:rPr>
        <w:rFonts w:ascii="Arial" w:cs="Arial" w:eastAsia="Arial" w:hAnsi="Arial"/>
        <w:color w:val="7F8C8D"/>
        <w:sz w:val="18"/>
        <w:szCs w:val="18"/>
      </w:rPr>
      <w:t xml:space="preserve">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2026-04-06T15:52:00.391Z</dcterms:created>
  <dcterms:modified xsi:type="dcterms:W3CDTF">2026-04-06T15:52:00.391Z</dcterms:modified>
</cp:coreProperties>
</file>

<file path=docProps/custom.xml><?xml version="1.0" encoding="utf-8"?>
<Properties xmlns="http://schemas.openxmlformats.org/officeDocument/2006/custom-properties" xmlns:vt="http://schemas.openxmlformats.org/officeDocument/2006/docPropsVTypes"/>
</file>