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/>
      </w:pPr>
      <w:r>
        <w:rPr>
          <w:b w:val="0"/>
          <w:i w:val="0"/>
        </w:rPr>
        <w:t>Context before labels.</w:t>
      </w:r>
    </w:p>
    <w:p>
      <w:pPr>
        <w:spacing w:before="80" w:after="120"/>
      </w:pPr>
      <w:r>
        <w:rPr>
          <w:b/>
          <w:i w:val="0"/>
        </w:rPr>
        <w:t>Impact:</w:t>
      </w:r>
      <w:r>
        <w:rPr>
          <w:b w:val="0"/>
          <w:i w:val="0"/>
        </w:rPr>
        <w:t xml:space="preserve"> Adoption velocity spikes with personalization.</w:t>
      </w:r>
    </w:p>
    <w:p>
      <w:pPr>
        <w:spacing w:before="80" w:after="120"/>
      </w:pPr>
      <w:r>
        <w:rPr>
          <w:b/>
          <w:i w:val="0"/>
        </w:rPr>
        <w:t>Mitigation:</w:t>
      </w:r>
      <w:r>
        <w:rPr>
          <w:b w:val="0"/>
          <w:i w:val="0"/>
        </w:rPr>
        <w:t xml:space="preserve"> Continue monitoring KPIs and keep rollback safeguards ready.</w:t>
      </w:r>
    </w:p>
    <w:p>
      <w:pPr>
        <w:pStyle w:val="ListBullet"/>
        <w:spacing w:before="40" w:after="40"/>
        <w:ind w:left="240"/>
      </w:pPr>
      <w:r>
        <w:rPr>
          <w:b w:val="0"/>
          <w:i w:val="0"/>
        </w:rPr>
        <w:t>Validate data flows nightly</w:t>
      </w:r>
    </w:p>
    <w:p>
      <w:pPr>
        <w:pStyle w:val="ListBullet"/>
        <w:spacing w:before="40" w:after="40"/>
        <w:ind w:left="240"/>
      </w:pPr>
      <w:r>
        <w:rPr>
          <w:b w:val="0"/>
          <w:i w:val="0"/>
        </w:rPr>
        <w:t>Monitor dashboards for anomalies</w:t>
      </w:r>
    </w:p>
    <w:p>
      <w:pPr>
        <w:spacing w:before="80" w:after="120"/>
      </w:pPr>
      <w:r>
        <w:rPr>
          <w:b w:val="0"/>
          <w:i w:val="0"/>
        </w:rPr>
        <w:t>Closing statement keeps customers informed.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