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14="http://schemas.microsoft.com/office/drawing/2010/main" xmlns:a="http://schemas.openxmlformats.org/drawingml/2006/main" xmlns:pic="http://schemas.openxmlformats.org/drawingml/2006/picture"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dd4eddb4301e4b00">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Suscríbete a DeepL Pro para poder editar este documento.</w:t>
                  </w:r>
                  <w:r>
                    <w:br/>
                  </w:r>
                  <w:r>
                    <w:rPr>
                      <w:rFonts w:ascii="Roboto" w:hAnsi="Roboto"/>
                      <w:color w:val="0F2B46"/>
                      <w:sz w:val="20"/>
                    </w:rPr>
                    <w:t xml:space="preserve">Entra en </w:t>
                  </w:r>
                  <w:hyperlink r:id="Rc1b66135482e4bd4">
                    <w:r>
                      <w:rPr>
                        <w:rFonts w:ascii="Roboto" w:hAnsi="Roboto"/>
                        <w:color w:val="006494"/>
                        <w:sz w:val="20"/>
                      </w:rPr>
                      <w:t xml:space="preserve">www.DeepL.com/pro</w:t>
                    </w:r>
                  </w:hyperlink>
                  <w:r>
                    <w:rPr>
                      <w:rFonts w:ascii="Roboto" w:hAnsi="Roboto"/>
                      <w:color w:val="0F2B46"/>
                      <w:sz w:val="20"/>
                    </w:rPr>
                    <w:t xml:space="preserve"> para más información.</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bookmarkStart w:name="page1" w:id="0"/>
    <w:bookmarkEnd w:id="0"/>
    <w:p>
      <w:pPr>
        <w:jc w:val="center"/>
        <w:ind w:end="12"/>
        <w:spacing w:after="0"/>
        <w:rPr>
          <w:sz w:val="20"/>
          <w:szCs w:val="20"/>
          <w:color w:val="auto"/>
        </w:rPr>
      </w:pPr>
      <w:r>
        <w:rPr>
          <w:rFonts w:ascii="Arial" w:hAnsi="Arial" w:eastAsia="Arial" w:cs="Arial"/>
          <w:sz w:val="14"/>
          <w:szCs w:val="14"/>
          <w:color w:val="0A4E7E"/>
        </w:rPr>
        <w:t xml:space="preserve">Redes informáticas 214 (2022) 109073</w:t>
      </w:r>
    </w:p>
    <w:p>
      <w:pPr>
        <w:spacing w:after="0" w:line="155" w:lineRule="exact"/>
        <w:rPr>
          <w:sz w:val="24"/>
          <w:szCs w:val="24"/>
          <w:color w:val="auto"/>
        </w:rPr>
      </w:pPr>
    </w:p>
    <w:p>
      <w:pPr>
        <w:jc w:val="center"/>
        <w:ind w:end="-27"/>
        <w:spacing w:after="0"/>
        <w:rPr>
          <w:sz w:val="20"/>
          <w:szCs w:val="20"/>
          <w:color w:val="auto"/>
        </w:rPr>
      </w:pPr>
      <w:r>
        <w:rPr>
          <w:rFonts w:ascii="Arial" w:hAnsi="Arial" w:eastAsia="Arial" w:cs="Arial"/>
          <w:sz w:val="16"/>
          <w:szCs w:val="16"/>
          <w:color w:val="auto"/>
        </w:rPr>
        <w:t xml:space="preserve">Listas de contenidos disponibles en </w:t>
      </w:r>
      <w:r>
        <w:rPr>
          <w:rFonts w:ascii="Arial" w:hAnsi="Arial" w:eastAsia="Arial" w:cs="Arial"/>
          <w:sz w:val="16"/>
          <w:szCs w:val="16"/>
          <w:color w:val="0080AC"/>
        </w:rPr>
        <w:t xml:space="preserve">ScienceDirect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-31750</wp:posOffset>
            </wp:positionV>
            <wp:extent cx="6605905" cy="9213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605905" cy="921385"/>
                    </a:xfrm>
                    <a:prstGeom prst="rect">
                      <a:avLst/>
                    </a:prstGeom>
                    <a:noFill/>
                  </pic:spPr>
                </pic:pic>
              </a:graphicData>
            </a:graphic>
          </wp:anchor>
        </w:drawing>
      </w:r>
    </w:p>
    <w:p>
      <w:pPr>
        <w:spacing w:after="0" w:line="384" w:lineRule="exact"/>
        <w:rPr>
          <w:sz w:val="24"/>
          <w:szCs w:val="24"/>
          <w:color w:val="auto"/>
        </w:rPr>
      </w:pPr>
    </w:p>
    <w:p>
      <w:pPr>
        <w:jc w:val="center"/>
        <w:ind w:end="-27"/>
        <w:spacing w:after="0"/>
        <w:rPr>
          <w:sz w:val="20"/>
          <w:szCs w:val="20"/>
          <w:color w:val="auto"/>
        </w:rPr>
      </w:pPr>
      <w:r>
        <w:rPr>
          <w:rFonts w:ascii="Arial" w:hAnsi="Arial" w:eastAsia="Arial" w:cs="Arial"/>
          <w:sz w:val="28"/>
          <w:szCs w:val="28"/>
          <w:color w:val="auto"/>
        </w:rPr>
        <w:t xml:space="preserve">Redes informáticas</w:t>
      </w:r>
    </w:p>
    <w:p>
      <w:pPr>
        <w:spacing w:after="0" w:line="200" w:lineRule="exact"/>
        <w:rPr>
          <w:sz w:val="24"/>
          <w:szCs w:val="24"/>
          <w:color w:val="auto"/>
        </w:rPr>
      </w:pPr>
    </w:p>
    <w:p>
      <w:pPr>
        <w:spacing w:after="0" w:line="244" w:lineRule="exact"/>
        <w:rPr>
          <w:sz w:val="24"/>
          <w:szCs w:val="24"/>
          <w:color w:val="auto"/>
        </w:rPr>
      </w:pPr>
    </w:p>
    <w:p>
      <w:pPr>
        <w:jc w:val="center"/>
        <w:ind w:end="-27"/>
        <w:spacing w:after="0"/>
        <w:rPr>
          <w:sz w:val="20"/>
          <w:szCs w:val="20"/>
          <w:color w:val="auto"/>
        </w:rPr>
      </w:pPr>
      <w:r>
        <w:rPr>
          <w:rFonts w:ascii="Arial" w:hAnsi="Arial" w:eastAsia="Arial" w:cs="Arial"/>
          <w:sz w:val="16"/>
          <w:szCs w:val="16"/>
          <w:color w:val="auto"/>
        </w:rPr>
        <w:t xml:space="preserve">Página web de la revista: </w:t>
      </w:r>
      <w:r>
        <w:rPr>
          <w:rFonts w:ascii="Arial" w:hAnsi="Arial" w:eastAsia="Arial" w:cs="Arial"/>
          <w:sz w:val="16"/>
          <w:szCs w:val="16"/>
          <w:color w:val="0080AC"/>
        </w:rPr>
        <w:t xml:space="preserve">www.elsevier.com/locate/comnet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117475</wp:posOffset>
                </wp:positionV>
                <wp:extent cx="660463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7960">
                          <a:solidFill>
                            <a:srgbClr val="000000"/>
                          </a:solidFill>
                          <a:miter lim="800000"/>
                          <a:headEnd/>
                          <a:tailEnd/>
                        </a:ln>
                      </wps:spPr>
                      <wps:bodyPr/>
                    </wps:wsp>
                  </a:graphicData>
                </a:graphic>
              </wp:anchor>
            </w:drawing>
          </mc:Choice>
          <mc:Fallback>
            <w:pict>
              <v:line id="Shape 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27" o:allowincell="f" strokecolor="#000000" strokeweight="2.989pt" from="0pt,9.25pt" to="520.05pt,9.25pt"/>
            </w:pict>
          </mc:Fallback>
        </mc:AlternateContent>
      </w:r>
    </w:p>
    <w:p>
      <w:pPr>
        <w:spacing w:after="0" w:line="318" w:lineRule="exact"/>
        <w:rPr>
          <w:sz w:val="24"/>
          <w:szCs w:val="24"/>
          <w:color w:val="auto"/>
        </w:rPr>
      </w:pPr>
    </w:p>
    <w:p>
      <w:pPr>
        <w:ind w:start="8" w:end="1420"/>
        <w:spacing w:after="0" w:line="467" w:lineRule="auto"/>
        <w:rPr>
          <w:sz w:val="20"/>
          <w:szCs w:val="20"/>
          <w:color w:val="auto"/>
        </w:rPr>
      </w:pPr>
      <w:r>
        <w:rPr>
          <w:rFonts w:ascii="Arial" w:hAnsi="Arial" w:eastAsia="Arial" w:cs="Arial"/>
          <w:sz w:val="27"/>
          <w:szCs w:val="27"/>
          <w:color w:val="auto"/>
        </w:rPr>
        <w:t xml:space="preserve">Aprendizaje automático adversarial para la detección de intrusiones en redes: Un estudio comparativo</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5885815</wp:posOffset>
            </wp:positionH>
            <wp:positionV relativeFrom="paragraph">
              <wp:posOffset>-683895</wp:posOffset>
            </wp:positionV>
            <wp:extent cx="361315" cy="3613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extLst>
                    </a:blip>
                    <a:srcRect/>
                    <a:stretch>
                      <a:fillRect/>
                    </a:stretch>
                  </pic:blipFill>
                  <pic:spPr bwMode="auto">
                    <a:xfrm>
                      <a:off x="0" y="0"/>
                      <a:ext cx="361315" cy="361315"/>
                    </a:xfrm>
                    <a:prstGeom prst="rect">
                      <a:avLst/>
                    </a:prstGeom>
                    <a:noFill/>
                  </pic:spPr>
                </pic:pic>
              </a:graphicData>
            </a:graphic>
          </wp:anchor>
        </w:drawing>
      </w:r>
    </w:p>
    <w:p>
      <w:pPr>
        <w:ind w:start="8"/>
        <w:spacing w:after="0" w:line="320" w:lineRule="exact"/>
        <w:rPr>
          <w:sz w:val="20"/>
          <w:szCs w:val="20"/>
          <w:color w:val="auto"/>
        </w:rPr>
      </w:pPr>
      <w:r>
        <w:rPr>
          <w:rFonts w:ascii="Arial" w:hAnsi="Arial" w:eastAsia="Arial" w:cs="Arial"/>
          <w:sz w:val="21"/>
          <w:szCs w:val="21"/>
          <w:color w:val="0080AC"/>
        </w:rPr>
        <w:t xml:space="preserve">Houda Jmila</w:t>
      </w:r>
      <w:r>
        <w:rPr>
          <w:rFonts w:ascii="Arial" w:hAnsi="Arial" w:eastAsia="Arial" w:cs="Arial"/>
          <w:sz w:val="27"/>
          <w:szCs w:val="27"/>
          <w:color w:val="0080AC"/>
          <w:vertAlign w:val="superscript"/>
        </w:rPr>
        <w:t xml:space="preserve">a</w:t>
      </w:r>
      <w:r>
        <w:rPr>
          <w:rFonts w:ascii="Arial" w:hAnsi="Arial" w:eastAsia="Arial" w:cs="Arial"/>
          <w:sz w:val="21"/>
          <w:szCs w:val="21"/>
          <w:color w:val="0080AC"/>
        </w:rPr>
        <w:t xml:space="preserve"> , Mohamed Ibn </w:t>
      </w:r>
      <w:r>
        <w:rPr>
          <w:rFonts w:ascii="Arial" w:hAnsi="Arial" w:eastAsia="Arial" w:cs="Arial"/>
          <w:sz w:val="27"/>
          <w:szCs w:val="27"/>
          <w:color w:val="0080AC"/>
        </w:rPr>
        <w:t xml:space="preserve">Khedher </w:t>
      </w:r>
      <w:r>
        <w:rPr>
          <w:rFonts w:ascii="Arial" w:hAnsi="Arial" w:eastAsia="Arial" w:cs="Arial"/>
          <w:sz w:val="27"/>
          <w:szCs w:val="27"/>
          <w:color w:val="0080AC"/>
          <w:vertAlign w:val="superscript"/>
        </w:rPr>
        <w:t xml:space="preserve">b</w:t>
      </w:r>
      <w:r>
        <w:rPr>
          <w:rFonts w:ascii="Arial" w:hAnsi="Arial" w:eastAsia="Arial" w:cs="Arial"/>
          <w:sz w:val="29"/>
          <w:szCs w:val="29"/>
          <w:color w:val="000000"/>
          <w:vertAlign w:val="superscript"/>
        </w:rPr>
        <w:t xml:space="preserve">,</w:t>
      </w:r>
      <w:r>
        <w:rPr>
          <w:rFonts w:ascii="Arial Unicode MS" w:hAnsi="Arial Unicode MS" w:eastAsia="Arial Unicode MS" w:cs="Arial Unicode MS"/>
          <w:sz w:val="29"/>
          <w:szCs w:val="29"/>
          <w:color w:val="0080AC"/>
          <w:vertAlign w:val="superscript"/>
        </w:rPr>
        <w:t xml:space="preserve">∗</w:t>
      </w:r>
    </w:p>
    <w:p>
      <w:pPr>
        <w:ind w:start="8" w:end="5880" w:hanging="8"/>
        <w:spacing w:after="0" w:line="253" w:lineRule="auto"/>
        <w:tabs>
          <w:tab w:val="left" w:leader="none" w:pos="85"/>
        </w:tabs>
        <w:numPr>
          <w:ilvl w:val="0"/>
          <w:numId w:val="1"/>
        </w:numPr>
        <w:rPr>
          <w:rFonts w:ascii="Arial" w:hAnsi="Arial" w:eastAsia="Arial" w:cs="Arial"/>
          <w:sz w:val="18"/>
          <w:szCs w:val="18"/>
          <w:color w:val="auto"/>
          <w:vertAlign w:val="superscript"/>
        </w:rPr>
      </w:pPr>
      <w:r>
        <w:rPr>
          <w:rFonts w:ascii="Arial" w:hAnsi="Arial" w:eastAsia="Arial" w:cs="Arial"/>
          <w:sz w:val="13"/>
          <w:szCs w:val="13"/>
          <w:i w:val="1"/>
          <w:iCs w:val="1"/>
          <w:color w:val="auto"/>
        </w:rPr>
        <w:t xml:space="preserve">SAMOVAR, Télécom SudParis, Institut Polytechnique de Paris, </w:t>
      </w:r>
      <w:r>
        <w:rPr>
          <w:rFonts w:ascii="Arial" w:hAnsi="Arial" w:eastAsia="Arial" w:cs="Arial"/>
          <w:sz w:val="12"/>
          <w:szCs w:val="12"/>
          <w:i w:val="1"/>
          <w:iCs w:val="1"/>
          <w:color w:val="auto"/>
        </w:rPr>
        <w:t xml:space="preserve">Palaiseau</w:t>
      </w:r>
      <w:r>
        <w:rPr>
          <w:rFonts w:ascii="Arial" w:hAnsi="Arial" w:eastAsia="Arial" w:cs="Arial"/>
          <w:sz w:val="13"/>
          <w:szCs w:val="13"/>
          <w:i w:val="1"/>
          <w:iCs w:val="1"/>
          <w:color w:val="auto"/>
        </w:rPr>
        <w:t xml:space="preserve">, Francia</w:t>
      </w:r>
      <w:r>
        <w:rPr>
          <w:rFonts w:ascii="Arial" w:hAnsi="Arial" w:eastAsia="Arial" w:cs="Arial"/>
          <w:sz w:val="17"/>
          <w:szCs w:val="17"/>
          <w:color w:val="auto"/>
          <w:vertAlign w:val="superscript"/>
        </w:rPr>
        <w:t xml:space="preserve">b</w:t>
      </w:r>
      <w:r>
        <w:rPr>
          <w:rFonts w:ascii="Arial" w:hAnsi="Arial" w:eastAsia="Arial" w:cs="Arial"/>
          <w:sz w:val="12"/>
          <w:szCs w:val="12"/>
          <w:color w:val="auto"/>
          <w:vertAlign w:val="superscript"/>
        </w:rPr>
        <w:t xml:space="preserve"> </w:t>
      </w:r>
      <w:r>
        <w:rPr>
          <w:rFonts w:ascii="Arial" w:hAnsi="Arial" w:eastAsia="Arial" w:cs="Arial"/>
          <w:sz w:val="12"/>
          <w:szCs w:val="12"/>
          <w:i w:val="1"/>
          <w:iCs w:val="1"/>
          <w:color w:val="auto"/>
        </w:rPr>
        <w:t xml:space="preserve"> IRT-SystemX, 2 Boulevard Thomas Gobert , 91120 Palaiseau, Francia</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-13335</wp:posOffset>
                </wp:positionV>
                <wp:extent cx="660463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29" o:allowincell="f" strokecolor="#000000" strokeweight="0.398pt" from="0pt,-1.0499pt" to="520.05pt,-1.0499pt"/>
            </w:pict>
          </mc:Fallback>
        </mc:AlternateContent>
      </w:r>
    </w:p>
    <w:p>
      <w:pPr>
        <w:sectPr>
          <w:pgSz w:w="11900" w:h="15874" w:orient="portrait"/>
          <w:cols w:equalWidth="0" w:num="1">
            <w:col w:w="10408"/>
          </w:cols>
          <w:pgMar w:top="653" w:right="746" w:bottom="693" w:left="752" w:header="0" w:footer="0" w:gutter="0"/>
        </w:sectPr>
      </w:pPr>
    </w:p>
    <w:p>
      <w:pPr>
        <w:ind w:start="8"/>
        <w:spacing w:after="0"/>
        <w:tabs>
          <w:tab w:val="left" w:leader="none" w:pos="1268"/>
        </w:tabs>
        <w:rPr>
          <w:sz w:val="20"/>
          <w:szCs w:val="20"/>
          <w:color w:val="auto"/>
        </w:rPr>
      </w:pPr>
      <w:r>
        <w:rPr>
          <w:rFonts w:ascii="Arial" w:hAnsi="Arial" w:eastAsia="Arial" w:cs="Arial"/>
          <w:sz w:val="18"/>
          <w:szCs w:val="18"/>
          <w:color w:val="auto"/>
        </w:rPr>
        <w:t xml:space="preserve">ARTÍCULO</w:t>
        <w:tab/>
        <w:t xml:space="preserve">INFO</w:t>
      </w:r>
    </w:p>
    <w:p>
      <w:pPr>
        <w:spacing w:after="0" w:line="200" w:lineRule="exact"/>
        <w:rPr>
          <w:sz w:val="24"/>
          <w:szCs w:val="24"/>
          <w:color w:val="auto"/>
        </w:rPr>
      </w:pPr>
    </w:p>
    <w:p>
      <w:pPr>
        <w:spacing w:after="0" w:line="208" w:lineRule="exact"/>
        <w:rPr>
          <w:sz w:val="24"/>
          <w:szCs w:val="24"/>
          <w:color w:val="auto"/>
        </w:rPr>
      </w:pPr>
    </w:p>
    <w:p>
      <w:pPr>
        <w:ind w:start="8"/>
        <w:spacing w:after="0"/>
        <w:rPr>
          <w:sz w:val="20"/>
          <w:szCs w:val="20"/>
          <w:color w:val="auto"/>
        </w:rPr>
      </w:pPr>
      <w:r>
        <w:rPr>
          <w:rFonts w:ascii="Arial" w:hAnsi="Arial" w:eastAsia="Arial" w:cs="Arial"/>
          <w:sz w:val="13"/>
          <w:szCs w:val="13"/>
          <w:i w:val="1"/>
          <w:iCs w:val="1"/>
          <w:color w:val="auto"/>
        </w:rPr>
        <w:t xml:space="preserve">Palabras clave: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-84455</wp:posOffset>
                </wp:positionV>
                <wp:extent cx="169164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0" o:allowincell="f" strokecolor="#000000" strokeweight="0.398pt" from="0pt,-6.6499pt" to="133.2pt,-6.6499pt"/>
            </w:pict>
          </mc:Fallback>
        </mc:AlternateContent>
      </w:r>
    </w:p>
    <w:p>
      <w:pPr>
        <w:spacing w:after="0" w:line="91" w:lineRule="exact"/>
        <w:rPr>
          <w:sz w:val="24"/>
          <w:szCs w:val="24"/>
          <w:color w:val="auto"/>
        </w:rPr>
      </w:pPr>
    </w:p>
    <w:p>
      <w:pPr>
        <w:ind w:start="8"/>
        <w:spacing w:after="0"/>
        <w:rPr>
          <w:sz w:val="20"/>
          <w:szCs w:val="20"/>
          <w:color w:val="auto"/>
        </w:rPr>
      </w:pPr>
      <w:r>
        <w:rPr>
          <w:rFonts w:ascii="Arial" w:hAnsi="Arial" w:eastAsia="Arial" w:cs="Arial"/>
          <w:sz w:val="13"/>
          <w:szCs w:val="13"/>
          <w:color w:val="auto"/>
        </w:rPr>
        <w:t xml:space="preserve">Detección de intrusiones en redes</w:t>
      </w:r>
    </w:p>
    <w:p>
      <w:pPr>
        <w:spacing w:after="0" w:line="22" w:lineRule="exact"/>
        <w:rPr>
          <w:sz w:val="24"/>
          <w:szCs w:val="24"/>
          <w:color w:val="auto"/>
        </w:rPr>
      </w:pPr>
    </w:p>
    <w:p>
      <w:pPr>
        <w:ind w:start="8"/>
        <w:spacing w:after="0"/>
        <w:rPr>
          <w:sz w:val="20"/>
          <w:szCs w:val="20"/>
          <w:color w:val="auto"/>
        </w:rPr>
      </w:pPr>
      <w:r>
        <w:rPr>
          <w:rFonts w:ascii="Arial" w:hAnsi="Arial" w:eastAsia="Arial" w:cs="Arial"/>
          <w:sz w:val="13"/>
          <w:szCs w:val="13"/>
          <w:color w:val="auto"/>
        </w:rPr>
        <w:t xml:space="preserve">Robustez adversarial de la IA</w:t>
      </w:r>
    </w:p>
    <w:p>
      <w:pPr>
        <w:spacing w:after="0" w:line="22" w:lineRule="exact"/>
        <w:rPr>
          <w:sz w:val="24"/>
          <w:szCs w:val="24"/>
          <w:color w:val="auto"/>
        </w:rPr>
      </w:pPr>
    </w:p>
    <w:p>
      <w:pPr>
        <w:ind w:start="8"/>
        <w:spacing w:after="0"/>
        <w:rPr>
          <w:sz w:val="20"/>
          <w:szCs w:val="20"/>
          <w:color w:val="auto"/>
        </w:rPr>
      </w:pPr>
      <w:r>
        <w:rPr>
          <w:rFonts w:ascii="Arial" w:hAnsi="Arial" w:eastAsia="Arial" w:cs="Arial"/>
          <w:sz w:val="13"/>
          <w:szCs w:val="13"/>
          <w:color w:val="auto"/>
        </w:rPr>
        <w:t xml:space="preserve">Ataque adversario</w:t>
      </w:r>
    </w:p>
    <w:p>
      <w:pPr>
        <w:spacing w:after="0" w:line="22" w:lineRule="exact"/>
        <w:rPr>
          <w:sz w:val="24"/>
          <w:szCs w:val="24"/>
          <w:color w:val="auto"/>
        </w:rPr>
      </w:pPr>
    </w:p>
    <w:p>
      <w:pPr>
        <w:ind w:start="8"/>
        <w:spacing w:after="0"/>
        <w:rPr>
          <w:sz w:val="20"/>
          <w:szCs w:val="20"/>
          <w:color w:val="auto"/>
        </w:rPr>
      </w:pPr>
      <w:r>
        <w:rPr>
          <w:rFonts w:ascii="Arial" w:hAnsi="Arial" w:eastAsia="Arial" w:cs="Arial"/>
          <w:sz w:val="13"/>
          <w:szCs w:val="13"/>
          <w:color w:val="auto"/>
        </w:rPr>
        <w:t xml:space="preserve">Técnica de defensa</w:t>
      </w:r>
    </w:p>
    <w:p>
      <w:pPr>
        <w:spacing w:after="0" w:line="22" w:lineRule="exact"/>
        <w:rPr>
          <w:sz w:val="24"/>
          <w:szCs w:val="24"/>
          <w:color w:val="auto"/>
        </w:rPr>
      </w:pPr>
    </w:p>
    <w:p>
      <w:pPr>
        <w:ind w:start="8"/>
        <w:spacing w:after="0"/>
        <w:rPr>
          <w:sz w:val="20"/>
          <w:szCs w:val="20"/>
          <w:color w:val="auto"/>
        </w:rPr>
      </w:pPr>
      <w:r>
        <w:rPr>
          <w:rFonts w:ascii="Arial" w:hAnsi="Arial" w:eastAsia="Arial" w:cs="Arial"/>
          <w:sz w:val="13"/>
          <w:szCs w:val="13"/>
          <w:color w:val="auto"/>
        </w:rPr>
        <w:t xml:space="preserve">NSL-KDD</w:t>
      </w:r>
    </w:p>
    <w:p>
      <w:pPr>
        <w:spacing w:after="0" w:line="22" w:lineRule="exact"/>
        <w:rPr>
          <w:sz w:val="24"/>
          <w:szCs w:val="24"/>
          <w:color w:val="auto"/>
        </w:rPr>
      </w:pPr>
    </w:p>
    <w:p>
      <w:pPr>
        <w:ind w:start="8"/>
        <w:spacing w:after="0"/>
        <w:rPr>
          <w:sz w:val="20"/>
          <w:szCs w:val="20"/>
          <w:color w:val="auto"/>
        </w:rPr>
      </w:pPr>
      <w:r>
        <w:rPr>
          <w:rFonts w:ascii="Arial" w:hAnsi="Arial" w:eastAsia="Arial" w:cs="Arial"/>
          <w:sz w:val="13"/>
          <w:szCs w:val="13"/>
          <w:color w:val="auto"/>
        </w:rPr>
        <w:t xml:space="preserve">UNSW-NB15</w:t>
      </w:r>
    </w:p>
    <w:p>
      <w:pPr>
        <w:spacing w:after="0" w:line="20" w:lineRule="exact"/>
        <w:rPr>
          <w:sz w:val="24"/>
          <w:szCs w:val="24"/>
          <w:color w:val="auto"/>
        </w:rPr>
      </w:pPr>
      <w:r>
        <w:rPr>
          <w:sz w:val="24"/>
          <w:szCs w:val="24"/>
          <w:color w:val="auto"/>
        </w:rPr>
        <w:br w:type="column"/>
      </w:r>
    </w:p>
    <w:p>
      <w:pPr>
        <w:spacing w:after="0"/>
        <w:rPr>
          <w:sz w:val="20"/>
          <w:szCs w:val="20"/>
          <w:color w:val="auto"/>
        </w:rPr>
      </w:pPr>
      <w:r>
        <w:rPr>
          <w:rFonts w:ascii="Arial" w:hAnsi="Arial" w:eastAsia="Arial" w:cs="Arial"/>
          <w:sz w:val="18"/>
          <w:szCs w:val="18"/>
          <w:color w:val="auto"/>
        </w:rPr>
        <w:t xml:space="preserve">RESUMEN</w:t>
      </w:r>
    </w:p>
    <w:p>
      <w:pPr>
        <w:spacing w:after="0" w:line="200" w:lineRule="exact"/>
        <w:rPr>
          <w:sz w:val="24"/>
          <w:szCs w:val="24"/>
          <w:color w:val="auto"/>
        </w:rPr>
      </w:pPr>
    </w:p>
    <w:p>
      <w:pPr>
        <w:spacing w:after="0" w:line="208" w:lineRule="exact"/>
        <w:rPr>
          <w:sz w:val="24"/>
          <w:szCs w:val="24"/>
          <w:color w:val="auto"/>
        </w:rPr>
      </w:pPr>
    </w:p>
    <w:p>
      <w:pPr>
        <w:jc w:val="both"/>
        <w:ind w:end="40"/>
        <w:spacing w:after="0" w:line="306" w:lineRule="auto"/>
        <w:rPr>
          <w:sz w:val="20"/>
          <w:szCs w:val="20"/>
          <w:color w:val="auto"/>
        </w:rPr>
      </w:pPr>
      <w:r>
        <w:rPr>
          <w:rFonts w:ascii="Arial" w:hAnsi="Arial" w:eastAsia="Arial" w:cs="Arial"/>
          <w:sz w:val="14"/>
          <w:szCs w:val="14"/>
          <w:color w:val="auto"/>
        </w:rPr>
        <w:t xml:space="preserve">La detección de intrusos es un tema clave de la ciberseguridad. Su objetivo es proteger los sistemas informáticos y las redes de intrusos y ataques malintencionados. Los sistemas tradicionales de detección de intrusos (IDS) siguen un enfoque basado en firmas, pero en las dos últimas décadas se han propuesto con fuerza diversas técnicas de aprendizaje automático (ML) que han demostrado su eficacia. Sin embargo, el ML se enfrenta a varios retos, siendo uno de los más interesantes la aparición de ataques de adversarios para engañar a los clasificadores. Resolver esta vulnerabilidad es fundamental para evitar que los ciberdelincuentes aprovechen los fallos de ML para burlar los IDS y dañar datos y sistemas.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-775335</wp:posOffset>
                </wp:positionV>
                <wp:extent cx="449961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996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1" o:allowincell="f" strokecolor="#000000" strokeweight="0.398pt" from="0pt,-61.0499pt" to="354.3pt,-61.0499pt"/>
            </w:pict>
          </mc:Fallback>
        </mc:AlternateContent>
      </w:r>
    </w:p>
    <w:p>
      <w:pPr>
        <w:jc w:val="both"/>
        <w:ind w:end="40" w:firstLine="239"/>
        <w:spacing w:after="0" w:line="298" w:lineRule="auto"/>
        <w:rPr>
          <w:sz w:val="20"/>
          <w:szCs w:val="20"/>
          <w:color w:val="auto"/>
        </w:rPr>
      </w:pPr>
      <w:r>
        <w:rPr>
          <w:rFonts w:ascii="Arial" w:hAnsi="Arial" w:eastAsia="Arial" w:cs="Arial"/>
          <w:sz w:val="14"/>
          <w:szCs w:val="14"/>
          <w:color w:val="auto"/>
        </w:rPr>
        <w:t xml:space="preserve">Algunos trabajos de investigación han estudiado la vulnerabilidad de los IDS basados en ML frente a ataques de adversarios, aunque la mayoría de ellos se han centrado en clasificadores basados en aprendizaje profundo. A diferencia de ellos, este artículo presta más atención a los clasificadores superficiales que siguen siendo ampliamente utilizados en los IDS basados en ML debido a su madurez y simplicidad de implementación. Más detalladamente, evaluamos la robustez de 7 NIDS basados en ML poco profundos, incluyendo Adaboost, Bagging, Gradient boosting (GB), Logistic Regression (LR), Decision Tree (DT), Random Forest (RF), Support Vector Classifier (SVC) y también una Red de Aprendizaje Profundo, frente a varios ataques adversarios ampliamente utilizados en el estado del arte (SOA). Además, aplicamos una técnica de defensa de aumento de datos gaussiana y medimos su contribución a la mejora de la robustez del clasificador [</w:t>
      </w:r>
      <w:r>
        <w:rPr>
          <w:rFonts w:ascii="Arial" w:hAnsi="Arial" w:eastAsia="Arial" w:cs="Arial"/>
          <w:sz w:val="14"/>
          <w:szCs w:val="14"/>
          <w:color w:val="0080AC"/>
        </w:rPr>
        <w:t xml:space="preserve">1</w:t>
      </w:r>
      <w:r>
        <w:rPr>
          <w:rFonts w:ascii="Arial" w:hAnsi="Arial" w:eastAsia="Arial" w:cs="Arial"/>
          <w:sz w:val="14"/>
          <w:szCs w:val="14"/>
          <w:color w:val="auto"/>
        </w:rPr>
        <w:t xml:space="preserve">]. </w:t>
      </w:r>
      <w:r>
        <w:rPr>
          <w:rFonts w:ascii="Arial" w:hAnsi="Arial" w:eastAsia="Arial" w:cs="Arial"/>
          <w:sz w:val="14"/>
          <w:szCs w:val="14"/>
          <w:color w:val="auto"/>
        </w:rPr>
        <w:t xml:space="preserve">Realizamos experimentos exhaustivos en diferentes escenarios utilizando el conjunto de datos de referencia NSL-KDD [</w:t>
      </w:r>
      <w:r>
        <w:rPr>
          <w:rFonts w:ascii="Arial" w:hAnsi="Arial" w:eastAsia="Arial" w:cs="Arial"/>
          <w:sz w:val="14"/>
          <w:szCs w:val="14"/>
          <w:color w:val="0080AC"/>
        </w:rPr>
        <w:t xml:space="preserve">2</w:t>
      </w:r>
      <w:r>
        <w:rPr>
          <w:rFonts w:ascii="Arial" w:hAnsi="Arial" w:eastAsia="Arial" w:cs="Arial"/>
          <w:sz w:val="14"/>
          <w:szCs w:val="14"/>
          <w:color w:val="auto"/>
        </w:rPr>
        <w:t xml:space="preserve">] y el conjunto de datos UNSW-NB 15 [</w:t>
      </w:r>
      <w:r>
        <w:rPr>
          <w:rFonts w:ascii="Arial" w:hAnsi="Arial" w:eastAsia="Arial" w:cs="Arial"/>
          <w:sz w:val="14"/>
          <w:szCs w:val="14"/>
          <w:color w:val="0080AC"/>
        </w:rPr>
        <w:t xml:space="preserve">3</w:t>
      </w:r>
      <w:r>
        <w:rPr>
          <w:rFonts w:ascii="Arial" w:hAnsi="Arial" w:eastAsia="Arial" w:cs="Arial"/>
          <w:sz w:val="14"/>
          <w:szCs w:val="14"/>
          <w:color w:val="auto"/>
        </w:rPr>
        <w:t xml:space="preserve">]. Los resultados muestran que los ataques no tienen el mismo impacto en todos los clasificadores, que la robustez de un clasificador depende del ataque y que debe considerarse un compromiso entre rendimiento y robustez en función del escenario de detección de intrusiones en la red.</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-2087880</wp:posOffset>
                </wp:positionH>
                <wp:positionV relativeFrom="paragraph">
                  <wp:posOffset>92710</wp:posOffset>
                </wp:positionV>
                <wp:extent cx="660463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2" o:allowincell="f" strokecolor="#000000" strokeweight="0.398pt" from="-164.3999pt,7.3pt" to="355.65pt,7.3pt"/>
            </w:pict>
          </mc:Fallback>
        </mc:AlternateContent>
      </w:r>
    </w:p>
    <w:p>
      <w:pPr>
        <w:spacing w:after="0" w:line="175" w:lineRule="exact"/>
        <w:rPr>
          <w:sz w:val="24"/>
          <w:szCs w:val="24"/>
          <w:color w:val="auto"/>
        </w:rPr>
      </w:pPr>
    </w:p>
    <w:p>
      <w:pPr>
        <w:sectPr>
          <w:pgSz w:w="11900" w:h="15874" w:orient="portrait"/>
          <w:cols w:equalWidth="0" w:num="2">
            <w:col w:w="2568" w:space="720"/>
            <w:col w:w="7120"/>
          </w:cols>
          <w:pgMar w:top="653" w:right="746" w:bottom="693" w:left="752" w:header="0" w:footer="0" w:gutter="0"/>
          <w:type w:val="continuous"/>
        </w:sectPr>
      </w:pPr>
    </w:p>
    <w:p>
      <w:pPr>
        <w:spacing w:after="0" w:line="1" w:lineRule="exact"/>
        <w:rPr>
          <w:sz w:val="24"/>
          <w:szCs w:val="24"/>
          <w:color w:val="auto"/>
        </w:rPr>
      </w:pPr>
    </w:p>
    <w:p>
      <w:pPr>
        <w:ind w:start="8"/>
        <w:spacing w:after="0"/>
        <w:rPr>
          <w:sz w:val="20"/>
          <w:szCs w:val="20"/>
          <w:color w:val="auto"/>
        </w:rPr>
      </w:pPr>
      <w:r>
        <w:rPr>
          <w:rFonts w:ascii="Arial" w:hAnsi="Arial" w:eastAsia="Arial" w:cs="Arial"/>
          <w:sz w:val="16"/>
          <w:szCs w:val="16"/>
          <w:b w:val="1"/>
          <w:bCs w:val="1"/>
          <w:color w:val="auto"/>
        </w:rPr>
        <w:t xml:space="preserve">1. Introducción</w:t>
      </w:r>
    </w:p>
    <w:p>
      <w:pPr>
        <w:spacing w:after="0" w:line="200" w:lineRule="exact"/>
        <w:rPr>
          <w:sz w:val="24"/>
          <w:szCs w:val="24"/>
          <w:color w:val="auto"/>
        </w:rPr>
      </w:pPr>
    </w:p>
    <w:p>
      <w:pPr>
        <w:spacing w:after="0" w:line="203" w:lineRule="exact"/>
        <w:rPr>
          <w:sz w:val="24"/>
          <w:szCs w:val="24"/>
          <w:color w:val="auto"/>
        </w:rPr>
      </w:pPr>
    </w:p>
    <w:p>
      <w:pPr>
        <w:jc w:val="both"/>
        <w:ind w:start="8" w:firstLine="239"/>
        <w:spacing w:after="0" w:line="307" w:lineRule="auto"/>
        <w:rPr>
          <w:sz w:val="20"/>
          <w:szCs w:val="20"/>
          <w:color w:val="auto"/>
        </w:rPr>
      </w:pPr>
      <w:r>
        <w:rPr>
          <w:rFonts w:ascii="Arial" w:hAnsi="Arial" w:eastAsia="Arial" w:cs="Arial"/>
          <w:sz w:val="16"/>
          <w:szCs w:val="16"/>
          <w:color w:val="auto"/>
        </w:rPr>
        <w:t xml:space="preserve">La protección de los sistemas y redes informáticos contra los ciberataques ha sido una preocupación creciente en los últimos años. Aunque la mayoría de los sistemas se construyen con características de seguridad mejoradas, sigue existiendo un gran número de vulnerabilidades. Entre ellas figuran el acceso no deseado a sistemas e información, la destrucción o alteración de datos, etc. Los sistemas de detección de intrusos desempeñan un papel fundamental en el proceso de defensa de la red y permiten a los operadores de red identificar con precisión los ataques a la seguridad. Existen principalmente dos categorías de IDS: IDS basados en la red e IDS basados en el host, que se describen a continuación:</w:t>
      </w:r>
    </w:p>
    <w:p>
      <w:pPr>
        <w:spacing w:after="0" w:line="7" w:lineRule="exact"/>
        <w:rPr>
          <w:sz w:val="24"/>
          <w:szCs w:val="24"/>
          <w:color w:val="auto"/>
        </w:rPr>
      </w:pPr>
    </w:p>
    <w:p>
      <w:pPr>
        <w:ind w:start="408" w:hanging="137"/>
        <w:spacing w:after="0" w:line="365" w:lineRule="auto"/>
        <w:tabs>
          <w:tab w:val="left" w:leader="none" w:pos="408"/>
        </w:tabs>
        <w:numPr>
          <w:ilvl w:val="1"/>
          <w:numId w:val="2"/>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Los IDS basados en red (NIDS) </w:t>
      </w:r>
      <w:r>
        <w:rPr>
          <w:rFonts w:ascii="Arial" w:hAnsi="Arial" w:eastAsia="Arial" w:cs="Arial"/>
          <w:sz w:val="16"/>
          <w:szCs w:val="16"/>
          <w:color w:val="auto"/>
        </w:rPr>
        <w:t xml:space="preserve">supervisan y analizan el tráfico de red en distintas capas para detectar intrusos.</w:t>
      </w:r>
    </w:p>
    <w:p>
      <w:pPr>
        <w:jc w:val="both"/>
        <w:ind w:start="408" w:hanging="137"/>
        <w:spacing w:after="0" w:line="380" w:lineRule="auto"/>
        <w:tabs>
          <w:tab w:val="left" w:leader="none" w:pos="408"/>
        </w:tabs>
        <w:numPr>
          <w:ilvl w:val="1"/>
          <w:numId w:val="2"/>
        </w:numPr>
        <w:rPr>
          <w:rFonts w:ascii="Arial" w:hAnsi="Arial" w:eastAsia="Arial" w:cs="Arial"/>
          <w:sz w:val="15"/>
          <w:szCs w:val="15"/>
          <w:b w:val="1"/>
          <w:bCs w:val="1"/>
          <w:color w:val="auto"/>
        </w:rPr>
      </w:pPr>
      <w:r>
        <w:rPr>
          <w:rFonts w:ascii="Arial" w:hAnsi="Arial" w:eastAsia="Arial" w:cs="Arial"/>
          <w:sz w:val="15"/>
          <w:szCs w:val="15"/>
          <w:i w:val="1"/>
          <w:iCs w:val="1"/>
          <w:color w:val="auto"/>
        </w:rPr>
        <w:t xml:space="preserve">Los IDS basados en host (HIDS)</w:t>
      </w:r>
      <w:r>
        <w:rPr>
          <w:rFonts w:ascii="Arial" w:hAnsi="Arial" w:eastAsia="Arial" w:cs="Arial"/>
          <w:sz w:val="15"/>
          <w:szCs w:val="15"/>
          <w:color w:val="auto"/>
        </w:rPr>
        <w:t xml:space="preserve">, supervisan la infraestructura informática para detectar cambios internos explotando indicadores del host como archivos de registro de sensores, recursos de disco, procesos de información de cuentas de usuario, etc.</w:t>
      </w:r>
    </w:p>
    <w:p>
      <w:pPr>
        <w:spacing w:after="0" w:line="56" w:lineRule="exact"/>
        <w:rPr>
          <w:rFonts w:ascii="Arial" w:hAnsi="Arial" w:eastAsia="Arial" w:cs="Arial"/>
          <w:sz w:val="15"/>
          <w:szCs w:val="15"/>
          <w:b w:val="1"/>
          <w:bCs w:val="1"/>
          <w:color w:val="auto"/>
        </w:rPr>
      </w:pPr>
    </w:p>
    <w:p>
      <w:pPr>
        <w:ind w:start="128"/>
        <w:spacing w:after="0" w:line="376" w:lineRule="exact"/>
        <w:rPr>
          <w:rFonts w:ascii="Arial" w:hAnsi="Arial" w:eastAsia="Arial" w:cs="Arial"/>
          <w:sz w:val="15"/>
          <w:szCs w:val="15"/>
          <w:b w:val="1"/>
          <w:bCs w:val="1"/>
          <w:color w:val="auto"/>
        </w:rPr>
      </w:pPr>
      <w:r>
        <w:rPr>
          <w:rFonts w:ascii="Arial Unicode MS" w:hAnsi="Arial Unicode MS" w:eastAsia="Arial Unicode MS" w:cs="Arial Unicode MS"/>
          <w:sz w:val="28"/>
          <w:szCs w:val="28"/>
          <w:color w:val="auto"/>
          <w:vertAlign w:val="superscript"/>
        </w:rPr>
        <w:t xml:space="preserve">∗</w:t>
      </w:r>
      <w:r>
        <w:rPr>
          <w:rFonts w:ascii="Arial" w:hAnsi="Arial" w:eastAsia="Arial" w:cs="Arial"/>
          <w:sz w:val="14"/>
          <w:szCs w:val="14"/>
          <w:color w:val="auto"/>
          <w:vertAlign w:val="superscript"/>
        </w:rPr>
        <w:t xml:space="preserve"> </w:t>
      </w:r>
      <w:r>
        <w:rPr>
          <w:rFonts w:ascii="Arial" w:hAnsi="Arial" w:eastAsia="Arial" w:cs="Arial"/>
          <w:sz w:val="14"/>
          <w:szCs w:val="14"/>
          <w:color w:val="auto"/>
        </w:rPr>
        <w:t xml:space="preserve">Autor correspondiente.</w:t>
      </w:r>
    </w:p>
    <w:p>
      <w:pPr>
        <w:spacing w:after="0" w:line="84" w:lineRule="exact"/>
        <w:rPr>
          <w:rFonts w:ascii="Arial" w:hAnsi="Arial" w:eastAsia="Arial" w:cs="Arial"/>
          <w:sz w:val="15"/>
          <w:szCs w:val="15"/>
          <w:b w:val="1"/>
          <w:bCs w:val="1"/>
          <w:color w:val="auto"/>
        </w:rPr>
      </w:pPr>
    </w:p>
    <w:p>
      <w:pPr>
        <w:ind w:start="308"/>
        <w:spacing w:after="0"/>
        <w:rPr>
          <w:rFonts w:ascii="Arial" w:hAnsi="Arial" w:eastAsia="Arial" w:cs="Arial"/>
          <w:sz w:val="15"/>
          <w:szCs w:val="15"/>
          <w:b w:val="1"/>
          <w:bCs w:val="1"/>
          <w:color w:val="auto"/>
        </w:rPr>
      </w:pPr>
      <w:r>
        <w:rPr>
          <w:rFonts w:ascii="Arial" w:hAnsi="Arial" w:eastAsia="Arial" w:cs="Arial"/>
          <w:sz w:val="14"/>
          <w:szCs w:val="14"/>
          <w:i w:val="1"/>
          <w:iCs w:val="1"/>
          <w:color w:val="auto"/>
        </w:rPr>
        <w:t xml:space="preserve">Dirección de correo electrónico: </w:t>
      </w:r>
      <w:r>
        <w:rPr>
          <w:rFonts w:ascii="Arial" w:hAnsi="Arial" w:eastAsia="Arial" w:cs="Arial"/>
          <w:sz w:val="14"/>
          <w:szCs w:val="14"/>
          <w:color w:val="0080AC"/>
        </w:rPr>
        <w:t xml:space="preserve">ibnkhedhermohamed@hotmail.com </w:t>
      </w:r>
      <w:r>
        <w:rPr>
          <w:rFonts w:ascii="Arial" w:hAnsi="Arial" w:eastAsia="Arial" w:cs="Arial"/>
          <w:sz w:val="14"/>
          <w:szCs w:val="14"/>
          <w:color w:val="auto"/>
        </w:rPr>
        <w:t xml:space="preserve">(M.I. Khedher).</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-283845</wp:posOffset>
                </wp:positionV>
                <wp:extent cx="45529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5295" cy="4763"/>
                        </a:xfrm>
                        <a:prstGeom prst="line">
                          <a:avLst/>
                        </a:prstGeom>
                        <a:solidFill>
                          <a:srgbClr val="FFFFFF"/>
                        </a:solidFill>
                        <a:ln w="6324">
                          <a:solidFill>
                            <a:srgbClr val="000000"/>
                          </a:solidFill>
                          <a:miter lim="800000"/>
                          <a:headEnd/>
                          <a:tailEnd/>
                        </a:ln>
                      </wps:spPr>
                      <wps:bodyPr/>
                    </wps:wsp>
                  </a:graphicData>
                </a:graphic>
              </wp:anchor>
            </w:drawing>
          </mc:Choice>
          <mc:Fallback>
            <w:pict>
              <v:line id="Shape 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3" o:allowincell="f" strokecolor="#000000" strokeweight="0.498pt" from="0pt,-22.3499pt" to="35.85pt,-22.3499pt"/>
            </w:pict>
          </mc:Fallback>
        </mc:AlternateContent>
      </w:r>
    </w:p>
    <w:p>
      <w:pPr>
        <w:spacing w:after="0" w:line="20" w:lineRule="exact"/>
        <w:rPr>
          <w:sz w:val="24"/>
          <w:szCs w:val="24"/>
          <w:color w:val="auto"/>
        </w:rPr>
      </w:pPr>
      <w:r>
        <w:rPr>
          <w:sz w:val="24"/>
          <w:szCs w:val="24"/>
          <w:color w:val="auto"/>
        </w:rPr>
        <w:br w:type="column"/>
      </w:r>
    </w:p>
    <w:p>
      <w:pPr>
        <w:jc w:val="both"/>
        <w:spacing w:after="0" w:line="458" w:lineRule="auto"/>
        <w:rPr>
          <w:sz w:val="20"/>
          <w:szCs w:val="20"/>
          <w:color w:val="auto"/>
        </w:rPr>
      </w:pPr>
      <w:r>
        <w:rPr>
          <w:rFonts w:ascii="Arial" w:hAnsi="Arial" w:eastAsia="Arial" w:cs="Arial"/>
          <w:sz w:val="16"/>
          <w:szCs w:val="16"/>
          <w:color w:val="auto"/>
        </w:rPr>
        <w:t xml:space="preserve">Este artículo se centra en los IDS basados en red. El continuo aumento del número y tipos de amenazas de red contemporáneas [</w:t>
      </w:r>
      <w:r>
        <w:rPr>
          <w:rFonts w:ascii="Arial" w:hAnsi="Arial" w:eastAsia="Arial" w:cs="Arial"/>
          <w:sz w:val="16"/>
          <w:szCs w:val="16"/>
          <w:color w:val="0080AC"/>
        </w:rPr>
        <w:t xml:space="preserve">4] </w:t>
      </w:r>
      <w:r>
        <w:rPr>
          <w:rFonts w:ascii="Arial" w:hAnsi="Arial" w:eastAsia="Arial" w:cs="Arial"/>
          <w:sz w:val="16"/>
          <w:szCs w:val="16"/>
          <w:color w:val="auto"/>
        </w:rPr>
        <w:t xml:space="preserve">motiva este interés.</w:t>
      </w:r>
    </w:p>
    <w:p>
      <w:pPr>
        <w:spacing w:after="0" w:line="2" w:lineRule="exact"/>
        <w:rPr>
          <w:sz w:val="24"/>
          <w:szCs w:val="24"/>
          <w:color w:val="auto"/>
        </w:rPr>
      </w:pPr>
    </w:p>
    <w:p>
      <w:pPr>
        <w:jc w:val="both"/>
        <w:ind w:firstLine="239"/>
        <w:spacing w:after="0" w:line="298" w:lineRule="auto"/>
        <w:rPr>
          <w:sz w:val="20"/>
          <w:szCs w:val="20"/>
          <w:color w:val="auto"/>
        </w:rPr>
      </w:pPr>
      <w:r>
        <w:rPr>
          <w:rFonts w:ascii="Arial" w:hAnsi="Arial" w:eastAsia="Arial" w:cs="Arial"/>
          <w:sz w:val="16"/>
          <w:szCs w:val="16"/>
          <w:color w:val="auto"/>
        </w:rPr>
        <w:t xml:space="preserve">Tanto los enfoques NIDS como HIDS pueden clasificarse en las siguientes categorías:</w:t>
      </w:r>
    </w:p>
    <w:p>
      <w:pPr>
        <w:spacing w:after="0" w:line="1" w:lineRule="exact"/>
        <w:rPr>
          <w:sz w:val="24"/>
          <w:szCs w:val="24"/>
          <w:color w:val="auto"/>
        </w:rPr>
      </w:pPr>
    </w:p>
    <w:p>
      <w:pPr>
        <w:jc w:val="both"/>
        <w:ind w:start="400" w:hanging="137"/>
        <w:spacing w:after="0" w:line="351" w:lineRule="auto"/>
        <w:tabs>
          <w:tab w:val="left" w:leader="none" w:pos="400"/>
        </w:tabs>
        <w:numPr>
          <w:ilvl w:val="0"/>
          <w:numId w:val="3"/>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Los enfoques basados en el uso indebido </w:t>
      </w:r>
      <w:r>
        <w:rPr>
          <w:rFonts w:ascii="Arial" w:hAnsi="Arial" w:eastAsia="Arial" w:cs="Arial"/>
          <w:sz w:val="16"/>
          <w:szCs w:val="16"/>
          <w:color w:val="auto"/>
        </w:rPr>
        <w:t xml:space="preserve">(también llamados </w:t>
      </w:r>
      <w:r>
        <w:rPr>
          <w:rFonts w:ascii="Arial" w:hAnsi="Arial" w:eastAsia="Arial" w:cs="Arial"/>
          <w:sz w:val="16"/>
          <w:szCs w:val="16"/>
          <w:i w:val="1"/>
          <w:iCs w:val="1"/>
          <w:color w:val="auto"/>
        </w:rPr>
        <w:t xml:space="preserve">basados en firmas</w:t>
      </w:r>
      <w:r>
        <w:rPr>
          <w:rFonts w:ascii="Arial" w:hAnsi="Arial" w:eastAsia="Arial" w:cs="Arial"/>
          <w:sz w:val="16"/>
          <w:szCs w:val="16"/>
          <w:color w:val="auto"/>
        </w:rPr>
        <w:t xml:space="preserve">) explotan indicadores (o firmas) extraídos previamente de </w:t>
      </w:r>
      <w:r>
        <w:rPr>
          <w:rFonts w:ascii="Arial" w:hAnsi="Arial" w:eastAsia="Arial" w:cs="Arial"/>
          <w:sz w:val="16"/>
          <w:szCs w:val="16"/>
          <w:color w:val="auto"/>
        </w:rPr>
        <w:t xml:space="preserve">ataques </w:t>
      </w:r>
      <w:r>
        <w:rPr>
          <w:rFonts w:ascii="Arial" w:hAnsi="Arial" w:eastAsia="Arial" w:cs="Arial"/>
          <w:sz w:val="16"/>
          <w:szCs w:val="16"/>
          <w:i w:val="1"/>
          <w:iCs w:val="1"/>
          <w:color w:val="auto"/>
        </w:rPr>
        <w:t xml:space="preserve">conocidos</w:t>
      </w:r>
      <w:r>
        <w:rPr>
          <w:rFonts w:ascii="Arial" w:hAnsi="Arial" w:eastAsia="Arial" w:cs="Arial"/>
          <w:sz w:val="16"/>
          <w:szCs w:val="16"/>
          <w:color w:val="auto"/>
        </w:rPr>
        <w:t xml:space="preserve">. Las firmas se generan manualmente para cada nuevo ataque. Por lo tanto, mantener una lista actualizada de firmas es costoso debido al creciente número y diversidad de ataques.</w:t>
      </w:r>
    </w:p>
    <w:p>
      <w:pPr>
        <w:spacing w:after="0" w:line="2" w:lineRule="exact"/>
        <w:rPr>
          <w:rFonts w:ascii="Arial" w:hAnsi="Arial" w:eastAsia="Arial" w:cs="Arial"/>
          <w:sz w:val="16"/>
          <w:szCs w:val="16"/>
          <w:b w:val="1"/>
          <w:bCs w:val="1"/>
          <w:color w:val="auto"/>
        </w:rPr>
      </w:pPr>
    </w:p>
    <w:p>
      <w:pPr>
        <w:jc w:val="both"/>
        <w:ind w:start="400" w:hanging="137"/>
        <w:spacing w:after="0" w:line="402" w:lineRule="auto"/>
        <w:tabs>
          <w:tab w:val="left" w:leader="none" w:pos="400"/>
        </w:tabs>
        <w:numPr>
          <w:ilvl w:val="0"/>
          <w:numId w:val="3"/>
        </w:numPr>
        <w:rPr>
          <w:rFonts w:ascii="Arial" w:hAnsi="Arial" w:eastAsia="Arial" w:cs="Arial"/>
          <w:sz w:val="15"/>
          <w:szCs w:val="15"/>
          <w:b w:val="1"/>
          <w:bCs w:val="1"/>
          <w:color w:val="auto"/>
        </w:rPr>
      </w:pPr>
      <w:r>
        <w:rPr>
          <w:rFonts w:ascii="Arial" w:hAnsi="Arial" w:eastAsia="Arial" w:cs="Arial"/>
          <w:sz w:val="15"/>
          <w:szCs w:val="15"/>
          <w:i w:val="1"/>
          <w:iCs w:val="1"/>
          <w:color w:val="auto"/>
        </w:rPr>
        <w:t xml:space="preserve">Los enfoques basados en anomalías </w:t>
      </w:r>
      <w:r>
        <w:rPr>
          <w:rFonts w:ascii="Arial" w:hAnsi="Arial" w:eastAsia="Arial" w:cs="Arial"/>
          <w:sz w:val="15"/>
          <w:szCs w:val="15"/>
          <w:color w:val="auto"/>
        </w:rPr>
        <w:t xml:space="preserve">modelan el comportamiento normal de la red, en contraposición al comportamiento malicioso. Aunque estos enfoques son ca-paces de detectar nuevos ataques, adolecen de una alta tasa de falsas alarmas porque un </w:t>
      </w:r>
      <w:r>
        <w:rPr>
          <w:rFonts w:ascii="Arial" w:hAnsi="Arial" w:eastAsia="Arial" w:cs="Arial"/>
          <w:sz w:val="15"/>
          <w:szCs w:val="15"/>
          <w:i w:val="1"/>
          <w:iCs w:val="1"/>
          <w:color w:val="auto"/>
        </w:rPr>
        <w:t xml:space="preserve">nuevo comportamiento normal </w:t>
      </w:r>
      <w:r>
        <w:rPr>
          <w:rFonts w:ascii="Arial" w:hAnsi="Arial" w:eastAsia="Arial" w:cs="Arial"/>
          <w:sz w:val="15"/>
          <w:szCs w:val="15"/>
          <w:color w:val="auto"/>
        </w:rPr>
        <w:t xml:space="preserve">puede ser detectado como malicioso.</w:t>
      </w:r>
    </w:p>
    <w:p>
      <w:pPr>
        <w:spacing w:after="0" w:line="849" w:lineRule="exact"/>
        <w:rPr>
          <w:sz w:val="24"/>
          <w:szCs w:val="24"/>
          <w:color w:val="auto"/>
        </w:rPr>
      </w:pPr>
    </w:p>
    <w:p>
      <w:pPr>
        <w:sectPr>
          <w:pgSz w:w="11900" w:h="15874" w:orient="portrait"/>
          <w:cols w:equalWidth="0" w:num="2">
            <w:col w:w="5028" w:space="360"/>
            <w:col w:w="5020"/>
          </w:cols>
          <w:pgMar w:top="653" w:right="746" w:bottom="693" w:left="752" w:header="0" w:footer="0" w:gutter="0"/>
          <w:type w:val="continuous"/>
        </w:sectPr>
      </w:pPr>
    </w:p>
    <w:p>
      <w:pPr>
        <w:ind w:start="8"/>
        <w:spacing w:after="0"/>
        <w:rPr>
          <w:sz w:val="20"/>
          <w:szCs w:val="20"/>
          <w:color w:val="auto"/>
        </w:rPr>
      </w:pPr>
      <w:r>
        <w:rPr>
          <w:rFonts w:ascii="Arial" w:hAnsi="Arial" w:eastAsia="Arial" w:cs="Arial"/>
          <w:sz w:val="14"/>
          <w:szCs w:val="14"/>
          <w:color w:val="0080AC"/>
        </w:rPr>
        <w:t xml:space="preserve">https://doi.org/10.1016/j.comnet.2022.109073</w:t>
      </w:r>
    </w:p>
    <w:p>
      <w:pPr>
        <w:spacing w:after="0" w:line="66" w:lineRule="exact"/>
        <w:rPr>
          <w:sz w:val="24"/>
          <w:szCs w:val="24"/>
          <w:color w:val="auto"/>
        </w:rPr>
      </w:pPr>
    </w:p>
    <w:p>
      <w:pPr>
        <w:ind w:start="8"/>
        <w:spacing w:after="0"/>
        <w:rPr>
          <w:sz w:val="20"/>
          <w:szCs w:val="20"/>
          <w:color w:val="auto"/>
        </w:rPr>
      </w:pPr>
      <w:r>
        <w:rPr>
          <w:rFonts w:ascii="Arial" w:hAnsi="Arial" w:eastAsia="Arial" w:cs="Arial"/>
          <w:sz w:val="14"/>
          <w:szCs w:val="14"/>
          <w:color w:val="auto"/>
        </w:rPr>
        <w:t xml:space="preserve">Recibido el 6 de octubre de 2021; Recibido en versión revisada el 26 de abril de 2022; Aceptado el 23 de mayo de 2022</w:t>
      </w:r>
    </w:p>
    <w:p>
      <w:pPr>
        <w:ind w:start="8"/>
        <w:spacing w:after="0"/>
        <w:rPr>
          <w:sz w:val="20"/>
          <w:szCs w:val="20"/>
          <w:color w:val="auto"/>
        </w:rPr>
      </w:pPr>
      <w:r>
        <w:rPr>
          <w:rFonts w:ascii="Arial" w:hAnsi="Arial" w:eastAsia="Arial" w:cs="Arial"/>
          <w:sz w:val="14"/>
          <w:szCs w:val="14"/>
          <w:color w:val="auto"/>
        </w:rPr>
        <w:t xml:space="preserve">Disponible en línea el 3 de junio de 2022</w:t>
      </w:r>
    </w:p>
    <w:p>
      <w:pPr>
        <w:spacing w:after="0" w:line="1" w:lineRule="exact"/>
        <w:rPr>
          <w:sz w:val="24"/>
          <w:szCs w:val="24"/>
          <w:color w:val="auto"/>
        </w:rPr>
      </w:pPr>
    </w:p>
    <w:p>
      <w:pPr>
        <w:ind w:start="8"/>
        <w:spacing w:after="0"/>
        <w:rPr>
          <w:sz w:val="20"/>
          <w:szCs w:val="20"/>
          <w:color w:val="auto"/>
        </w:rPr>
      </w:pPr>
      <w:r>
        <w:rPr>
          <w:rFonts w:ascii="Arial" w:hAnsi="Arial" w:eastAsia="Arial" w:cs="Arial"/>
          <w:sz w:val="14"/>
          <w:szCs w:val="14"/>
          <w:color w:val="auto"/>
        </w:rPr>
        <w:t xml:space="preserve">1389-1286/© 2022 Elsevier B.V. Todos los derechos reservados.</w:t>
      </w:r>
    </w:p>
    <w:p>
      <w:pPr>
        <w:sectPr>
          <w:pgSz w:w="11900" w:h="15874" w:orient="portrait"/>
          <w:cols w:equalWidth="0" w:num="1">
            <w:col w:w="10408"/>
          </w:cols>
          <w:pgMar w:top="653" w:right="746" w:bottom="693" w:left="752" w:header="0" w:footer="0" w:gutter="0"/>
          <w:type w:val="continuous"/>
        </w:sectPr>
      </w:pPr>
    </w:p>
    <w:bookmarkStart w:name="page2" w:id="1"/>
    <w:bookmarkEnd w:id="1"/>
    <w:p>
      <w:pPr>
        <w:spacing w:after="0"/>
        <w:rPr>
          <w:sz w:val="20"/>
          <w:szCs w:val="20"/>
          <w:color w:val="auto"/>
        </w:rPr>
      </w:pPr>
      <w:r>
        <w:rPr>
          <w:rFonts w:ascii="Arial" w:hAnsi="Arial" w:eastAsia="Arial" w:cs="Arial"/>
          <w:sz w:val="13"/>
          <w:szCs w:val="13"/>
          <w:i w:val="1"/>
          <w:iCs w:val="1"/>
          <w:color w:val="auto"/>
        </w:rPr>
        <w:t xml:space="preserve">H. Jmila y M.I. Khedher</w:t>
      </w:r>
    </w:p>
    <w:p>
      <w:pPr>
        <w:spacing w:after="0" w:line="382" w:lineRule="exact"/>
        <w:rPr>
          <w:sz w:val="20"/>
          <w:szCs w:val="20"/>
          <w:color w:val="auto"/>
        </w:rPr>
      </w:pPr>
    </w:p>
    <w:tbl>
      <w:tblPr>
        <w:tblLayout w:type="fixed"/>
        <w:tblInd w:w="10" w:type="dxa"/>
        <w:tblCellMar>
          <w:top w:w="0" w:type="dxa"/>
          <w:left w:w="0" w:type="dxa"/>
          <w:bottom w:w="0" w:type="dxa"/>
          <w:right w:w="0" w:type="dxa"/>
        </w:tblCellMar>
      </w:tblPr>
      <w:tr>
        <w:trPr>
          <w:trHeight w:val="320"/>
        </w:trPr>
        <w:tc>
          <w:tcPr>
            <w:tcW w:w="1520" w:type="dxa"/>
            <w:vAlign w:val="bottom"/>
            <w:tcBorders>
              <w:top w:val="single" w:color="auto" w:sz="8"/>
              <w:left w:val="single" w:color="auto" w:sz="8"/>
            </w:tcBorders>
          </w:tcPr>
          <w:p>
            <w:pPr>
              <w:ind w:start="200"/>
              <w:spacing w:after="0"/>
              <w:rPr>
                <w:sz w:val="20"/>
                <w:szCs w:val="20"/>
                <w:color w:val="auto"/>
              </w:rPr>
            </w:pPr>
            <w:r>
              <w:rPr>
                <w:rFonts w:ascii="Arial" w:hAnsi="Arial" w:eastAsia="Arial" w:cs="Arial"/>
                <w:sz w:val="16"/>
                <w:szCs w:val="16"/>
                <w:b w:val="1"/>
                <w:bCs w:val="1"/>
                <w:color w:val="auto"/>
              </w:rPr>
              <w:t xml:space="preserve">Nomenclatura</w:t>
            </w:r>
          </w:p>
        </w:tc>
        <w:tc>
          <w:tcPr>
            <w:tcW w:w="3520" w:type="dxa"/>
            <w:vAlign w:val="bottom"/>
            <w:tcBorders>
              <w:top w:val="single" w:color="auto" w:sz="8"/>
              <w:right w:val="single" w:color="auto" w:sz="8"/>
            </w:tcBorders>
            <w:vMerge w:val="restart"/>
          </w:tcPr>
          <w:p>
            <w:pPr>
              <w:ind w:start="240"/>
              <w:spacing w:after="0"/>
              <w:rPr>
                <w:sz w:val="20"/>
                <w:szCs w:val="20"/>
                <w:color w:val="auto"/>
              </w:rPr>
            </w:pPr>
            <w:r>
              <w:rPr>
                <w:rFonts w:ascii="Arial" w:hAnsi="Arial" w:eastAsia="Arial" w:cs="Arial"/>
                <w:sz w:val="16"/>
                <w:szCs w:val="16"/>
                <w:color w:val="auto"/>
              </w:rPr>
              <w:t xml:space="preserve">Precisión de la predicción de anomalías</w:t>
            </w:r>
          </w:p>
        </w:tc>
        <w:tc>
          <w:tcPr>
            <w:tcW w:w="0" w:type="dxa"/>
            <w:vAlign w:val="bottom"/>
          </w:tcPr>
          <w:p>
            <w:pPr>
              <w:spacing w:after="0"/>
              <w:rPr>
                <w:sz w:val="1"/>
                <w:szCs w:val="1"/>
                <w:color w:val="auto"/>
              </w:rPr>
            </w:pPr>
          </w:p>
        </w:tc>
      </w:tr>
      <w:tr>
        <w:trPr>
          <w:trHeight w:val="3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AAC</w:t>
            </w:r>
          </w:p>
        </w:tc>
        <w:tc>
          <w:tcPr>
            <w:tcW w:w="3520" w:type="dxa"/>
            <w:vAlign w:val="bottom"/>
            <w:tcBorders>
              <w:right w:val="single" w:color="auto" w:sz="8"/>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AdvML</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Aprendizaje automático adversarial</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ANN</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Red neuronal artificial</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BIM</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Método iterativo básico</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C&amp;W</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Carlini y Wagner</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CNN</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Redes neuronales convolucionales</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DDoS</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Denegación de servicio distribuida</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DNN</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Red neuronal profunda</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DT</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Árbol de decisión</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FFNN</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Red neuronal directa</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FGSM</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Método de signo de gradiente rápido</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FNR</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Tasa de falsos negativos</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GAN</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Redes generativas adversariales</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GAN</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Red Generativa Adversarial</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GB</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Refuerzo de gradiente</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GMM</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Modelo de mezcla gaussiana</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HIDS</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IDS en casa</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HSJ</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Hop Skip Jump</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IDS</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Sistema de detección de intrusos</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IoT</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Internet de los objetos</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JSMA</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Ataque al mapa de saliencia basado en jacobianos</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KNN</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Vecinos más próximos K</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ML</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Aprendizaje automático</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NIDS</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IDS en red</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PGD</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Descenso gradual proyectado</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RF</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Aprendizaje por refuerzo</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RNN</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Red neuronal recurrente</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SOA</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Estado de la técnica</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VPC</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Clasificador de vectores de apoyo</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SVM</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Máquina de vectores soporte</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TAC</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Precisión total de la predicción</w:t>
            </w:r>
          </w:p>
        </w:tc>
        <w:tc>
          <w:tcPr>
            <w:tcW w:w="0" w:type="dxa"/>
            <w:vAlign w:val="bottom"/>
          </w:tcPr>
          <w:p>
            <w:pPr>
              <w:spacing w:after="0"/>
              <w:rPr>
                <w:sz w:val="1"/>
                <w:szCs w:val="1"/>
                <w:color w:val="auto"/>
              </w:rPr>
            </w:pPr>
          </w:p>
        </w:tc>
      </w:tr>
      <w:tr>
        <w:trPr>
          <w:trHeight w:val="229"/>
        </w:trPr>
        <w:tc>
          <w:tcPr>
            <w:tcW w:w="1520" w:type="dxa"/>
            <w:vAlign w:val="bottom"/>
            <w:tcBorders>
              <w:left w:val="single" w:color="auto" w:sz="8"/>
            </w:tcBorders>
          </w:tcPr>
          <w:p>
            <w:pPr>
              <w:ind w:start="220"/>
              <w:spacing w:after="0"/>
              <w:rPr>
                <w:sz w:val="20"/>
                <w:szCs w:val="20"/>
                <w:color w:val="auto"/>
              </w:rPr>
            </w:pPr>
            <w:r>
              <w:rPr>
                <w:rFonts w:ascii="Arial" w:hAnsi="Arial" w:eastAsia="Arial" w:cs="Arial"/>
                <w:sz w:val="16"/>
                <w:szCs w:val="16"/>
                <w:color w:val="auto"/>
              </w:rPr>
              <w:t xml:space="preserve">PAU</w:t>
            </w:r>
          </w:p>
        </w:tc>
        <w:tc>
          <w:tcPr>
            <w:tcW w:w="3520" w:type="dxa"/>
            <w:vAlign w:val="bottom"/>
            <w:tcBorders>
              <w:right w:val="single" w:color="auto" w:sz="8"/>
            </w:tcBorders>
          </w:tcPr>
          <w:p>
            <w:pPr>
              <w:ind w:start="240"/>
              <w:spacing w:after="0"/>
              <w:rPr>
                <w:sz w:val="20"/>
                <w:szCs w:val="20"/>
                <w:color w:val="auto"/>
              </w:rPr>
            </w:pPr>
            <w:r>
              <w:rPr>
                <w:rFonts w:ascii="Arial" w:hAnsi="Arial" w:eastAsia="Arial" w:cs="Arial"/>
                <w:sz w:val="16"/>
                <w:szCs w:val="16"/>
                <w:color w:val="auto"/>
              </w:rPr>
              <w:t xml:space="preserve">Perturbaciones Adversariales Universales</w:t>
            </w:r>
          </w:p>
        </w:tc>
        <w:tc>
          <w:tcPr>
            <w:tcW w:w="0" w:type="dxa"/>
            <w:vAlign w:val="bottom"/>
          </w:tcPr>
          <w:p>
            <w:pPr>
              <w:spacing w:after="0"/>
              <w:rPr>
                <w:sz w:val="1"/>
                <w:szCs w:val="1"/>
                <w:color w:val="auto"/>
              </w:rPr>
            </w:pPr>
          </w:p>
        </w:tc>
      </w:tr>
      <w:tr>
        <w:trPr>
          <w:trHeight w:val="463"/>
        </w:trPr>
        <w:tc>
          <w:tcPr>
            <w:tcW w:w="1520" w:type="dxa"/>
            <w:vAlign w:val="bottom"/>
            <w:tcBorders>
              <w:left w:val="single" w:color="auto" w:sz="8"/>
              <w:bottom w:val="single" w:color="auto" w:sz="8"/>
            </w:tcBorders>
          </w:tcPr>
          <w:p>
            <w:pPr>
              <w:ind w:start="220"/>
              <w:spacing w:after="0"/>
              <w:rPr>
                <w:sz w:val="20"/>
                <w:szCs w:val="20"/>
                <w:color w:val="auto"/>
              </w:rPr>
            </w:pPr>
            <w:r>
              <w:rPr>
                <w:rFonts w:ascii="Arial" w:hAnsi="Arial" w:eastAsia="Arial" w:cs="Arial"/>
                <w:sz w:val="16"/>
                <w:szCs w:val="16"/>
                <w:color w:val="auto"/>
              </w:rPr>
              <w:t xml:space="preserve">ZOO</w:t>
            </w:r>
          </w:p>
        </w:tc>
        <w:tc>
          <w:tcPr>
            <w:tcW w:w="3520" w:type="dxa"/>
            <w:vAlign w:val="bottom"/>
            <w:tcBorders>
              <w:bottom w:val="single" w:color="auto" w:sz="8"/>
              <w:right w:val="single" w:color="auto" w:sz="8"/>
            </w:tcBorders>
          </w:tcPr>
          <w:p>
            <w:pPr>
              <w:ind w:start="240"/>
              <w:spacing w:after="0"/>
              <w:rPr>
                <w:sz w:val="20"/>
                <w:szCs w:val="20"/>
                <w:color w:val="auto"/>
              </w:rPr>
            </w:pPr>
            <w:r>
              <w:rPr>
                <w:rFonts w:ascii="Arial" w:hAnsi="Arial" w:eastAsia="Arial" w:cs="Arial"/>
                <w:sz w:val="16"/>
                <w:szCs w:val="16"/>
                <w:color w:val="auto"/>
              </w:rPr>
              <w:t xml:space="preserve">Optimización de orden zerótico</w:t>
            </w:r>
          </w:p>
        </w:tc>
        <w:tc>
          <w:tcPr>
            <w:tcW w:w="0" w:type="dxa"/>
            <w:vAlign w:val="bottom"/>
          </w:tcPr>
          <w:p>
            <w:pPr>
              <w:spacing w:after="0"/>
              <w:rPr>
                <w:sz w:val="1"/>
                <w:szCs w:val="1"/>
                <w:color w:val="auto"/>
              </w:rPr>
            </w:pPr>
          </w:p>
        </w:tc>
      </w:tr>
    </w:tbl>
    <w:p>
      <w:pPr>
        <w:spacing w:after="0" w:line="179" w:lineRule="exact"/>
        <w:rPr>
          <w:sz w:val="20"/>
          <w:szCs w:val="20"/>
          <w:color w:val="auto"/>
        </w:rPr>
      </w:pPr>
    </w:p>
    <w:p>
      <w:pPr>
        <w:jc w:val="both"/>
        <w:ind w:firstLine="239"/>
        <w:spacing w:after="0" w:line="426" w:lineRule="auto"/>
        <w:rPr>
          <w:sz w:val="20"/>
          <w:szCs w:val="20"/>
          <w:color w:val="auto"/>
        </w:rPr>
      </w:pPr>
      <w:r>
        <w:rPr>
          <w:rFonts w:ascii="Arial" w:hAnsi="Arial" w:eastAsia="Arial" w:cs="Arial"/>
          <w:sz w:val="15"/>
          <w:szCs w:val="15"/>
          <w:color w:val="auto"/>
        </w:rPr>
        <w:t xml:space="preserve">La detección de anomalías suele ser considerada por la comunidad como más prometedora que la detección basada en firmas, ya que es capaz de detectar </w:t>
      </w:r>
      <w:r>
        <w:rPr>
          <w:rFonts w:ascii="Arial" w:hAnsi="Arial" w:eastAsia="Arial" w:cs="Arial"/>
          <w:sz w:val="15"/>
          <w:szCs w:val="15"/>
          <w:i w:val="1"/>
          <w:iCs w:val="1"/>
          <w:color w:val="auto"/>
        </w:rPr>
        <w:t xml:space="preserve">ataques desconocidos</w:t>
      </w:r>
      <w:r>
        <w:rPr>
          <w:rFonts w:ascii="Arial" w:hAnsi="Arial" w:eastAsia="Arial" w:cs="Arial"/>
          <w:sz w:val="15"/>
          <w:szCs w:val="15"/>
          <w:color w:val="auto"/>
        </w:rPr>
        <w:t xml:space="preserve">. Por ello, este artículo se centra en los NIDS basados en anomalías.</w:t>
      </w:r>
    </w:p>
    <w:p>
      <w:pPr>
        <w:spacing w:after="0" w:line="1" w:lineRule="exact"/>
        <w:rPr>
          <w:sz w:val="20"/>
          <w:szCs w:val="20"/>
          <w:color w:val="auto"/>
        </w:rPr>
      </w:pPr>
    </w:p>
    <w:p>
      <w:pPr>
        <w:jc w:val="both"/>
        <w:ind w:firstLine="239"/>
        <w:spacing w:after="0" w:line="286" w:lineRule="auto"/>
        <w:rPr>
          <w:sz w:val="20"/>
          <w:szCs w:val="20"/>
          <w:color w:val="auto"/>
        </w:rPr>
      </w:pPr>
      <w:r>
        <w:rPr>
          <w:rFonts w:ascii="Arial" w:hAnsi="Arial" w:eastAsia="Arial" w:cs="Arial"/>
          <w:sz w:val="15"/>
          <w:szCs w:val="15"/>
          <w:color w:val="auto"/>
        </w:rPr>
        <w:t xml:space="preserve">En los últimos años, los enfoques de ML se han utilizado ampliamente para la detección de anomalías. Los enfoques </w:t>
      </w:r>
      <w:r>
        <w:rPr>
          <w:rFonts w:ascii="Arial" w:hAnsi="Arial" w:eastAsia="Arial" w:cs="Arial"/>
          <w:sz w:val="15"/>
          <w:szCs w:val="15"/>
          <w:color w:val="auto"/>
        </w:rPr>
        <w:t xml:space="preserve">existentes pueden clasificarse en </w:t>
      </w:r>
      <w:r>
        <w:rPr>
          <w:rFonts w:ascii="Arial" w:hAnsi="Arial" w:eastAsia="Arial" w:cs="Arial"/>
          <w:sz w:val="15"/>
          <w:szCs w:val="15"/>
          <w:i w:val="1"/>
          <w:iCs w:val="1"/>
          <w:color w:val="auto"/>
        </w:rPr>
        <w:t xml:space="preserve">modelos superficiales (o clásicos) </w:t>
      </w:r>
      <w:r>
        <w:rPr>
          <w:rFonts w:ascii="Arial" w:hAnsi="Arial" w:eastAsia="Arial" w:cs="Arial"/>
          <w:sz w:val="15"/>
          <w:szCs w:val="15"/>
          <w:color w:val="auto"/>
        </w:rPr>
        <w:t xml:space="preserve">[</w:t>
      </w:r>
      <w:r>
        <w:rPr>
          <w:rFonts w:ascii="Arial" w:hAnsi="Arial" w:eastAsia="Arial" w:cs="Arial"/>
          <w:sz w:val="15"/>
          <w:szCs w:val="15"/>
          <w:color w:val="0080AC"/>
        </w:rPr>
        <w:t xml:space="preserve">5</w:t>
      </w:r>
      <w:r>
        <w:rPr>
          <w:rFonts w:ascii="Arial" w:hAnsi="Arial" w:eastAsia="Arial" w:cs="Arial"/>
          <w:sz w:val="15"/>
          <w:szCs w:val="15"/>
          <w:color w:val="auto"/>
        </w:rPr>
        <w:t xml:space="preserve">] y </w:t>
      </w:r>
      <w:r>
        <w:rPr>
          <w:rFonts w:ascii="Arial" w:hAnsi="Arial" w:eastAsia="Arial" w:cs="Arial"/>
          <w:sz w:val="15"/>
          <w:szCs w:val="15"/>
          <w:i w:val="1"/>
          <w:iCs w:val="1"/>
          <w:color w:val="auto"/>
        </w:rPr>
        <w:t xml:space="preserve">modelos de aprendizaje profundo </w:t>
      </w:r>
      <w:r>
        <w:rPr>
          <w:rFonts w:ascii="Arial" w:hAnsi="Arial" w:eastAsia="Arial" w:cs="Arial"/>
          <w:sz w:val="15"/>
          <w:szCs w:val="15"/>
          <w:color w:val="auto"/>
        </w:rPr>
        <w:t xml:space="preserve">[</w:t>
      </w:r>
      <w:r>
        <w:rPr>
          <w:rFonts w:ascii="Arial" w:hAnsi="Arial" w:eastAsia="Arial" w:cs="Arial"/>
          <w:sz w:val="15"/>
          <w:szCs w:val="15"/>
          <w:color w:val="0080AC"/>
        </w:rPr>
        <w:t xml:space="preserve">6</w:t>
      </w:r>
      <w:r>
        <w:rPr>
          <w:rFonts w:ascii="Arial" w:hAnsi="Arial" w:eastAsia="Arial" w:cs="Arial"/>
          <w:sz w:val="15"/>
          <w:szCs w:val="15"/>
          <w:color w:val="auto"/>
        </w:rPr>
        <w:t xml:space="preserve">,</w:t>
      </w:r>
      <w:r>
        <w:rPr>
          <w:rFonts w:ascii="Arial" w:hAnsi="Arial" w:eastAsia="Arial" w:cs="Arial"/>
          <w:sz w:val="15"/>
          <w:szCs w:val="15"/>
          <w:color w:val="0080AC"/>
        </w:rPr>
        <w:t xml:space="preserve">7</w:t>
      </w:r>
      <w:r>
        <w:rPr>
          <w:rFonts w:ascii="Arial" w:hAnsi="Arial" w:eastAsia="Arial" w:cs="Arial"/>
          <w:sz w:val="15"/>
          <w:szCs w:val="15"/>
          <w:color w:val="auto"/>
        </w:rPr>
        <w:t xml:space="preserve">]. El aprendizaje </w:t>
      </w:r>
      <w:r>
        <w:rPr>
          <w:rFonts w:ascii="Arial" w:hAnsi="Arial" w:eastAsia="Arial" w:cs="Arial"/>
          <w:sz w:val="15"/>
          <w:szCs w:val="15"/>
          <w:color w:val="auto"/>
        </w:rPr>
        <w:t xml:space="preserve">profundo implica </w:t>
      </w:r>
      <w:r>
        <w:rPr>
          <w:rFonts w:ascii="Arial" w:hAnsi="Arial" w:eastAsia="Arial" w:cs="Arial"/>
          <w:sz w:val="15"/>
          <w:szCs w:val="15"/>
          <w:color w:val="auto"/>
        </w:rPr>
        <w:t xml:space="preserve">varios niveles de representación y varias capas de unidades de procesamiento no lineal. Por el contrario, </w:t>
      </w:r>
      <w:r>
        <w:rPr>
          <w:rFonts w:ascii="Arial" w:hAnsi="Arial" w:eastAsia="Arial" w:cs="Arial"/>
          <w:sz w:val="15"/>
          <w:szCs w:val="15"/>
          <w:color w:val="auto"/>
        </w:rPr>
        <w:t xml:space="preserve">todos los enfoques que no son de aprendizaje profundo pueden calificarse de aprendizaje superficial, lo que incluye la mayoría de los modelos de aprendizaje automático convencionales propuestos antes de 2006 y las redes neuronales con una sola capa oculta de nodos [</w:t>
      </w:r>
      <w:r>
        <w:rPr>
          <w:rFonts w:ascii="Arial" w:hAnsi="Arial" w:eastAsia="Arial" w:cs="Arial"/>
          <w:sz w:val="15"/>
          <w:szCs w:val="15"/>
          <w:color w:val="0080AC"/>
        </w:rPr>
        <w:t xml:space="preserve">8</w:t>
      </w:r>
      <w:r>
        <w:rPr>
          <w:rFonts w:ascii="Arial" w:hAnsi="Arial" w:eastAsia="Arial" w:cs="Arial"/>
          <w:sz w:val="15"/>
          <w:szCs w:val="15"/>
          <w:color w:val="auto"/>
        </w:rPr>
        <w:t xml:space="preserve">]. Los enfoques superficiales más populares son Random Forest (RF), Decision Tree (DT), Support Vector Machine (SVM), k-Nearest Neighbors (KNN), Hidden Markov Models (HMM) y Ensemble Learning. Se han utilizado modelos de aprendizaje superficial y profundo con resultados prometedores.</w:t>
      </w:r>
    </w:p>
    <w:p>
      <w:pPr>
        <w:spacing w:after="0" w:line="5" w:lineRule="exact"/>
        <w:rPr>
          <w:sz w:val="20"/>
          <w:szCs w:val="20"/>
          <w:color w:val="auto"/>
        </w:rPr>
      </w:pPr>
    </w:p>
    <w:p>
      <w:pPr>
        <w:jc w:val="both"/>
        <w:ind w:firstLine="239"/>
        <w:spacing w:after="0" w:line="283" w:lineRule="auto"/>
        <w:rPr>
          <w:sz w:val="20"/>
          <w:szCs w:val="20"/>
          <w:color w:val="auto"/>
        </w:rPr>
      </w:pPr>
      <w:r>
        <w:rPr>
          <w:rFonts w:ascii="Arial" w:hAnsi="Arial" w:eastAsia="Arial" w:cs="Arial"/>
          <w:sz w:val="16"/>
          <w:szCs w:val="16"/>
          <w:color w:val="auto"/>
        </w:rPr>
        <w:t xml:space="preserve">Mientras que la mayor parte de la investigación se centra en el diseño de nuevos IDS basados en ML, este artículo destaca las vulnerabilidades de los sistemas ML frente a los ataques adversarios. Los ataques de adversarios permiten que un cambio pequeño y cuidadosamente diseñado en la entrada del clasificador ML altere completamente la salida del sistema. El </w:t>
      </w:r>
      <w:r>
        <w:rPr>
          <w:rFonts w:ascii="Arial" w:hAnsi="Arial" w:eastAsia="Arial" w:cs="Arial"/>
          <w:sz w:val="16"/>
          <w:szCs w:val="16"/>
          <w:i w:val="1"/>
          <w:iCs w:val="1"/>
          <w:color w:val="auto"/>
        </w:rPr>
        <w:t xml:space="preserve">Aprendizaje Automático Adversarial </w:t>
      </w:r>
      <w:r>
        <w:rPr>
          <w:rFonts w:ascii="Arial" w:hAnsi="Arial" w:eastAsia="Arial" w:cs="Arial"/>
          <w:sz w:val="16"/>
          <w:szCs w:val="16"/>
          <w:color w:val="auto"/>
        </w:rPr>
        <w:t xml:space="preserve">(AdvML) es el área de investigación que estudia estas vulnerabilidades. Se </w:t>
      </w:r>
      <w:r>
        <w:rPr>
          <w:rFonts w:ascii="Arial" w:hAnsi="Arial" w:eastAsia="Arial" w:cs="Arial"/>
          <w:sz w:val="16"/>
          <w:szCs w:val="16"/>
          <w:color w:val="auto"/>
        </w:rPr>
        <w:t xml:space="preserve">ha explorado ampliamente en los últimos años, en particular en el campo de la visión por ordenador [</w:t>
      </w:r>
      <w:r>
        <w:rPr>
          <w:rFonts w:ascii="Arial" w:hAnsi="Arial" w:eastAsia="Arial" w:cs="Arial"/>
          <w:sz w:val="16"/>
          <w:szCs w:val="16"/>
          <w:color w:val="0080AC"/>
        </w:rPr>
        <w:t xml:space="preserve">9</w:t>
      </w:r>
      <w:r>
        <w:rPr>
          <w:rFonts w:ascii="Arial" w:hAnsi="Arial" w:eastAsia="Arial" w:cs="Arial"/>
          <w:sz w:val="16"/>
          <w:szCs w:val="16"/>
          <w:color w:val="auto"/>
        </w:rPr>
        <w:t xml:space="preserve">]. El estudio del AdvML en ciberseguridad también merece una gran atención dada la sensibilidad de este campo y la necesidad de preservar la confidencialidad, integridad y disponibilidad de datos y sistemas. Es esencial evaluar</w:t>
      </w:r>
    </w:p>
    <w:p>
      <w:pPr>
        <w:spacing w:after="0" w:line="20" w:lineRule="exact"/>
        <w:rPr>
          <w:sz w:val="20"/>
          <w:szCs w:val="20"/>
          <w:color w:val="auto"/>
        </w:rPr>
      </w:pPr>
      <w:r>
        <w:rPr>
          <w:sz w:val="20"/>
          <w:szCs w:val="20"/>
          <w:color w:val="auto"/>
        </w:rPr>
        <w:br w:type="column"/>
      </w:r>
    </w:p>
    <w:p>
      <w:pPr>
        <w:spacing w:after="0" w:line="146" w:lineRule="exact"/>
        <w:rPr>
          <w:sz w:val="20"/>
          <w:szCs w:val="20"/>
          <w:color w:val="auto"/>
        </w:rPr>
      </w:pPr>
    </w:p>
    <w:p>
      <w:pPr>
        <w:ind w:start="2840"/>
        <w:spacing w:after="0"/>
        <w:rPr>
          <w:sz w:val="20"/>
          <w:szCs w:val="20"/>
          <w:color w:val="auto"/>
        </w:rPr>
      </w:pPr>
      <w:r>
        <w:rPr>
          <w:rFonts w:ascii="Arial" w:hAnsi="Arial" w:eastAsia="Arial" w:cs="Arial"/>
          <w:sz w:val="12"/>
          <w:szCs w:val="12"/>
          <w:i w:val="1"/>
          <w:iCs w:val="1"/>
          <w:color w:val="auto"/>
        </w:rPr>
        <w:t xml:space="preserve">Redes informáticas 214 (2022) 109073</w:t>
      </w:r>
    </w:p>
    <w:p>
      <w:pPr>
        <w:spacing w:after="0" w:line="95" w:lineRule="exact"/>
        <w:rPr>
          <w:sz w:val="20"/>
          <w:szCs w:val="20"/>
          <w:color w:val="auto"/>
        </w:rPr>
      </w:pPr>
    </w:p>
    <w:p>
      <w:pPr>
        <w:jc w:val="both"/>
        <w:spacing w:after="0" w:line="320" w:lineRule="auto"/>
        <w:rPr>
          <w:sz w:val="20"/>
          <w:szCs w:val="20"/>
          <w:color w:val="auto"/>
        </w:rPr>
      </w:pPr>
      <w:r>
        <w:rPr>
          <w:rFonts w:ascii="Arial" w:hAnsi="Arial" w:eastAsia="Arial" w:cs="Arial"/>
          <w:sz w:val="15"/>
          <w:szCs w:val="15"/>
          <w:color w:val="auto"/>
        </w:rPr>
        <w:t xml:space="preserve">la </w:t>
      </w:r>
      <w:r>
        <w:rPr>
          <w:rFonts w:ascii="Arial" w:hAnsi="Arial" w:eastAsia="Arial" w:cs="Arial"/>
          <w:sz w:val="15"/>
          <w:szCs w:val="15"/>
          <w:i w:val="1"/>
          <w:iCs w:val="1"/>
          <w:color w:val="auto"/>
        </w:rPr>
        <w:t xml:space="preserve">solidez </w:t>
      </w:r>
      <w:r>
        <w:rPr>
          <w:rFonts w:ascii="Arial" w:hAnsi="Arial" w:eastAsia="Arial" w:cs="Arial"/>
          <w:sz w:val="15"/>
          <w:szCs w:val="15"/>
          <w:color w:val="auto"/>
        </w:rPr>
        <w:t xml:space="preserve">de los sistemas de detección de intrusiones basados en ML antes de desplegarlos en la red. De este modo se evita que los ciberdelincuentes aprovechen las vulnerabilidades de los ML para eludir los IDS y dañar datos y sistemas. La </w:t>
      </w:r>
      <w:r>
        <w:rPr>
          <w:rFonts w:ascii="Arial" w:hAnsi="Arial" w:eastAsia="Arial" w:cs="Arial"/>
          <w:sz w:val="15"/>
          <w:szCs w:val="15"/>
          <w:i w:val="1"/>
          <w:iCs w:val="1"/>
          <w:color w:val="auto"/>
        </w:rPr>
        <w:t xml:space="preserve">robustez </w:t>
      </w:r>
      <w:r>
        <w:rPr>
          <w:rFonts w:ascii="Arial" w:hAnsi="Arial" w:eastAsia="Arial" w:cs="Arial"/>
          <w:sz w:val="15"/>
          <w:szCs w:val="15"/>
          <w:color w:val="auto"/>
        </w:rPr>
        <w:t xml:space="preserve">de un clasificador ML se define como su capacidad para mantener su </w:t>
      </w:r>
      <w:r>
        <w:rPr>
          <w:rFonts w:ascii="Arial" w:hAnsi="Arial" w:eastAsia="Arial" w:cs="Arial"/>
          <w:sz w:val="15"/>
          <w:szCs w:val="15"/>
          <w:color w:val="auto"/>
        </w:rPr>
        <w:t xml:space="preserve">precisión frente a </w:t>
      </w:r>
      <w:r>
        <w:rPr>
          <w:rFonts w:ascii="Arial" w:hAnsi="Arial" w:eastAsia="Arial" w:cs="Arial"/>
          <w:sz w:val="15"/>
          <w:szCs w:val="15"/>
          <w:i w:val="1"/>
          <w:iCs w:val="1"/>
          <w:color w:val="auto"/>
        </w:rPr>
        <w:t xml:space="preserve">muestras adversas</w:t>
      </w:r>
      <w:r>
        <w:rPr>
          <w:rFonts w:ascii="Arial" w:hAnsi="Arial" w:eastAsia="Arial" w:cs="Arial"/>
          <w:sz w:val="15"/>
          <w:szCs w:val="15"/>
          <w:color w:val="auto"/>
        </w:rPr>
        <w:t xml:space="preserve">. </w:t>
      </w:r>
      <w:r>
        <w:rPr>
          <w:rFonts w:ascii="Arial" w:hAnsi="Arial" w:eastAsia="Arial" w:cs="Arial"/>
          <w:sz w:val="15"/>
          <w:szCs w:val="15"/>
          <w:color w:val="auto"/>
        </w:rPr>
        <w:t xml:space="preserve">Una muestra </w:t>
      </w:r>
      <w:r>
        <w:rPr>
          <w:rFonts w:ascii="Arial" w:hAnsi="Arial" w:eastAsia="Arial" w:cs="Arial"/>
          <w:sz w:val="15"/>
          <w:szCs w:val="15"/>
          <w:i w:val="1"/>
          <w:iCs w:val="1"/>
          <w:color w:val="auto"/>
        </w:rPr>
        <w:t xml:space="preserve">adversa </w:t>
      </w:r>
      <w:r>
        <w:rPr>
          <w:rFonts w:ascii="Arial" w:hAnsi="Arial" w:eastAsia="Arial" w:cs="Arial"/>
          <w:sz w:val="15"/>
          <w:szCs w:val="15"/>
          <w:color w:val="auto"/>
        </w:rPr>
        <w:t xml:space="preserve">es una instancia de entrada con una pequeña perturbación que se predice erróneamente. En función de los resultados de la evaluación de la robustez, pueden aplicarse técnicas de defensa adecuadas para mejorar la robustez de los NIDS.</w:t>
      </w:r>
    </w:p>
    <w:p>
      <w:pPr>
        <w:spacing w:after="0" w:line="1" w:lineRule="exact"/>
        <w:rPr>
          <w:sz w:val="20"/>
          <w:szCs w:val="20"/>
          <w:color w:val="auto"/>
        </w:rPr>
      </w:pPr>
    </w:p>
    <w:p>
      <w:pPr>
        <w:jc w:val="both"/>
        <w:ind w:firstLine="239"/>
        <w:spacing w:after="0" w:line="262" w:lineRule="auto"/>
        <w:rPr>
          <w:sz w:val="20"/>
          <w:szCs w:val="20"/>
          <w:color w:val="auto"/>
        </w:rPr>
      </w:pPr>
      <w:r>
        <w:rPr>
          <w:rFonts w:ascii="Arial" w:hAnsi="Arial" w:eastAsia="Arial" w:cs="Arial"/>
          <w:sz w:val="16"/>
          <w:szCs w:val="16"/>
          <w:color w:val="auto"/>
        </w:rPr>
        <w:t xml:space="preserve">Debido a la adopción generalizada de enfoques de aprendizaje profundo para NIDS, la mayoría de los trabajos de investigación evalúan la robustez de los NIDS basados en aprendizaje profundo [</w:t>
      </w:r>
      <w:r>
        <w:rPr>
          <w:rFonts w:ascii="Arial" w:hAnsi="Arial" w:eastAsia="Arial" w:cs="Arial"/>
          <w:sz w:val="16"/>
          <w:szCs w:val="16"/>
          <w:color w:val="0080AC"/>
        </w:rPr>
        <w:t xml:space="preserve">10]</w:t>
      </w:r>
      <w:r>
        <w:rPr>
          <w:rFonts w:ascii="Arial" w:hAnsi="Arial" w:eastAsia="Arial" w:cs="Arial"/>
          <w:sz w:val="16"/>
          <w:szCs w:val="16"/>
          <w:color w:val="auto"/>
        </w:rPr>
        <w:t xml:space="preserve">. </w:t>
      </w:r>
      <w:r>
        <w:rPr>
          <w:rFonts w:ascii="Arial" w:hAnsi="Arial" w:eastAsia="Arial" w:cs="Arial"/>
          <w:sz w:val="16"/>
          <w:szCs w:val="16"/>
          <w:color w:val="auto"/>
        </w:rPr>
        <w:t xml:space="preserve">Sin embargo, los modelos ML superficiales siguen siendo ampliamente utilizados en NIDS debido a su simplicidad y madurez de implementación [</w:t>
      </w:r>
      <w:r>
        <w:rPr>
          <w:rFonts w:ascii="Arial" w:hAnsi="Arial" w:eastAsia="Arial" w:cs="Arial"/>
          <w:sz w:val="16"/>
          <w:szCs w:val="16"/>
          <w:color w:val="0080AC"/>
        </w:rPr>
        <w:t xml:space="preserve">11</w:t>
      </w:r>
      <w:r>
        <w:rPr>
          <w:rFonts w:ascii="Arial" w:hAnsi="Arial" w:eastAsia="Arial" w:cs="Arial"/>
          <w:sz w:val="16"/>
          <w:szCs w:val="16"/>
          <w:color w:val="auto"/>
        </w:rPr>
        <w:t xml:space="preserve">]. Por lo tanto, es interesante estudiar su robustez en un entorno adverso. Este artículo se centra en la evaluación de NIDS basados en ML superficial frente a varios ataques adversariales ampliamente utilizados en el estado del arte.</w:t>
      </w:r>
    </w:p>
    <w:p>
      <w:pPr>
        <w:spacing w:after="0" w:line="5" w:lineRule="exact"/>
        <w:rPr>
          <w:sz w:val="20"/>
          <w:szCs w:val="20"/>
          <w:color w:val="auto"/>
        </w:rPr>
      </w:pPr>
    </w:p>
    <w:p>
      <w:pPr>
        <w:jc w:val="both"/>
        <w:ind w:firstLine="239"/>
        <w:spacing w:after="0" w:line="262" w:lineRule="auto"/>
        <w:rPr>
          <w:sz w:val="20"/>
          <w:szCs w:val="20"/>
          <w:color w:val="auto"/>
        </w:rPr>
      </w:pPr>
      <w:r>
        <w:rPr>
          <w:rFonts w:ascii="Arial" w:hAnsi="Arial" w:eastAsia="Arial" w:cs="Arial"/>
          <w:sz w:val="16"/>
          <w:szCs w:val="16"/>
          <w:color w:val="auto"/>
        </w:rPr>
        <w:t xml:space="preserve">En este trabajo, evaluamos la robustez de 7 clasificadores superficiales, incluyendo Adaboost, Bagging, Gradient boosting, Logistic regression, Decision Tree, random forest, Support Vector Classifier y también un Deep Learning Network, frente a una amplia gama de ataques (un ataque se define como un método de generación de ejemplos adversos). En particular, consideramos ataques de caja blanca y de caja gris/negra. En los ataques de caja blanca, el atacante tiene acceso completo a toda la información sobre la NIDS basada en ML, mientras que en los ataques de caja gris/negra, el atacante tiene poco o ningún conocimiento de la NIDS basada en ML. Los ataques de caja gris/negra son interesantes porque representan el escenario más realista para los ataques de los adversarios. Examinar los ataques de caja blanca es útil para los fabricantes de IDS que tienen pleno acceso a su sistema y desean evaluar su rendimiento frente a ataques de adversarios.</w:t>
      </w:r>
    </w:p>
    <w:p>
      <w:pPr>
        <w:spacing w:after="0" w:line="7" w:lineRule="exact"/>
        <w:rPr>
          <w:sz w:val="20"/>
          <w:szCs w:val="20"/>
          <w:color w:val="auto"/>
        </w:rPr>
      </w:pPr>
    </w:p>
    <w:p>
      <w:pPr>
        <w:jc w:val="center"/>
        <w:ind w:end="400"/>
        <w:spacing w:after="0"/>
        <w:rPr>
          <w:sz w:val="20"/>
          <w:szCs w:val="20"/>
          <w:color w:val="auto"/>
        </w:rPr>
      </w:pPr>
      <w:r>
        <w:rPr>
          <w:rFonts w:ascii="Arial" w:hAnsi="Arial" w:eastAsia="Arial" w:cs="Arial"/>
          <w:sz w:val="16"/>
          <w:szCs w:val="16"/>
          <w:color w:val="auto"/>
        </w:rPr>
        <w:t xml:space="preserve">Este documento aporta las siguientes contribuciones principales:</w:t>
      </w:r>
    </w:p>
    <w:p>
      <w:pPr>
        <w:spacing w:after="0" w:line="47" w:lineRule="exact"/>
        <w:rPr>
          <w:sz w:val="20"/>
          <w:szCs w:val="20"/>
          <w:color w:val="auto"/>
        </w:rPr>
      </w:pPr>
    </w:p>
    <w:p>
      <w:pPr>
        <w:jc w:val="both"/>
        <w:ind w:start="400" w:hanging="137"/>
        <w:spacing w:after="0" w:line="318" w:lineRule="auto"/>
        <w:tabs>
          <w:tab w:val="left" w:leader="none" w:pos="400"/>
        </w:tabs>
        <w:numPr>
          <w:ilvl w:val="0"/>
          <w:numId w:val="4"/>
        </w:numPr>
        <w:rPr>
          <w:rFonts w:ascii="Arial" w:hAnsi="Arial" w:eastAsia="Arial" w:cs="Arial"/>
          <w:sz w:val="16"/>
          <w:szCs w:val="16"/>
          <w:b w:val="1"/>
          <w:bCs w:val="1"/>
          <w:color w:val="auto"/>
        </w:rPr>
      </w:pPr>
      <w:r>
        <w:rPr>
          <w:rFonts w:ascii="Arial" w:hAnsi="Arial" w:eastAsia="Arial" w:cs="Arial"/>
          <w:sz w:val="16"/>
          <w:szCs w:val="16"/>
          <w:color w:val="auto"/>
        </w:rPr>
        <w:t xml:space="preserve">Un estudio claro y estructurado de los ataques adversariales y las técnicas de defensa más utilizadas, además de una revisión exhaustiva de los trabajos actuales sobre NIDS ML adversariales.</w:t>
      </w:r>
    </w:p>
    <w:p>
      <w:pPr>
        <w:spacing w:after="0" w:line="1" w:lineRule="exact"/>
        <w:rPr>
          <w:rFonts w:ascii="Arial" w:hAnsi="Arial" w:eastAsia="Arial" w:cs="Arial"/>
          <w:sz w:val="16"/>
          <w:szCs w:val="16"/>
          <w:b w:val="1"/>
          <w:bCs w:val="1"/>
          <w:color w:val="auto"/>
        </w:rPr>
      </w:pPr>
    </w:p>
    <w:p>
      <w:pPr>
        <w:jc w:val="both"/>
        <w:ind w:start="400" w:hanging="137"/>
        <w:spacing w:after="0" w:line="264" w:lineRule="auto"/>
        <w:tabs>
          <w:tab w:val="left" w:leader="none" w:pos="400"/>
        </w:tabs>
        <w:numPr>
          <w:ilvl w:val="0"/>
          <w:numId w:val="4"/>
        </w:numPr>
        <w:rPr>
          <w:rFonts w:ascii="Arial" w:hAnsi="Arial" w:eastAsia="Arial" w:cs="Arial"/>
          <w:sz w:val="16"/>
          <w:szCs w:val="16"/>
          <w:b w:val="1"/>
          <w:bCs w:val="1"/>
          <w:color w:val="auto"/>
        </w:rPr>
      </w:pPr>
      <w:r>
        <w:rPr>
          <w:rFonts w:ascii="Arial" w:hAnsi="Arial" w:eastAsia="Arial" w:cs="Arial"/>
          <w:sz w:val="16"/>
          <w:szCs w:val="16"/>
          <w:color w:val="auto"/>
        </w:rPr>
        <w:t xml:space="preserve">Estudio en profundidad del impacto de los ataques de adversarios en los NIDS basados en ML. Se exploran varios tipos de ataques (9 de caja blanca y ataques de caja gris/negra) con especial atención a los clasificadores poco profundos. De hecho, a diferencia de la inmensa mayoría de trabajos que estudian el comportamiento de las NIDS en un entorno adversario y se centran en enfoques de aprendizaje profundo, este trabajo se centra en algoritmos poco profundos, que siguen siendo ampliamente utilizados en las NIDS basadas en ML gracias a su sencillez de implementación y madurez. Por tanto, también merece la pena explorar la evaluación de su rendimiento en un entorno adversario.</w:t>
      </w:r>
    </w:p>
    <w:p>
      <w:pPr>
        <w:spacing w:after="0" w:line="4" w:lineRule="exact"/>
        <w:rPr>
          <w:rFonts w:ascii="Arial" w:hAnsi="Arial" w:eastAsia="Arial" w:cs="Arial"/>
          <w:sz w:val="16"/>
          <w:szCs w:val="16"/>
          <w:b w:val="1"/>
          <w:bCs w:val="1"/>
          <w:color w:val="auto"/>
        </w:rPr>
      </w:pPr>
    </w:p>
    <w:p>
      <w:pPr>
        <w:jc w:val="both"/>
        <w:ind w:start="400" w:hanging="137"/>
        <w:spacing w:after="0" w:line="262" w:lineRule="auto"/>
        <w:tabs>
          <w:tab w:val="left" w:leader="none" w:pos="400"/>
        </w:tabs>
        <w:numPr>
          <w:ilvl w:val="0"/>
          <w:numId w:val="4"/>
        </w:numPr>
        <w:rPr>
          <w:rFonts w:ascii="Arial" w:hAnsi="Arial" w:eastAsia="Arial" w:cs="Arial"/>
          <w:sz w:val="16"/>
          <w:szCs w:val="16"/>
          <w:b w:val="1"/>
          <w:bCs w:val="1"/>
          <w:color w:val="auto"/>
        </w:rPr>
      </w:pPr>
      <w:r>
        <w:rPr>
          <w:rFonts w:ascii="Arial" w:hAnsi="Arial" w:eastAsia="Arial" w:cs="Arial"/>
          <w:sz w:val="16"/>
          <w:szCs w:val="16"/>
          <w:color w:val="auto"/>
        </w:rPr>
        <w:t xml:space="preserve">Evaluación de la contribución de una técnica gaussiana de defensa contra el aumento de datos a la mejora de la robustez de los clasificadores.</w:t>
      </w:r>
    </w:p>
    <w:p>
      <w:pPr>
        <w:spacing w:after="0" w:line="1" w:lineRule="exact"/>
        <w:rPr>
          <w:rFonts w:ascii="Arial" w:hAnsi="Arial" w:eastAsia="Arial" w:cs="Arial"/>
          <w:sz w:val="16"/>
          <w:szCs w:val="16"/>
          <w:b w:val="1"/>
          <w:bCs w:val="1"/>
          <w:color w:val="auto"/>
        </w:rPr>
      </w:pPr>
    </w:p>
    <w:p>
      <w:pPr>
        <w:jc w:val="both"/>
        <w:ind w:start="400" w:hanging="137"/>
        <w:spacing w:after="0" w:line="262" w:lineRule="auto"/>
        <w:tabs>
          <w:tab w:val="left" w:leader="none" w:pos="400"/>
        </w:tabs>
        <w:numPr>
          <w:ilvl w:val="0"/>
          <w:numId w:val="4"/>
        </w:numPr>
        <w:rPr>
          <w:rFonts w:ascii="Arial" w:hAnsi="Arial" w:eastAsia="Arial" w:cs="Arial"/>
          <w:sz w:val="16"/>
          <w:szCs w:val="16"/>
          <w:b w:val="1"/>
          <w:bCs w:val="1"/>
          <w:color w:val="auto"/>
        </w:rPr>
      </w:pPr>
      <w:r>
        <w:rPr>
          <w:rFonts w:ascii="Arial" w:hAnsi="Arial" w:eastAsia="Arial" w:cs="Arial"/>
          <w:sz w:val="16"/>
          <w:szCs w:val="16"/>
          <w:color w:val="auto"/>
        </w:rPr>
        <w:t xml:space="preserve">Valiosos resultados y conclusiones que pueden ayudar a los investigadores de seguridad a mejorar la robustez de sus NIDS. Estos resultados se basan en exhaustivos experimentos realizados en distintos escenarios.</w:t>
      </w:r>
    </w:p>
    <w:p>
      <w:pPr>
        <w:spacing w:after="0" w:line="2" w:lineRule="exact"/>
        <w:rPr>
          <w:rFonts w:ascii="Arial" w:hAnsi="Arial" w:eastAsia="Arial" w:cs="Arial"/>
          <w:sz w:val="16"/>
          <w:szCs w:val="16"/>
          <w:b w:val="1"/>
          <w:bCs w:val="1"/>
          <w:color w:val="auto"/>
        </w:rPr>
      </w:pPr>
    </w:p>
    <w:p>
      <w:pPr>
        <w:jc w:val="both"/>
        <w:ind w:start="400" w:hanging="137"/>
        <w:spacing w:after="0" w:line="299" w:lineRule="auto"/>
        <w:tabs>
          <w:tab w:val="left" w:leader="none" w:pos="400"/>
        </w:tabs>
        <w:numPr>
          <w:ilvl w:val="0"/>
          <w:numId w:val="4"/>
        </w:numPr>
        <w:rPr>
          <w:rFonts w:ascii="Arial" w:hAnsi="Arial" w:eastAsia="Arial" w:cs="Arial"/>
          <w:sz w:val="16"/>
          <w:szCs w:val="16"/>
          <w:b w:val="1"/>
          <w:bCs w:val="1"/>
          <w:color w:val="auto"/>
        </w:rPr>
      </w:pPr>
      <w:r>
        <w:rPr>
          <w:rFonts w:ascii="Arial" w:hAnsi="Arial" w:eastAsia="Arial" w:cs="Arial"/>
          <w:sz w:val="16"/>
          <w:szCs w:val="16"/>
          <w:color w:val="auto"/>
        </w:rPr>
        <w:t xml:space="preserve">Las etapas del estudio realizado representan un marco que detalla los pasos a seguir para evaluar la sensibilidad de los NIDS a los ataques de adversarios y mejorar su robustez.</w:t>
      </w:r>
    </w:p>
    <w:p>
      <w:pPr>
        <w:spacing w:after="0" w:line="2" w:lineRule="exact"/>
        <w:rPr>
          <w:sz w:val="20"/>
          <w:szCs w:val="20"/>
          <w:color w:val="auto"/>
        </w:rPr>
      </w:pPr>
    </w:p>
    <w:p>
      <w:pPr>
        <w:jc w:val="both"/>
        <w:ind w:firstLine="239"/>
        <w:spacing w:after="0" w:line="286" w:lineRule="auto"/>
        <w:rPr>
          <w:sz w:val="20"/>
          <w:szCs w:val="20"/>
          <w:color w:val="auto"/>
        </w:rPr>
      </w:pPr>
      <w:r>
        <w:rPr>
          <w:rFonts w:ascii="Arial" w:hAnsi="Arial" w:eastAsia="Arial" w:cs="Arial"/>
          <w:sz w:val="16"/>
          <w:szCs w:val="16"/>
          <w:color w:val="auto"/>
        </w:rPr>
        <w:t xml:space="preserve">El documento se estructura de la siguiente manera. La sección </w:t>
      </w:r>
      <w:r>
        <w:rPr>
          <w:rFonts w:ascii="Arial" w:hAnsi="Arial" w:eastAsia="Arial" w:cs="Arial"/>
          <w:sz w:val="16"/>
          <w:szCs w:val="16"/>
          <w:color w:val="0080AC"/>
        </w:rPr>
        <w:t xml:space="preserve">2 </w:t>
      </w:r>
      <w:r>
        <w:rPr>
          <w:rFonts w:ascii="Arial" w:hAnsi="Arial" w:eastAsia="Arial" w:cs="Arial"/>
          <w:sz w:val="16"/>
          <w:szCs w:val="16"/>
          <w:color w:val="auto"/>
        </w:rPr>
        <w:t xml:space="preserve">describe los retos en el campo de la detección de intrusiones en red. La </w:t>
      </w:r>
      <w:r>
        <w:rPr>
          <w:rFonts w:ascii="Arial" w:hAnsi="Arial" w:eastAsia="Arial" w:cs="Arial"/>
          <w:sz w:val="16"/>
          <w:szCs w:val="16"/>
          <w:color w:val="auto"/>
        </w:rPr>
        <w:t xml:space="preserve">Sección </w:t>
      </w:r>
      <w:r>
        <w:rPr>
          <w:rFonts w:ascii="Arial" w:hAnsi="Arial" w:eastAsia="Arial" w:cs="Arial"/>
          <w:sz w:val="16"/>
          <w:szCs w:val="16"/>
          <w:color w:val="0080AC"/>
        </w:rPr>
        <w:t xml:space="preserve">3</w:t>
      </w:r>
      <w:r>
        <w:rPr>
          <w:rFonts w:ascii="Arial" w:hAnsi="Arial" w:eastAsia="Arial" w:cs="Arial"/>
          <w:sz w:val="16"/>
          <w:szCs w:val="16"/>
          <w:color w:val="auto"/>
        </w:rPr>
        <w:t xml:space="preserve">, proporciona un estado del arte de los ataques adversarios más comúnmente utilizados y las técnicas de defensa, así como un estudio exhaustivo de los enfoques AdvML en el campo de NIDS. La </w:t>
      </w:r>
      <w:r>
        <w:rPr>
          <w:rFonts w:ascii="Arial" w:hAnsi="Arial" w:eastAsia="Arial" w:cs="Arial"/>
          <w:sz w:val="16"/>
          <w:szCs w:val="16"/>
          <w:color w:val="auto"/>
        </w:rPr>
        <w:t xml:space="preserve">Sección </w:t>
      </w:r>
      <w:r>
        <w:rPr>
          <w:rFonts w:ascii="Arial" w:hAnsi="Arial" w:eastAsia="Arial" w:cs="Arial"/>
          <w:sz w:val="16"/>
          <w:szCs w:val="16"/>
          <w:color w:val="0080AC"/>
        </w:rPr>
        <w:t xml:space="preserve">4 </w:t>
      </w:r>
      <w:r>
        <w:rPr>
          <w:rFonts w:ascii="Arial" w:hAnsi="Arial" w:eastAsia="Arial" w:cs="Arial"/>
          <w:sz w:val="16"/>
          <w:szCs w:val="16"/>
          <w:color w:val="auto"/>
        </w:rPr>
        <w:t xml:space="preserve">describe nuestro estudio de evaluación, incluyendo los parámetros de evaluación y el protocolo. La </w:t>
      </w:r>
      <w:r>
        <w:rPr>
          <w:rFonts w:ascii="Arial" w:hAnsi="Arial" w:eastAsia="Arial" w:cs="Arial"/>
          <w:sz w:val="16"/>
          <w:szCs w:val="16"/>
          <w:color w:val="auto"/>
        </w:rPr>
        <w:t xml:space="preserve">sección </w:t>
      </w:r>
      <w:r>
        <w:rPr>
          <w:rFonts w:ascii="Arial" w:hAnsi="Arial" w:eastAsia="Arial" w:cs="Arial"/>
          <w:sz w:val="16"/>
          <w:szCs w:val="16"/>
          <w:color w:val="0080AC"/>
        </w:rPr>
        <w:t xml:space="preserve">5 </w:t>
      </w:r>
      <w:r>
        <w:rPr>
          <w:rFonts w:ascii="Arial" w:hAnsi="Arial" w:eastAsia="Arial" w:cs="Arial"/>
          <w:sz w:val="16"/>
          <w:szCs w:val="16"/>
          <w:color w:val="auto"/>
        </w:rPr>
        <w:t xml:space="preserve">detalla los resultados experimentales. La </w:t>
      </w:r>
      <w:r>
        <w:rPr>
          <w:rFonts w:ascii="Arial" w:hAnsi="Arial" w:eastAsia="Arial" w:cs="Arial"/>
          <w:sz w:val="16"/>
          <w:szCs w:val="16"/>
          <w:color w:val="auto"/>
        </w:rPr>
        <w:t xml:space="preserve">Sección 6 ofrece una discusión y la Sección </w:t>
      </w:r>
      <w:r>
        <w:rPr>
          <w:rFonts w:ascii="Arial" w:hAnsi="Arial" w:eastAsia="Arial" w:cs="Arial"/>
          <w:sz w:val="16"/>
          <w:szCs w:val="16"/>
          <w:color w:val="0080AC"/>
        </w:rPr>
        <w:t xml:space="preserve">7 </w:t>
      </w:r>
      <w:r>
        <w:rPr>
          <w:rFonts w:ascii="Arial" w:hAnsi="Arial" w:eastAsia="Arial" w:cs="Arial"/>
          <w:sz w:val="16"/>
          <w:szCs w:val="16"/>
          <w:color w:val="auto"/>
        </w:rPr>
        <w:t xml:space="preserve">concluye el artículo.</w:t>
      </w:r>
    </w:p>
    <w:p>
      <w:pPr>
        <w:spacing w:after="0" w:line="1" w:lineRule="exact"/>
        <w:rPr>
          <w:sz w:val="20"/>
          <w:szCs w:val="20"/>
          <w:color w:val="auto"/>
        </w:rPr>
      </w:pPr>
    </w:p>
    <w:p>
      <w:pPr>
        <w:spacing w:after="0"/>
        <w:rPr>
          <w:sz w:val="20"/>
          <w:szCs w:val="20"/>
          <w:color w:val="auto"/>
        </w:rPr>
      </w:pPr>
      <w:r>
        <w:rPr>
          <w:rFonts w:ascii="Arial" w:hAnsi="Arial" w:eastAsia="Arial" w:cs="Arial"/>
          <w:sz w:val="16"/>
          <w:szCs w:val="16"/>
          <w:b w:val="1"/>
          <w:bCs w:val="1"/>
          <w:color w:val="auto"/>
        </w:rPr>
        <w:t xml:space="preserve">2. El reto de la detección de intrusiones en la red</w:t>
      </w:r>
    </w:p>
    <w:p>
      <w:pPr>
        <w:spacing w:after="0" w:line="188" w:lineRule="exact"/>
        <w:rPr>
          <w:sz w:val="20"/>
          <w:szCs w:val="20"/>
          <w:color w:val="auto"/>
        </w:rPr>
      </w:pPr>
    </w:p>
    <w:p>
      <w:pPr>
        <w:jc w:val="both"/>
        <w:ind w:firstLine="239"/>
        <w:spacing w:after="0" w:line="389" w:lineRule="auto"/>
        <w:rPr>
          <w:sz w:val="20"/>
          <w:szCs w:val="20"/>
          <w:color w:val="auto"/>
        </w:rPr>
      </w:pPr>
      <w:r>
        <w:rPr>
          <w:rFonts w:ascii="Arial" w:hAnsi="Arial" w:eastAsia="Arial" w:cs="Arial"/>
          <w:sz w:val="16"/>
          <w:szCs w:val="16"/>
          <w:color w:val="auto"/>
        </w:rPr>
        <w:t xml:space="preserve">La detección de intrusiones en la red es una tarea compleja por muchas razones. Los retos pueden estar relacionados con la naturaleza de los datos de tráfico de red o con el modelo de decisión inherente a los NIDS, como se describe a continuación.</w:t>
      </w:r>
    </w:p>
    <w:p>
      <w:pPr>
        <w:spacing w:after="0" w:line="1" w:lineRule="exact"/>
        <w:rPr>
          <w:sz w:val="20"/>
          <w:szCs w:val="20"/>
          <w:color w:val="auto"/>
        </w:rPr>
      </w:pPr>
    </w:p>
    <w:p>
      <w:pPr>
        <w:sectPr>
          <w:pgSz w:w="11900" w:h="15874" w:orient="portrait"/>
          <w:cols w:equalWidth="0" w:num="2">
            <w:col w:w="5020" w:space="360"/>
            <w:col w:w="5020"/>
          </w:cols>
          <w:pgMar w:top="492" w:right="746" w:bottom="85" w:left="760" w:header="0" w:footer="0" w:gutter="0"/>
        </w:sectPr>
      </w:pPr>
    </w:p>
    <w:p>
      <w:pPr>
        <w:jc w:val="center"/>
        <w:spacing w:after="0"/>
        <w:rPr>
          <w:sz w:val="20"/>
          <w:szCs w:val="20"/>
          <w:color w:val="auto"/>
        </w:rPr>
      </w:pPr>
      <w:r>
        <w:rPr>
          <w:rFonts w:ascii="Arial" w:hAnsi="Arial" w:eastAsia="Arial" w:cs="Arial"/>
          <w:sz w:val="13"/>
          <w:szCs w:val="13"/>
          <w:color w:val="auto"/>
        </w:rPr>
        <w:t xml:space="preserve">2</w:t>
      </w:r>
    </w:p>
    <w:p>
      <w:pPr>
        <w:sectPr>
          <w:pgSz w:w="11900" w:h="15874" w:orient="portrait"/>
          <w:cols w:equalWidth="0" w:num="1">
            <w:col w:w="10400"/>
          </w:cols>
          <w:pgMar w:top="492" w:right="746" w:bottom="85" w:left="760" w:header="0" w:footer="0" w:gutter="0"/>
          <w:type w:val="continuous"/>
        </w:sectPr>
      </w:pPr>
    </w:p>
    <w:bookmarkStart w:name="page3" w:id="2"/>
    <w:bookmarkEnd w:id="2"/>
    <w:p>
      <w:pPr>
        <w:ind w:start="8"/>
        <w:spacing w:after="0"/>
        <w:tabs>
          <w:tab w:val="left" w:leader="none" w:pos="8208"/>
        </w:tabs>
        <w:rPr>
          <w:sz w:val="20"/>
          <w:szCs w:val="20"/>
          <w:color w:val="auto"/>
        </w:rPr>
      </w:pPr>
      <w:r>
        <w:rPr>
          <w:rFonts w:ascii="Arial" w:hAnsi="Arial" w:eastAsia="Arial" w:cs="Arial"/>
          <w:sz w:val="13"/>
          <w:szCs w:val="13"/>
          <w:i w:val="1"/>
          <w:iCs w:val="1"/>
          <w:color w:val="auto"/>
        </w:rPr>
        <w:t xml:space="preserve">H. Jmila y M.I. Khedher</w:t>
      </w:r>
      <w:r>
        <w:rPr>
          <w:sz w:val="20"/>
          <w:szCs w:val="20"/>
          <w:color w:val="auto"/>
        </w:rPr>
        <w:tab/>
      </w:r>
      <w:r>
        <w:rPr>
          <w:rFonts w:ascii="Arial" w:hAnsi="Arial" w:eastAsia="Arial" w:cs="Arial"/>
          <w:sz w:val="12"/>
          <w:szCs w:val="12"/>
          <w:i w:val="1"/>
          <w:iCs w:val="1"/>
          <w:color w:val="auto"/>
        </w:rPr>
        <w:t xml:space="preserve">Redes informáticas 214 (2022) 109073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830580</wp:posOffset>
            </wp:positionH>
            <wp:positionV relativeFrom="paragraph">
              <wp:posOffset>300355</wp:posOffset>
            </wp:positionV>
            <wp:extent cx="4944110" cy="7448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extLst>
                    </a:blip>
                    <a:srcRect/>
                    <a:stretch>
                      <a:fillRect/>
                    </a:stretch>
                  </pic:blipFill>
                  <pic:spPr bwMode="auto">
                    <a:xfrm>
                      <a:off x="0" y="0"/>
                      <a:ext cx="4944110" cy="744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start="8"/>
        <w:spacing w:after="0" w:line="513" w:lineRule="auto"/>
        <w:rPr>
          <w:sz w:val="20"/>
          <w:szCs w:val="20"/>
          <w:color w:val="auto"/>
        </w:rPr>
      </w:pPr>
      <w:r>
        <w:rPr>
          <w:rFonts w:ascii="Arial" w:hAnsi="Arial" w:eastAsia="Arial" w:cs="Arial"/>
          <w:sz w:val="13"/>
          <w:szCs w:val="13"/>
          <w:b w:val="1"/>
          <w:bCs w:val="1"/>
          <w:color w:val="auto"/>
        </w:rPr>
        <w:t xml:space="preserve">Fig. 1.</w:t>
      </w:r>
      <w:r>
        <w:rPr>
          <w:rFonts w:ascii="Arial" w:hAnsi="Arial" w:eastAsia="Arial" w:cs="Arial"/>
          <w:sz w:val="13"/>
          <w:szCs w:val="13"/>
          <w:color w:val="auto"/>
        </w:rPr>
        <w:t xml:space="preserve"> Generación de ataques adversarios en NIDS. Una muestra adversa se genera añadiendo una pequeña perturbación a la muestra original. De este modo, el tráfico perturbado malicioso puede ser clasificado erróneamente como benigno y eludir así el sistema de detección de intrusos. Esto puede tener graves consecuencias para el sistema.</w:t>
      </w:r>
    </w:p>
    <w:p>
      <w:pPr>
        <w:sectPr>
          <w:pgSz w:w="11900" w:h="15874" w:orient="portrait"/>
          <w:cols w:equalWidth="0" w:num="1">
            <w:col w:w="10408"/>
          </w:cols>
          <w:pgMar w:top="492" w:right="746" w:bottom="85" w:left="752" w:header="0" w:footer="0" w:gutter="0"/>
        </w:sectPr>
      </w:pPr>
    </w:p>
    <w:p>
      <w:pPr>
        <w:spacing w:after="0" w:line="1" w:lineRule="exact"/>
        <w:rPr>
          <w:sz w:val="20"/>
          <w:szCs w:val="20"/>
          <w:color w:val="auto"/>
        </w:rPr>
      </w:pPr>
    </w:p>
    <w:p>
      <w:pPr>
        <w:ind w:start="8"/>
        <w:spacing w:after="0"/>
        <w:rPr>
          <w:sz w:val="20"/>
          <w:szCs w:val="20"/>
          <w:color w:val="auto"/>
        </w:rPr>
      </w:pPr>
      <w:r>
        <w:rPr>
          <w:rFonts w:ascii="Arial" w:hAnsi="Arial" w:eastAsia="Arial" w:cs="Arial"/>
          <w:sz w:val="16"/>
          <w:szCs w:val="16"/>
          <w:i w:val="1"/>
          <w:iCs w:val="1"/>
          <w:color w:val="auto"/>
        </w:rPr>
        <w:t xml:space="preserve">2.1. Retos relacionados con la naturaleza de los datos de tráfico de la red</w:t>
      </w:r>
    </w:p>
    <w:p>
      <w:pPr>
        <w:spacing w:after="0" w:line="305" w:lineRule="exact"/>
        <w:rPr>
          <w:sz w:val="20"/>
          <w:szCs w:val="20"/>
          <w:color w:val="auto"/>
        </w:rPr>
      </w:pPr>
    </w:p>
    <w:p>
      <w:pPr>
        <w:jc w:val="both"/>
        <w:ind w:start="408" w:hanging="137"/>
        <w:spacing w:after="0" w:line="311" w:lineRule="auto"/>
        <w:tabs>
          <w:tab w:val="left" w:leader="none" w:pos="408"/>
        </w:tabs>
        <w:numPr>
          <w:ilvl w:val="0"/>
          <w:numId w:val="5"/>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Retos relacionados con la explotación de datos</w:t>
      </w:r>
      <w:r>
        <w:rPr>
          <w:rFonts w:ascii="Arial" w:hAnsi="Arial" w:eastAsia="Arial" w:cs="Arial"/>
          <w:sz w:val="16"/>
          <w:szCs w:val="16"/>
          <w:color w:val="auto"/>
        </w:rPr>
        <w:t xml:space="preserve">: en la detección de anomalías en la red, los paquetes capturados representan parcialmente todo el tráfico de la red, ya que los puntos de observación suelen estar muy repartidos. Por tanto, los datos capturados suelen ser escasos, enormes y contener datos redundantes o poco informativos, lo que dificulta su explotación.</w:t>
      </w:r>
    </w:p>
    <w:p>
      <w:pPr>
        <w:spacing w:after="0" w:line="3" w:lineRule="exact"/>
        <w:rPr>
          <w:rFonts w:ascii="Arial" w:hAnsi="Arial" w:eastAsia="Arial" w:cs="Arial"/>
          <w:sz w:val="16"/>
          <w:szCs w:val="16"/>
          <w:b w:val="1"/>
          <w:bCs w:val="1"/>
          <w:color w:val="auto"/>
        </w:rPr>
      </w:pPr>
    </w:p>
    <w:p>
      <w:pPr>
        <w:jc w:val="both"/>
        <w:ind w:start="408" w:hanging="137"/>
        <w:spacing w:after="0" w:line="277" w:lineRule="auto"/>
        <w:tabs>
          <w:tab w:val="left" w:leader="none" w:pos="408"/>
        </w:tabs>
        <w:numPr>
          <w:ilvl w:val="0"/>
          <w:numId w:val="5"/>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Conjuntos de datos desequilibrados</w:t>
      </w:r>
      <w:r>
        <w:rPr>
          <w:rFonts w:ascii="Arial" w:hAnsi="Arial" w:eastAsia="Arial" w:cs="Arial"/>
          <w:sz w:val="16"/>
          <w:szCs w:val="16"/>
          <w:color w:val="auto"/>
        </w:rPr>
        <w:t xml:space="preserve">: En la mayoría de los conjuntos de datos IDS, la cantidad de datos nor-males domina los datos. Esto se debe a la baja frecuencia de los ataques en comparación con el comportamiento normal. Esto hace que los conjuntos de datos disponibles no estén equilibrados. Por tanto, los algoritmos clásicos de aprendizaje automático deben adaptarse al contexto de los conjuntos de datos desequilibrados.</w:t>
      </w:r>
    </w:p>
    <w:p>
      <w:pPr>
        <w:jc w:val="both"/>
        <w:ind w:start="408" w:hanging="137"/>
        <w:spacing w:after="0" w:line="309" w:lineRule="auto"/>
        <w:tabs>
          <w:tab w:val="left" w:leader="none" w:pos="408"/>
        </w:tabs>
        <w:numPr>
          <w:ilvl w:val="0"/>
          <w:numId w:val="5"/>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Variedad de ataques</w:t>
      </w:r>
      <w:r>
        <w:rPr>
          <w:rFonts w:ascii="Arial" w:hAnsi="Arial" w:eastAsia="Arial" w:cs="Arial"/>
          <w:sz w:val="16"/>
          <w:szCs w:val="16"/>
          <w:color w:val="auto"/>
        </w:rPr>
        <w:t xml:space="preserve">: el panorama de los ataques cambia con frecuencia, ya que los atacantes desarrollan constantemente nuevos métodos. Las herramientas de detección y análisis de ataques deben actualizarse y evolucionar continuamente.</w:t>
      </w:r>
    </w:p>
    <w:p>
      <w:pPr>
        <w:spacing w:after="0" w:line="1" w:lineRule="exact"/>
        <w:rPr>
          <w:sz w:val="20"/>
          <w:szCs w:val="20"/>
          <w:color w:val="auto"/>
        </w:rPr>
      </w:pPr>
    </w:p>
    <w:p>
      <w:pPr>
        <w:ind w:start="8"/>
        <w:spacing w:after="0"/>
        <w:rPr>
          <w:sz w:val="20"/>
          <w:szCs w:val="20"/>
          <w:color w:val="auto"/>
        </w:rPr>
      </w:pPr>
      <w:r>
        <w:rPr>
          <w:rFonts w:ascii="Arial" w:hAnsi="Arial" w:eastAsia="Arial" w:cs="Arial"/>
          <w:sz w:val="16"/>
          <w:szCs w:val="16"/>
          <w:i w:val="1"/>
          <w:iCs w:val="1"/>
          <w:color w:val="auto"/>
        </w:rPr>
        <w:t xml:space="preserve">2.2. Retos relacionados con el modelo de decisión</w:t>
      </w:r>
    </w:p>
    <w:p>
      <w:pPr>
        <w:spacing w:after="0" w:line="280" w:lineRule="exact"/>
        <w:rPr>
          <w:sz w:val="20"/>
          <w:szCs w:val="20"/>
          <w:color w:val="auto"/>
        </w:rPr>
      </w:pPr>
    </w:p>
    <w:p>
      <w:pPr>
        <w:jc w:val="both"/>
        <w:ind w:start="408" w:hanging="137"/>
        <w:spacing w:after="0" w:line="347" w:lineRule="auto"/>
        <w:tabs>
          <w:tab w:val="left" w:leader="none" w:pos="408"/>
        </w:tabs>
        <w:numPr>
          <w:ilvl w:val="1"/>
          <w:numId w:val="6"/>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Escalabilidad</w:t>
      </w:r>
      <w:r>
        <w:rPr>
          <w:rFonts w:ascii="Arial" w:hAnsi="Arial" w:eastAsia="Arial" w:cs="Arial"/>
          <w:sz w:val="16"/>
          <w:szCs w:val="16"/>
          <w:color w:val="auto"/>
        </w:rPr>
        <w:t xml:space="preserve">: se trata de un reto habitual para los algoritmos de aprendizaje estadístico. Se define por la capacidad del algoritmo para funcionar con normalidad incluso con datos de gran dimensión.</w:t>
      </w:r>
    </w:p>
    <w:p>
      <w:pPr>
        <w:jc w:val="both"/>
        <w:ind w:start="408" w:hanging="137"/>
        <w:spacing w:after="0" w:line="277" w:lineRule="auto"/>
        <w:tabs>
          <w:tab w:val="left" w:leader="none" w:pos="408"/>
        </w:tabs>
        <w:numPr>
          <w:ilvl w:val="1"/>
          <w:numId w:val="6"/>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IDS en tiempo real:</w:t>
      </w:r>
      <w:r>
        <w:rPr>
          <w:rFonts w:ascii="Arial" w:hAnsi="Arial" w:eastAsia="Arial" w:cs="Arial"/>
          <w:sz w:val="16"/>
          <w:szCs w:val="16"/>
          <w:color w:val="auto"/>
        </w:rPr>
        <w:t xml:space="preserve"> El objetivo de un IDS es detectar ataques y detenerlos antes de que dañen el sistema. Por lo tanto, el diseño de un IDS en tiempo real es muy importante. Un IDS en tiempo real también debe ser eficiente y flexible para funcionar en la mayoría de los ordenadores comerciales.</w:t>
      </w:r>
    </w:p>
    <w:p>
      <w:pPr>
        <w:spacing w:after="0" w:line="2" w:lineRule="exact"/>
        <w:rPr>
          <w:rFonts w:ascii="Arial" w:hAnsi="Arial" w:eastAsia="Arial" w:cs="Arial"/>
          <w:sz w:val="16"/>
          <w:szCs w:val="16"/>
          <w:b w:val="1"/>
          <w:bCs w:val="1"/>
          <w:color w:val="auto"/>
        </w:rPr>
      </w:pPr>
    </w:p>
    <w:p>
      <w:pPr>
        <w:jc w:val="both"/>
        <w:ind w:start="408" w:hanging="137"/>
        <w:spacing w:after="0" w:line="277" w:lineRule="auto"/>
        <w:tabs>
          <w:tab w:val="left" w:leader="none" w:pos="408"/>
        </w:tabs>
        <w:numPr>
          <w:ilvl w:val="1"/>
          <w:numId w:val="6"/>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Alta tasa de falsos positivos:</w:t>
      </w:r>
      <w:r>
        <w:rPr>
          <w:rFonts w:ascii="Arial" w:hAnsi="Arial" w:eastAsia="Arial" w:cs="Arial"/>
          <w:sz w:val="16"/>
          <w:szCs w:val="16"/>
          <w:color w:val="auto"/>
        </w:rPr>
        <w:t xml:space="preserve"> Se trata de la notificación de un elevado número de falsas alarmas que corresponden a actividad legítima que ha sido clasificada erróneamente por el IDS. Reconocer las alarmas verdaderas entre el enorme volumen de alarmas es una tarea complicada y que requiere mucho tiempo. Por lo tanto, reducir las falsas alarmas es un problema grave para garantizar la eficacia y el uso de los IDS.</w:t>
      </w:r>
    </w:p>
    <w:p>
      <w:pPr>
        <w:jc w:val="both"/>
        <w:ind w:start="408" w:hanging="137"/>
        <w:spacing w:after="0" w:line="301" w:lineRule="auto"/>
        <w:tabs>
          <w:tab w:val="left" w:leader="none" w:pos="408"/>
        </w:tabs>
        <w:numPr>
          <w:ilvl w:val="1"/>
          <w:numId w:val="6"/>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Vulnerabilidad a los ataques adversarios:</w:t>
      </w:r>
      <w:r>
        <w:rPr>
          <w:rFonts w:ascii="Arial" w:hAnsi="Arial" w:eastAsia="Arial" w:cs="Arial"/>
          <w:sz w:val="16"/>
          <w:szCs w:val="16"/>
          <w:color w:val="auto"/>
        </w:rPr>
        <w:t xml:space="preserve"> Este aspecto se ha descrito anteriormente y es el objeto de este artículo. El </w:t>
      </w:r>
      <w:r>
        <w:rPr>
          <w:rFonts w:ascii="Arial" w:hAnsi="Arial" w:eastAsia="Arial" w:cs="Arial"/>
          <w:sz w:val="16"/>
          <w:szCs w:val="16"/>
          <w:color w:val="auto"/>
        </w:rPr>
        <w:t xml:space="preserve">objetivo es examinar y reducir la vulnerabilidad de varios clasificadores NIDS a ataques de adversarios [</w:t>
      </w:r>
      <w:r>
        <w:rPr>
          <w:rFonts w:ascii="Arial" w:hAnsi="Arial" w:eastAsia="Arial" w:cs="Arial"/>
          <w:sz w:val="16"/>
          <w:szCs w:val="16"/>
          <w:color w:val="0080AC"/>
        </w:rPr>
        <w:t xml:space="preserve">12</w:t>
      </w:r>
      <w:r>
        <w:rPr>
          <w:rFonts w:ascii="Arial" w:hAnsi="Arial" w:eastAsia="Arial" w:cs="Arial"/>
          <w:sz w:val="16"/>
          <w:szCs w:val="16"/>
          <w:color w:val="auto"/>
        </w:rPr>
        <w:t xml:space="preserve">,</w:t>
      </w:r>
      <w:r>
        <w:rPr>
          <w:rFonts w:ascii="Arial" w:hAnsi="Arial" w:eastAsia="Arial" w:cs="Arial"/>
          <w:sz w:val="16"/>
          <w:szCs w:val="16"/>
          <w:color w:val="0080AC"/>
        </w:rPr>
        <w:t xml:space="preserve">13</w:t>
      </w:r>
      <w:r>
        <w:rPr>
          <w:rFonts w:ascii="Arial" w:hAnsi="Arial" w:eastAsia="Arial" w:cs="Arial"/>
          <w:sz w:val="16"/>
          <w:szCs w:val="16"/>
          <w:color w:val="auto"/>
        </w:rPr>
        <w:t xml:space="preserve">].</w:t>
      </w:r>
    </w:p>
    <w:p>
      <w:pPr>
        <w:ind w:start="8" w:hanging="8"/>
        <w:spacing w:after="0" w:line="439" w:lineRule="auto"/>
        <w:tabs>
          <w:tab w:val="left" w:leader="none" w:pos="232"/>
        </w:tabs>
        <w:numPr>
          <w:ilvl w:val="0"/>
          <w:numId w:val="6"/>
        </w:numPr>
        <w:rPr>
          <w:rFonts w:ascii="Arial" w:hAnsi="Arial" w:eastAsia="Arial" w:cs="Arial"/>
          <w:sz w:val="16"/>
          <w:szCs w:val="16"/>
          <w:b w:val="1"/>
          <w:bCs w:val="1"/>
          <w:color w:val="auto"/>
        </w:rPr>
      </w:pPr>
      <w:r>
        <w:rPr>
          <w:rFonts w:ascii="Arial" w:hAnsi="Arial" w:eastAsia="Arial" w:cs="Arial"/>
          <w:sz w:val="16"/>
          <w:szCs w:val="16"/>
          <w:b w:val="1"/>
          <w:bCs w:val="1"/>
          <w:color w:val="auto"/>
        </w:rPr>
        <w:t xml:space="preserve">Ataques adversarios y técnicas de defensa en NIDS: Antecedentes y revisión</w:t>
      </w:r>
    </w:p>
    <w:p>
      <w:pPr>
        <w:ind w:start="8"/>
        <w:spacing w:after="0"/>
        <w:rPr>
          <w:sz w:val="20"/>
          <w:szCs w:val="20"/>
          <w:color w:val="auto"/>
        </w:rPr>
      </w:pPr>
      <w:r>
        <w:rPr>
          <w:rFonts w:ascii="Arial" w:hAnsi="Arial" w:eastAsia="Arial" w:cs="Arial"/>
          <w:sz w:val="16"/>
          <w:szCs w:val="16"/>
          <w:i w:val="1"/>
          <w:iCs w:val="1"/>
          <w:color w:val="auto"/>
        </w:rPr>
        <w:t xml:space="preserve">3.1. Preliminares</w:t>
      </w:r>
    </w:p>
    <w:p>
      <w:pPr>
        <w:spacing w:after="0" w:line="261" w:lineRule="exact"/>
        <w:rPr>
          <w:sz w:val="20"/>
          <w:szCs w:val="20"/>
          <w:color w:val="auto"/>
        </w:rPr>
      </w:pPr>
    </w:p>
    <w:p>
      <w:pPr>
        <w:jc w:val="both"/>
        <w:ind w:start="8" w:firstLine="239"/>
        <w:spacing w:after="0" w:line="284" w:lineRule="auto"/>
        <w:rPr>
          <w:sz w:val="20"/>
          <w:szCs w:val="20"/>
          <w:color w:val="auto"/>
        </w:rPr>
      </w:pPr>
      <w:r>
        <w:rPr>
          <w:rFonts w:ascii="Arial" w:hAnsi="Arial" w:eastAsia="Arial" w:cs="Arial"/>
          <w:sz w:val="16"/>
          <w:szCs w:val="16"/>
          <w:color w:val="auto"/>
        </w:rPr>
        <w:t xml:space="preserve">Generar un ataque adversario implica añadir una pequeña perturbación a la muestra de entrada para que la etiqueta de salida se clasifique erróneamente [</w:t>
      </w:r>
      <w:r>
        <w:rPr>
          <w:rFonts w:ascii="Arial" w:hAnsi="Arial" w:eastAsia="Arial" w:cs="Arial"/>
          <w:sz w:val="16"/>
          <w:szCs w:val="16"/>
          <w:color w:val="0080AC"/>
        </w:rPr>
        <w:t xml:space="preserve">14</w:t>
      </w:r>
      <w:r>
        <w:rPr>
          <w:rFonts w:ascii="Arial" w:hAnsi="Arial" w:eastAsia="Arial" w:cs="Arial"/>
          <w:sz w:val="16"/>
          <w:szCs w:val="16"/>
          <w:color w:val="auto"/>
        </w:rPr>
        <w:t xml:space="preserve">,</w:t>
      </w:r>
      <w:r>
        <w:rPr>
          <w:rFonts w:ascii="Arial" w:hAnsi="Arial" w:eastAsia="Arial" w:cs="Arial"/>
          <w:sz w:val="16"/>
          <w:szCs w:val="16"/>
          <w:color w:val="0080AC"/>
        </w:rPr>
        <w:t xml:space="preserve">15</w:t>
      </w:r>
      <w:r>
        <w:rPr>
          <w:rFonts w:ascii="Arial" w:hAnsi="Arial" w:eastAsia="Arial" w:cs="Arial"/>
          <w:sz w:val="16"/>
          <w:szCs w:val="16"/>
          <w:color w:val="auto"/>
        </w:rPr>
        <w:t xml:space="preserve">]. </w:t>
      </w:r>
      <w:r>
        <w:rPr>
          <w:rFonts w:ascii="Arial" w:hAnsi="Arial" w:eastAsia="Arial" w:cs="Arial"/>
          <w:sz w:val="16"/>
          <w:szCs w:val="16"/>
          <w:color w:val="auto"/>
        </w:rPr>
        <w:t xml:space="preserve">Esto se ilustra en la </w:t>
      </w:r>
      <w:r>
        <w:rPr>
          <w:rFonts w:ascii="Arial" w:hAnsi="Arial" w:eastAsia="Arial" w:cs="Arial"/>
          <w:sz w:val="16"/>
          <w:szCs w:val="16"/>
          <w:color w:val="0080AC"/>
        </w:rPr>
        <w:t xml:space="preserve">Fig. 1 </w:t>
      </w:r>
      <w:r>
        <w:rPr>
          <w:rFonts w:ascii="Arial" w:hAnsi="Arial" w:eastAsia="Arial" w:cs="Arial"/>
          <w:sz w:val="16"/>
          <w:szCs w:val="16"/>
          <w:color w:val="auto"/>
        </w:rPr>
        <w:t xml:space="preserve">en el contexto de los NIDS. Formalmente, sea la muestra de datos de entrada original, el clasificador y = ( ) la etiqueta asociada a . Una muestra de datos</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se considera una muestra adversaria de cuando</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está cerca de bajo una métrica de distancia específica mientras (</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 ≠ . Los ataques adversarios en seguridad de redes pueden clasificarse en dos dimensiones: el </w:t>
      </w:r>
      <w:r>
        <w:rPr>
          <w:rFonts w:ascii="Arial" w:hAnsi="Arial" w:eastAsia="Arial" w:cs="Arial"/>
          <w:sz w:val="16"/>
          <w:szCs w:val="16"/>
          <w:i w:val="1"/>
          <w:iCs w:val="1"/>
          <w:color w:val="auto"/>
        </w:rPr>
        <w:t xml:space="preserve">conocimiento del atacante </w:t>
      </w:r>
      <w:r>
        <w:rPr>
          <w:rFonts w:ascii="Arial" w:hAnsi="Arial" w:eastAsia="Arial" w:cs="Arial"/>
          <w:sz w:val="16"/>
          <w:szCs w:val="16"/>
          <w:color w:val="auto"/>
        </w:rPr>
        <w:t xml:space="preserve">y el </w:t>
      </w:r>
      <w:r>
        <w:rPr>
          <w:rFonts w:ascii="Arial" w:hAnsi="Arial" w:eastAsia="Arial" w:cs="Arial"/>
          <w:sz w:val="16"/>
          <w:szCs w:val="16"/>
          <w:i w:val="1"/>
          <w:iCs w:val="1"/>
          <w:color w:val="auto"/>
        </w:rPr>
        <w:t xml:space="preserve">objetivo del atacante</w:t>
      </w:r>
      <w:r>
        <w:rPr>
          <w:rFonts w:ascii="Arial" w:hAnsi="Arial" w:eastAsia="Arial" w:cs="Arial"/>
          <w:sz w:val="16"/>
          <w:szCs w:val="16"/>
          <w:color w:val="auto"/>
        </w:rPr>
        <w:t xml:space="preserve">:</w:t>
      </w:r>
    </w:p>
    <w:p>
      <w:pPr>
        <w:spacing w:after="0" w:line="3" w:lineRule="exact"/>
        <w:rPr>
          <w:sz w:val="20"/>
          <w:szCs w:val="20"/>
          <w:color w:val="auto"/>
        </w:rPr>
      </w:pPr>
    </w:p>
    <w:p>
      <w:pPr>
        <w:jc w:val="both"/>
        <w:ind w:start="488" w:hanging="224"/>
        <w:spacing w:after="0" w:line="375" w:lineRule="auto"/>
        <w:tabs>
          <w:tab w:val="left" w:leader="none" w:pos="488"/>
        </w:tabs>
        <w:numPr>
          <w:ilvl w:val="0"/>
          <w:numId w:val="7"/>
        </w:numPr>
        <w:rPr>
          <w:rFonts w:ascii="Arial" w:hAnsi="Arial" w:eastAsia="Arial" w:cs="Arial"/>
          <w:sz w:val="16"/>
          <w:szCs w:val="16"/>
          <w:color w:val="auto"/>
        </w:rPr>
      </w:pPr>
      <w:r>
        <w:rPr>
          <w:rFonts w:ascii="Arial" w:hAnsi="Arial" w:eastAsia="Arial" w:cs="Arial"/>
          <w:sz w:val="16"/>
          <w:szCs w:val="16"/>
          <w:i w:val="1"/>
          <w:iCs w:val="1"/>
          <w:color w:val="auto"/>
        </w:rPr>
        <w:t xml:space="preserve">El conocimiento del atacante</w:t>
      </w:r>
      <w:r>
        <w:rPr>
          <w:rFonts w:ascii="Arial" w:hAnsi="Arial" w:eastAsia="Arial" w:cs="Arial"/>
          <w:sz w:val="16"/>
          <w:szCs w:val="16"/>
          <w:color w:val="auto"/>
        </w:rPr>
        <w:t xml:space="preserve">: describe el grado de conocimiento del adversario sobre el sistema NIDS. Podemos caracterizar tres niveles de peligro de ataque [</w:t>
      </w:r>
      <w:r>
        <w:rPr>
          <w:rFonts w:ascii="Arial" w:hAnsi="Arial" w:eastAsia="Arial" w:cs="Arial"/>
          <w:sz w:val="16"/>
          <w:szCs w:val="16"/>
          <w:color w:val="0080AC"/>
        </w:rPr>
        <w:t xml:space="preserve">16</w:t>
      </w:r>
      <w:r>
        <w:rPr>
          <w:rFonts w:ascii="Arial" w:hAnsi="Arial" w:eastAsia="Arial" w:cs="Arial"/>
          <w:sz w:val="16"/>
          <w:szCs w:val="16"/>
          <w:color w:val="auto"/>
        </w:rPr>
        <w:t xml:space="preserve">]:</w:t>
      </w:r>
    </w:p>
    <w:p>
      <w:pPr>
        <w:spacing w:after="0" w:line="20" w:lineRule="exact"/>
        <w:rPr>
          <w:sz w:val="20"/>
          <w:szCs w:val="20"/>
          <w:color w:val="auto"/>
        </w:rPr>
      </w:pPr>
      <w:r>
        <w:rPr>
          <w:sz w:val="20"/>
          <w:szCs w:val="20"/>
          <w:color w:val="auto"/>
        </w:rPr>
        <w:br w:type="column"/>
      </w:r>
    </w:p>
    <w:p>
      <w:pPr>
        <w:jc w:val="both"/>
        <w:ind w:start="860" w:hanging="119"/>
        <w:spacing w:after="0" w:line="314" w:lineRule="auto"/>
        <w:tabs>
          <w:tab w:val="left" w:leader="none" w:pos="860"/>
        </w:tabs>
        <w:numPr>
          <w:ilvl w:val="0"/>
          <w:numId w:val="8"/>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Ataques de caja blanca</w:t>
      </w:r>
      <w:r>
        <w:rPr>
          <w:rFonts w:ascii="Arial" w:hAnsi="Arial" w:eastAsia="Arial" w:cs="Arial"/>
          <w:sz w:val="16"/>
          <w:szCs w:val="16"/>
          <w:color w:val="auto"/>
        </w:rPr>
        <w:t xml:space="preserve">: el atacante se encuentra en la posición más favorable, en la que tiene pleno acceso a toda la información sobre la NIDS basada en ML. Esto incluye los datos de entrenamiento y la arquitectura del modelo de aprendizaje, la decisión y los parámetros (gra-diente, función de pérdida, etc.). Afortunadamente, esto no suele ser factible en la mayoría de los ataques adversarios reales.</w:t>
      </w:r>
    </w:p>
    <w:p>
      <w:pPr>
        <w:spacing w:after="0" w:line="1" w:lineRule="exact"/>
        <w:rPr>
          <w:rFonts w:ascii="Arial" w:hAnsi="Arial" w:eastAsia="Arial" w:cs="Arial"/>
          <w:sz w:val="16"/>
          <w:szCs w:val="16"/>
          <w:b w:val="1"/>
          <w:bCs w:val="1"/>
          <w:color w:val="auto"/>
        </w:rPr>
      </w:pPr>
    </w:p>
    <w:p>
      <w:pPr>
        <w:jc w:val="both"/>
        <w:ind w:start="860" w:hanging="119"/>
        <w:spacing w:after="0" w:line="271" w:lineRule="auto"/>
        <w:tabs>
          <w:tab w:val="left" w:leader="none" w:pos="860"/>
        </w:tabs>
        <w:numPr>
          <w:ilvl w:val="0"/>
          <w:numId w:val="8"/>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Ataques de caja negra:</w:t>
      </w:r>
      <w:r>
        <w:rPr>
          <w:rFonts w:ascii="Arial" w:hAnsi="Arial" w:eastAsia="Arial" w:cs="Arial"/>
          <w:sz w:val="16"/>
          <w:szCs w:val="16"/>
          <w:color w:val="auto"/>
        </w:rPr>
        <w:t xml:space="preserve"> Este es el caso opuesto en el que el atacante ignora completamente el sistema NIDS basado en ML y sus entradas/salidas. Se puede argumentar que un verdadero ataque de caja negra es imposible y rara vez tiene éxito.</w:t>
      </w:r>
    </w:p>
    <w:p>
      <w:pPr>
        <w:spacing w:after="0" w:line="1" w:lineRule="exact"/>
        <w:rPr>
          <w:rFonts w:ascii="Arial" w:hAnsi="Arial" w:eastAsia="Arial" w:cs="Arial"/>
          <w:sz w:val="16"/>
          <w:szCs w:val="16"/>
          <w:b w:val="1"/>
          <w:bCs w:val="1"/>
          <w:color w:val="auto"/>
        </w:rPr>
      </w:pPr>
    </w:p>
    <w:p>
      <w:pPr>
        <w:jc w:val="both"/>
        <w:ind w:start="860" w:hanging="119"/>
        <w:spacing w:after="0" w:line="285" w:lineRule="auto"/>
        <w:tabs>
          <w:tab w:val="left" w:leader="none" w:pos="860"/>
        </w:tabs>
        <w:numPr>
          <w:ilvl w:val="0"/>
          <w:numId w:val="8"/>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Ataques de caja gris: </w:t>
      </w:r>
      <w:r>
        <w:rPr>
          <w:rFonts w:ascii="Arial" w:hAnsi="Arial" w:eastAsia="Arial" w:cs="Arial"/>
          <w:sz w:val="16"/>
          <w:szCs w:val="16"/>
          <w:color w:val="auto"/>
        </w:rPr>
        <w:t xml:space="preserve">este escenario supone un enfoque más realista, en el que el atacante tiene cierto nivel de conocimiento del NIDS basado en ML, y puede tener un acceso limitado a los datos de entrenamiento. El adversario no dispone de la información exacta, pero sí de la suficiente para poder atacar el sistema ML y provocar su fallo.</w:t>
      </w:r>
    </w:p>
    <w:p>
      <w:pPr>
        <w:spacing w:after="0" w:line="3" w:lineRule="exact"/>
        <w:rPr>
          <w:sz w:val="20"/>
          <w:szCs w:val="20"/>
          <w:color w:val="auto"/>
        </w:rPr>
      </w:pPr>
    </w:p>
    <w:p>
      <w:pPr>
        <w:jc w:val="both"/>
        <w:ind w:start="480"/>
        <w:spacing w:after="0" w:line="301" w:lineRule="auto"/>
        <w:rPr>
          <w:sz w:val="20"/>
          <w:szCs w:val="20"/>
          <w:color w:val="auto"/>
        </w:rPr>
      </w:pPr>
      <w:r>
        <w:rPr>
          <w:rFonts w:ascii="Arial" w:hAnsi="Arial" w:eastAsia="Arial" w:cs="Arial"/>
          <w:sz w:val="16"/>
          <w:szCs w:val="16"/>
          <w:color w:val="auto"/>
        </w:rPr>
        <w:t xml:space="preserve">Nótese que en la literatura, por abuso del lenguaje, el término ''ataques de caja negra'' también se utiliza para ''ataques de caja gris'' (por ejemplo, el ataque ZOO se denomina ataque de caja trasera en [</w:t>
      </w:r>
      <w:r>
        <w:rPr>
          <w:rFonts w:ascii="Arial" w:hAnsi="Arial" w:eastAsia="Arial" w:cs="Arial"/>
          <w:sz w:val="16"/>
          <w:szCs w:val="16"/>
          <w:color w:val="0080AC"/>
        </w:rPr>
        <w:t xml:space="preserve">17</w:t>
      </w:r>
      <w:r>
        <w:rPr>
          <w:rFonts w:ascii="Arial" w:hAnsi="Arial" w:eastAsia="Arial" w:cs="Arial"/>
          <w:sz w:val="16"/>
          <w:szCs w:val="16"/>
          <w:color w:val="auto"/>
        </w:rPr>
        <w:t xml:space="preserve">]). En este artículo, utilizamos los términos ''gray/black-box'' para referirnos a los ataques de caja gris descritos a continuación, para matizar entre esta definición y el término ''black-box'' ampliamente utilizado en la literatura.</w:t>
      </w:r>
    </w:p>
    <w:p>
      <w:pPr>
        <w:jc w:val="both"/>
        <w:ind w:start="480" w:hanging="224"/>
        <w:spacing w:after="0" w:line="324" w:lineRule="auto"/>
        <w:tabs>
          <w:tab w:val="left" w:leader="none" w:pos="480"/>
        </w:tabs>
        <w:numPr>
          <w:ilvl w:val="0"/>
          <w:numId w:val="9"/>
        </w:numPr>
        <w:rPr>
          <w:rFonts w:ascii="Arial" w:hAnsi="Arial" w:eastAsia="Arial" w:cs="Arial"/>
          <w:sz w:val="16"/>
          <w:szCs w:val="16"/>
          <w:color w:val="auto"/>
        </w:rPr>
      </w:pPr>
      <w:r>
        <w:rPr>
          <w:rFonts w:ascii="Arial" w:hAnsi="Arial" w:eastAsia="Arial" w:cs="Arial"/>
          <w:sz w:val="16"/>
          <w:szCs w:val="16"/>
          <w:i w:val="1"/>
          <w:iCs w:val="1"/>
          <w:color w:val="auto"/>
        </w:rPr>
        <w:t xml:space="preserve">El objetivo del atacante</w:t>
      </w:r>
      <w:r>
        <w:rPr>
          <w:rFonts w:ascii="Arial" w:hAnsi="Arial" w:eastAsia="Arial" w:cs="Arial"/>
          <w:sz w:val="16"/>
          <w:szCs w:val="16"/>
          <w:color w:val="auto"/>
        </w:rPr>
        <w:t xml:space="preserve">: depende de si quiere simplemente engañar al sistema o inducir una predicción precisa para determinadas entradas. Se pueden enumerar dos formas de ataque:</w:t>
      </w:r>
    </w:p>
    <w:p>
      <w:pPr>
        <w:jc w:val="both"/>
        <w:ind w:start="860" w:hanging="119"/>
        <w:spacing w:after="0" w:line="292" w:lineRule="auto"/>
        <w:tabs>
          <w:tab w:val="left" w:leader="none" w:pos="860"/>
        </w:tabs>
        <w:numPr>
          <w:ilvl w:val="1"/>
          <w:numId w:val="9"/>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Ataques dirigidos: </w:t>
      </w:r>
      <w:r>
        <w:rPr>
          <w:rFonts w:ascii="Arial" w:hAnsi="Arial" w:eastAsia="Arial" w:cs="Arial"/>
          <w:sz w:val="16"/>
          <w:szCs w:val="16"/>
          <w:color w:val="auto"/>
        </w:rPr>
        <w:t xml:space="preserve">dirigen el algoritmo ML a una clase específica, es decir, el adversario engaña al clasificador para que prediga todos los ejemplos del adversario como una clase objetivo específica.</w:t>
      </w:r>
    </w:p>
    <w:p>
      <w:pPr>
        <w:spacing w:after="0" w:line="2" w:lineRule="exact"/>
        <w:rPr>
          <w:rFonts w:ascii="Arial" w:hAnsi="Arial" w:eastAsia="Arial" w:cs="Arial"/>
          <w:sz w:val="16"/>
          <w:szCs w:val="16"/>
          <w:b w:val="1"/>
          <w:bCs w:val="1"/>
          <w:color w:val="auto"/>
        </w:rPr>
      </w:pPr>
    </w:p>
    <w:p>
      <w:pPr>
        <w:jc w:val="both"/>
        <w:ind w:start="860" w:hanging="119"/>
        <w:spacing w:after="0" w:line="285" w:lineRule="auto"/>
        <w:tabs>
          <w:tab w:val="left" w:leader="none" w:pos="860"/>
        </w:tabs>
        <w:numPr>
          <w:ilvl w:val="1"/>
          <w:numId w:val="9"/>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Ataque no dirigido: tiene como </w:t>
      </w:r>
      <w:r>
        <w:rPr>
          <w:rFonts w:ascii="Arial" w:hAnsi="Arial" w:eastAsia="Arial" w:cs="Arial"/>
          <w:sz w:val="16"/>
          <w:szCs w:val="16"/>
          <w:color w:val="auto"/>
        </w:rPr>
        <w:t xml:space="preserve">objetivo clasificar erróneamente la muestra de entrada fuera de su clase original, independientemente de la nueva clase de salida. Son más fáciles de implementar porque hay más alter-nativas disponibles para reorientar la salida. Tenga en cuenta que en los problemas de clasificación binaria, los ataques dirigidos y no dirigidos son equivalentes.</w:t>
      </w:r>
    </w:p>
    <w:p>
      <w:pPr>
        <w:spacing w:after="0" w:line="3"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3.2. Estudio de los enfoques de generación de ataques adversarios</w:t>
      </w:r>
    </w:p>
    <w:p>
      <w:pPr>
        <w:spacing w:after="0" w:line="220" w:lineRule="exact"/>
        <w:rPr>
          <w:sz w:val="20"/>
          <w:szCs w:val="20"/>
          <w:color w:val="auto"/>
        </w:rPr>
      </w:pPr>
    </w:p>
    <w:p>
      <w:pPr>
        <w:jc w:val="both"/>
        <w:ind w:firstLine="239"/>
        <w:spacing w:after="0" w:line="355" w:lineRule="auto"/>
        <w:rPr>
          <w:sz w:val="20"/>
          <w:szCs w:val="20"/>
          <w:color w:val="auto"/>
        </w:rPr>
      </w:pPr>
      <w:r>
        <w:rPr>
          <w:rFonts w:ascii="Arial" w:hAnsi="Arial" w:eastAsia="Arial" w:cs="Arial"/>
          <w:sz w:val="16"/>
          <w:szCs w:val="16"/>
          <w:color w:val="auto"/>
        </w:rPr>
        <w:t xml:space="preserve">Dado que muchos enfoques de generación de ataques adversariales pueden aplicarse tanto a escenarios dirigidos como no dirigidos, nos basaremos más bien en los conocimientos del atacante para clasificarlos.</w:t>
      </w:r>
    </w:p>
    <w:p>
      <w:pPr>
        <w:spacing w:after="0" w:line="2"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3.2.1. Ataques de caja blanca</w:t>
      </w:r>
    </w:p>
    <w:p>
      <w:pPr>
        <w:spacing w:after="0" w:line="139" w:lineRule="exact"/>
        <w:rPr>
          <w:sz w:val="20"/>
          <w:szCs w:val="20"/>
          <w:color w:val="auto"/>
        </w:rPr>
      </w:pPr>
    </w:p>
    <w:p>
      <w:pPr>
        <w:jc w:val="both"/>
        <w:spacing w:after="0" w:line="268" w:lineRule="auto"/>
        <w:rPr>
          <w:sz w:val="20"/>
          <w:szCs w:val="20"/>
          <w:color w:val="auto"/>
        </w:rPr>
      </w:pPr>
      <w:r>
        <w:rPr>
          <w:rFonts w:ascii="Arial" w:hAnsi="Arial" w:eastAsia="Arial" w:cs="Arial"/>
          <w:sz w:val="16"/>
          <w:szCs w:val="16"/>
          <w:i w:val="1"/>
          <w:iCs w:val="1"/>
          <w:color w:val="auto"/>
        </w:rPr>
        <w:t xml:space="preserve">Fast Gradient Sign Method (FGSM) [</w:t>
      </w:r>
      <w:r>
        <w:rPr>
          <w:rFonts w:ascii="Arial" w:hAnsi="Arial" w:eastAsia="Arial" w:cs="Arial"/>
          <w:sz w:val="16"/>
          <w:szCs w:val="16"/>
          <w:i w:val="1"/>
          <w:iCs w:val="1"/>
          <w:color w:val="0080AC"/>
        </w:rPr>
        <w:t xml:space="preserve">18</w:t>
      </w:r>
      <w:r>
        <w:rPr>
          <w:rFonts w:ascii="Arial" w:hAnsi="Arial" w:eastAsia="Arial" w:cs="Arial"/>
          <w:sz w:val="16"/>
          <w:szCs w:val="16"/>
          <w:i w:val="1"/>
          <w:iCs w:val="1"/>
          <w:color w:val="auto"/>
        </w:rPr>
        <w:t xml:space="preserve">]. </w:t>
      </w:r>
      <w:r>
        <w:rPr>
          <w:rFonts w:ascii="Arial" w:hAnsi="Arial" w:eastAsia="Arial" w:cs="Arial"/>
          <w:sz w:val="16"/>
          <w:szCs w:val="16"/>
          <w:color w:val="auto"/>
        </w:rPr>
        <w:t xml:space="preserve">crea ejemplos adversos añadiendo ruido a la muestra original a lo largo de las direcciones del gradiente.</w:t>
      </w:r>
    </w:p>
    <w:p>
      <w:pPr>
        <w:jc w:val="both"/>
        <w:ind w:firstLine="239"/>
        <w:spacing w:after="0" w:line="303" w:lineRule="auto"/>
        <w:rPr>
          <w:sz w:val="20"/>
          <w:szCs w:val="20"/>
          <w:color w:val="auto"/>
        </w:rPr>
      </w:pPr>
      <w:r>
        <w:rPr>
          <w:rFonts w:ascii="Arial" w:hAnsi="Arial" w:eastAsia="Arial" w:cs="Arial"/>
          <w:sz w:val="16"/>
          <w:szCs w:val="16"/>
          <w:color w:val="auto"/>
        </w:rPr>
        <w:t xml:space="preserve">En la literatura reciente </w:t>
      </w:r>
      <w:r>
        <w:rPr>
          <w:rFonts w:ascii="Arial" w:hAnsi="Arial" w:eastAsia="Arial" w:cs="Arial"/>
          <w:sz w:val="16"/>
          <w:szCs w:val="16"/>
          <w:color w:val="auto"/>
        </w:rPr>
        <w:t xml:space="preserve">también se han </w:t>
      </w:r>
      <w:r>
        <w:rPr>
          <w:rFonts w:ascii="Arial" w:hAnsi="Arial" w:eastAsia="Arial" w:cs="Arial"/>
          <w:sz w:val="16"/>
          <w:szCs w:val="16"/>
          <w:color w:val="auto"/>
        </w:rPr>
        <w:t xml:space="preserve">utilizado </w:t>
      </w:r>
      <w:r>
        <w:rPr>
          <w:rFonts w:ascii="Arial" w:hAnsi="Arial" w:eastAsia="Arial" w:cs="Arial"/>
          <w:sz w:val="16"/>
          <w:szCs w:val="16"/>
          <w:color w:val="auto"/>
        </w:rPr>
        <w:t xml:space="preserve">dos extensiones iterativas del FGSM, a saber, el </w:t>
      </w:r>
      <w:r>
        <w:rPr>
          <w:rFonts w:ascii="Arial" w:hAnsi="Arial" w:eastAsia="Arial" w:cs="Arial"/>
          <w:sz w:val="16"/>
          <w:szCs w:val="16"/>
          <w:i w:val="1"/>
          <w:iCs w:val="1"/>
          <w:color w:val="auto"/>
        </w:rPr>
        <w:t xml:space="preserve">Método Iterativo Básico (BIM) [</w:t>
      </w:r>
      <w:r>
        <w:rPr>
          <w:rFonts w:ascii="Arial" w:hAnsi="Arial" w:eastAsia="Arial" w:cs="Arial"/>
          <w:sz w:val="16"/>
          <w:szCs w:val="16"/>
          <w:i w:val="1"/>
          <w:iCs w:val="1"/>
          <w:color w:val="0080AC"/>
        </w:rPr>
        <w:t xml:space="preserve">19</w:t>
      </w:r>
      <w:r>
        <w:rPr>
          <w:rFonts w:ascii="Arial" w:hAnsi="Arial" w:eastAsia="Arial" w:cs="Arial"/>
          <w:sz w:val="16"/>
          <w:szCs w:val="16"/>
          <w:i w:val="1"/>
          <w:iCs w:val="1"/>
          <w:color w:val="auto"/>
        </w:rPr>
        <w:t xml:space="preserve">] </w:t>
      </w:r>
      <w:r>
        <w:rPr>
          <w:rFonts w:ascii="Arial" w:hAnsi="Arial" w:eastAsia="Arial" w:cs="Arial"/>
          <w:sz w:val="16"/>
          <w:szCs w:val="16"/>
          <w:color w:val="auto"/>
        </w:rPr>
        <w:t xml:space="preserve">y el </w:t>
      </w:r>
      <w:r>
        <w:rPr>
          <w:rFonts w:ascii="Arial" w:hAnsi="Arial" w:eastAsia="Arial" w:cs="Arial"/>
          <w:sz w:val="16"/>
          <w:szCs w:val="16"/>
          <w:i w:val="1"/>
          <w:iCs w:val="1"/>
          <w:color w:val="auto"/>
        </w:rPr>
        <w:t xml:space="preserve">Descenso Gradiente Proyectado (PGD) [</w:t>
      </w:r>
      <w:r>
        <w:rPr>
          <w:rFonts w:ascii="Arial" w:hAnsi="Arial" w:eastAsia="Arial" w:cs="Arial"/>
          <w:sz w:val="16"/>
          <w:szCs w:val="16"/>
          <w:i w:val="1"/>
          <w:iCs w:val="1"/>
          <w:color w:val="0080AC"/>
        </w:rPr>
        <w:t xml:space="preserve">20</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w:t>
      </w:r>
    </w:p>
    <w:p>
      <w:pPr>
        <w:spacing w:after="0" w:line="1" w:lineRule="exact"/>
        <w:rPr>
          <w:sz w:val="20"/>
          <w:szCs w:val="20"/>
          <w:color w:val="auto"/>
        </w:rPr>
      </w:pPr>
    </w:p>
    <w:p>
      <w:pPr>
        <w:jc w:val="both"/>
        <w:spacing w:after="0" w:line="307" w:lineRule="auto"/>
        <w:rPr>
          <w:sz w:val="20"/>
          <w:szCs w:val="20"/>
          <w:color w:val="auto"/>
        </w:rPr>
      </w:pPr>
      <w:r>
        <w:rPr>
          <w:rFonts w:ascii="Arial" w:hAnsi="Arial" w:eastAsia="Arial" w:cs="Arial"/>
          <w:sz w:val="16"/>
          <w:szCs w:val="16"/>
          <w:i w:val="1"/>
          <w:iCs w:val="1"/>
          <w:color w:val="auto"/>
        </w:rPr>
        <w:t xml:space="preserve">El Ataque de Mapa de Saliencia Basado en Jacobianos (JSMA) [</w:t>
      </w:r>
      <w:r>
        <w:rPr>
          <w:rFonts w:ascii="Arial" w:hAnsi="Arial" w:eastAsia="Arial" w:cs="Arial"/>
          <w:sz w:val="16"/>
          <w:szCs w:val="16"/>
          <w:i w:val="1"/>
          <w:iCs w:val="1"/>
          <w:color w:val="0080AC"/>
        </w:rPr>
        <w:t xml:space="preserve">21</w:t>
      </w:r>
      <w:r>
        <w:rPr>
          <w:rFonts w:ascii="Arial" w:hAnsi="Arial" w:eastAsia="Arial" w:cs="Arial"/>
          <w:sz w:val="16"/>
          <w:szCs w:val="16"/>
          <w:i w:val="1"/>
          <w:iCs w:val="1"/>
          <w:color w:val="auto"/>
        </w:rPr>
        <w:t xml:space="preserve">] </w:t>
      </w:r>
      <w:r>
        <w:rPr>
          <w:rFonts w:ascii="Arial" w:hAnsi="Arial" w:eastAsia="Arial" w:cs="Arial"/>
          <w:sz w:val="16"/>
          <w:szCs w:val="16"/>
          <w:color w:val="auto"/>
        </w:rPr>
        <w:t xml:space="preserve">genera ejemplos de publicidad utilizando derivadas hacia adelante (es decir, el modelo Jacobiano). JSMA perturba iterativamente características/componentes de la entrada de uno en uno en lugar de perturbar toda la entrada para engañar al clasificador.</w:t>
      </w:r>
    </w:p>
    <w:p>
      <w:pPr>
        <w:jc w:val="both"/>
        <w:spacing w:after="0" w:line="360" w:lineRule="auto"/>
        <w:rPr>
          <w:sz w:val="20"/>
          <w:szCs w:val="20"/>
          <w:color w:val="auto"/>
        </w:rPr>
      </w:pPr>
      <w:r>
        <w:rPr>
          <w:rFonts w:ascii="Arial" w:hAnsi="Arial" w:eastAsia="Arial" w:cs="Arial"/>
          <w:sz w:val="16"/>
          <w:szCs w:val="16"/>
          <w:i w:val="1"/>
          <w:iCs w:val="1"/>
          <w:color w:val="auto"/>
        </w:rPr>
        <w:t xml:space="preserve">Las Perturbaciones Adversariales Universales (UAP) [</w:t>
      </w:r>
      <w:r>
        <w:rPr>
          <w:rFonts w:ascii="Arial" w:hAnsi="Arial" w:eastAsia="Arial" w:cs="Arial"/>
          <w:sz w:val="16"/>
          <w:szCs w:val="16"/>
          <w:i w:val="1"/>
          <w:iCs w:val="1"/>
          <w:color w:val="0080AC"/>
        </w:rPr>
        <w:t xml:space="preserve">22</w:t>
      </w:r>
      <w:r>
        <w:rPr>
          <w:rFonts w:ascii="Arial" w:hAnsi="Arial" w:eastAsia="Arial" w:cs="Arial"/>
          <w:sz w:val="16"/>
          <w:szCs w:val="16"/>
          <w:i w:val="1"/>
          <w:iCs w:val="1"/>
          <w:color w:val="auto"/>
        </w:rPr>
        <w:t xml:space="preserve">]. </w:t>
      </w:r>
      <w:r>
        <w:rPr>
          <w:rFonts w:ascii="Arial" w:hAnsi="Arial" w:eastAsia="Arial" w:cs="Arial"/>
          <w:sz w:val="16"/>
          <w:szCs w:val="16"/>
          <w:color w:val="auto"/>
        </w:rPr>
        <w:t xml:space="preserve">son un tipo especial de ataques no dirigidos que consisten en crear una perturbación constante que clasifique erróneamente una fracción específica de las muestras de entrada.</w:t>
      </w:r>
    </w:p>
    <w:p>
      <w:pPr>
        <w:spacing w:after="0" w:line="4" w:lineRule="exact"/>
        <w:rPr>
          <w:sz w:val="20"/>
          <w:szCs w:val="20"/>
          <w:color w:val="auto"/>
        </w:rPr>
      </w:pPr>
    </w:p>
    <w:p>
      <w:pPr>
        <w:sectPr>
          <w:pgSz w:w="11900" w:h="15874" w:orient="portrait"/>
          <w:cols w:equalWidth="0" w:num="2">
            <w:col w:w="5028" w:space="360"/>
            <w:col w:w="5020"/>
          </w:cols>
          <w:pgMar w:top="492" w:right="746" w:bottom="85" w:left="752" w:header="0" w:footer="0" w:gutter="0"/>
          <w:type w:val="continuous"/>
        </w:sectPr>
      </w:pPr>
    </w:p>
    <w:p>
      <w:pPr>
        <w:jc w:val="center"/>
        <w:ind w:end="-7"/>
        <w:spacing w:after="0"/>
        <w:rPr>
          <w:sz w:val="20"/>
          <w:szCs w:val="20"/>
          <w:color w:val="auto"/>
        </w:rPr>
      </w:pPr>
      <w:r>
        <w:rPr>
          <w:rFonts w:ascii="Arial" w:hAnsi="Arial" w:eastAsia="Arial" w:cs="Arial"/>
          <w:sz w:val="13"/>
          <w:szCs w:val="13"/>
          <w:color w:val="auto"/>
        </w:rPr>
        <w:t xml:space="preserve">3</w:t>
      </w:r>
    </w:p>
    <w:p>
      <w:pPr>
        <w:sectPr>
          <w:pgSz w:w="11900" w:h="15874" w:orient="portrait"/>
          <w:cols w:equalWidth="0" w:num="1">
            <w:col w:w="10408"/>
          </w:cols>
          <w:pgMar w:top="492" w:right="746" w:bottom="85" w:left="752" w:header="0" w:footer="0" w:gutter="0"/>
          <w:type w:val="continuous"/>
        </w:sectPr>
      </w:pPr>
    </w:p>
    <w:bookmarkStart w:name="page4" w:id="3"/>
    <w:bookmarkEnd w:id="3"/>
    <w:p>
      <w:pPr>
        <w:spacing w:after="0"/>
        <w:tabs>
          <w:tab w:val="left" w:leader="none" w:pos="8200"/>
        </w:tabs>
        <w:rPr>
          <w:sz w:val="20"/>
          <w:szCs w:val="20"/>
          <w:color w:val="auto"/>
        </w:rPr>
      </w:pPr>
      <w:r>
        <w:rPr>
          <w:rFonts w:ascii="Arial" w:hAnsi="Arial" w:eastAsia="Arial" w:cs="Arial"/>
          <w:sz w:val="13"/>
          <w:szCs w:val="13"/>
          <w:i w:val="1"/>
          <w:iCs w:val="1"/>
          <w:color w:val="auto"/>
        </w:rPr>
        <w:t xml:space="preserve">H. Jmila y M.I. Khedher</w:t>
      </w:r>
      <w:r>
        <w:rPr>
          <w:sz w:val="20"/>
          <w:szCs w:val="20"/>
          <w:color w:val="auto"/>
        </w:rPr>
        <w:tab/>
      </w:r>
      <w:r>
        <w:rPr>
          <w:rFonts w:ascii="Arial" w:hAnsi="Arial" w:eastAsia="Arial" w:cs="Arial"/>
          <w:sz w:val="12"/>
          <w:szCs w:val="12"/>
          <w:i w:val="1"/>
          <w:iCs w:val="1"/>
          <w:color w:val="auto"/>
        </w:rPr>
        <w:t xml:space="preserve">Redes informáticas 214 (2022) 109073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575945</wp:posOffset>
            </wp:positionH>
            <wp:positionV relativeFrom="paragraph">
              <wp:posOffset>300355</wp:posOffset>
            </wp:positionV>
            <wp:extent cx="5442585" cy="25666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5442585" cy="2566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center"/>
        <w:spacing w:after="0"/>
        <w:rPr>
          <w:sz w:val="20"/>
          <w:szCs w:val="20"/>
          <w:color w:val="auto"/>
        </w:rPr>
      </w:pPr>
      <w:r>
        <w:rPr>
          <w:rFonts w:ascii="Arial" w:hAnsi="Arial" w:eastAsia="Arial" w:cs="Arial"/>
          <w:sz w:val="13"/>
          <w:szCs w:val="13"/>
          <w:b w:val="1"/>
          <w:bCs w:val="1"/>
          <w:color w:val="auto"/>
        </w:rPr>
        <w:t xml:space="preserve">Fig. 2.</w:t>
      </w:r>
      <w:r>
        <w:rPr>
          <w:rFonts w:ascii="Arial" w:hAnsi="Arial" w:eastAsia="Arial" w:cs="Arial"/>
          <w:sz w:val="13"/>
          <w:szCs w:val="13"/>
          <w:color w:val="auto"/>
        </w:rPr>
        <w:t xml:space="preserve"> Técnicas de ataque adversario.</w:t>
      </w:r>
    </w:p>
    <w:p>
      <w:pPr>
        <w:sectPr>
          <w:pgSz w:w="11900" w:h="15874" w:orient="portrait"/>
          <w:cols w:equalWidth="0" w:num="1">
            <w:col w:w="10400"/>
          </w:cols>
          <w:pgMar w:top="492" w:right="746" w:bottom="85" w:left="760" w:header="0" w:footer="0" w:gutter="0"/>
        </w:sectPr>
      </w:pPr>
    </w:p>
    <w:p>
      <w:pPr>
        <w:spacing w:after="0" w:line="319" w:lineRule="exact"/>
        <w:rPr>
          <w:sz w:val="20"/>
          <w:szCs w:val="20"/>
          <w:color w:val="auto"/>
        </w:rPr>
      </w:pPr>
    </w:p>
    <w:p>
      <w:pPr>
        <w:jc w:val="both"/>
        <w:spacing w:after="0" w:line="393" w:lineRule="auto"/>
        <w:rPr>
          <w:sz w:val="20"/>
          <w:szCs w:val="20"/>
          <w:color w:val="auto"/>
        </w:rPr>
      </w:pPr>
      <w:r>
        <w:rPr>
          <w:rFonts w:ascii="Arial" w:hAnsi="Arial" w:eastAsia="Arial" w:cs="Arial"/>
          <w:sz w:val="16"/>
          <w:szCs w:val="16"/>
          <w:i w:val="1"/>
          <w:iCs w:val="1"/>
          <w:color w:val="auto"/>
        </w:rPr>
        <w:t xml:space="preserve">DeepFool (DF) [</w:t>
      </w:r>
      <w:r>
        <w:rPr>
          <w:rFonts w:ascii="Arial" w:hAnsi="Arial" w:eastAsia="Arial" w:cs="Arial"/>
          <w:sz w:val="16"/>
          <w:szCs w:val="16"/>
          <w:i w:val="1"/>
          <w:iCs w:val="1"/>
          <w:color w:val="0080AC"/>
        </w:rPr>
        <w:t xml:space="preserve">23</w:t>
      </w:r>
      <w:r>
        <w:rPr>
          <w:rFonts w:ascii="Arial" w:hAnsi="Arial" w:eastAsia="Arial" w:cs="Arial"/>
          <w:sz w:val="16"/>
          <w:szCs w:val="16"/>
          <w:i w:val="1"/>
          <w:iCs w:val="1"/>
          <w:color w:val="auto"/>
        </w:rPr>
        <w:t xml:space="preserve">]. </w:t>
      </w:r>
      <w:r>
        <w:rPr>
          <w:rFonts w:ascii="Arial" w:hAnsi="Arial" w:eastAsia="Arial" w:cs="Arial"/>
          <w:sz w:val="16"/>
          <w:szCs w:val="16"/>
          <w:color w:val="auto"/>
        </w:rPr>
        <w:t xml:space="preserve">es un ataque no dirigido basado en el cálculo de la distancia mínima entre la entrada original y el límite de decisión.</w:t>
      </w:r>
    </w:p>
    <w:p>
      <w:pPr>
        <w:spacing w:after="0" w:line="2" w:lineRule="exact"/>
        <w:rPr>
          <w:sz w:val="20"/>
          <w:szCs w:val="20"/>
          <w:color w:val="auto"/>
        </w:rPr>
      </w:pPr>
    </w:p>
    <w:p>
      <w:pPr>
        <w:jc w:val="both"/>
        <w:spacing w:after="0" w:line="323" w:lineRule="auto"/>
        <w:rPr>
          <w:sz w:val="20"/>
          <w:szCs w:val="20"/>
          <w:color w:val="auto"/>
        </w:rPr>
      </w:pPr>
      <w:r>
        <w:rPr>
          <w:rFonts w:ascii="Arial" w:hAnsi="Arial" w:eastAsia="Arial" w:cs="Arial"/>
          <w:sz w:val="16"/>
          <w:szCs w:val="16"/>
          <w:i w:val="1"/>
          <w:iCs w:val="1"/>
          <w:color w:val="auto"/>
        </w:rPr>
        <w:t xml:space="preserve">Ataque de Carlini y Wagner (C&amp;W) [</w:t>
      </w:r>
      <w:r>
        <w:rPr>
          <w:rFonts w:ascii="Arial" w:hAnsi="Arial" w:eastAsia="Arial" w:cs="Arial"/>
          <w:sz w:val="16"/>
          <w:szCs w:val="16"/>
          <w:i w:val="1"/>
          <w:iCs w:val="1"/>
          <w:color w:val="0080AC"/>
        </w:rPr>
        <w:t xml:space="preserve">24</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 Los autores formulan la búsqueda de una muestra adversarial como un problema de optimización con el siguiente objetivo:</w:t>
      </w:r>
    </w:p>
    <w:p>
      <w:pPr>
        <w:spacing w:after="0" w:line="169" w:lineRule="exact"/>
        <w:tabs>
          <w:tab w:val="left" w:leader="none" w:pos="400"/>
          <w:tab w:val="left" w:leader="none" w:pos="2880"/>
          <w:tab w:val="left" w:leader="none" w:pos="3140"/>
        </w:tabs>
        <w:rPr>
          <w:sz w:val="20"/>
          <w:szCs w:val="20"/>
          <w:color w:val="auto"/>
        </w:rPr>
      </w:pPr>
      <w:r>
        <w:rPr>
          <w:rFonts w:ascii="Arial" w:hAnsi="Arial" w:eastAsia="Arial" w:cs="Arial"/>
          <w:sz w:val="16"/>
          <w:szCs w:val="16"/>
          <w:color w:val="auto"/>
        </w:rPr>
        <w:t xml:space="preserve">min</w:t>
        <w:tab/>
      </w:r>
      <w:r>
        <w:rPr>
          <w:rFonts w:ascii="Arial" w:hAnsi="Arial" w:eastAsia="Arial" w:cs="Arial"/>
          <w:sz w:val="16"/>
          <w:szCs w:val="16"/>
          <w:i w:val="1"/>
          <w:iCs w:val="1"/>
          <w:color w:val="auto"/>
        </w:rPr>
        <w:t xml:space="preserve">, </w:t>
      </w:r>
      <w:r>
        <w:rPr>
          <w:rFonts w:ascii="Arial" w:hAnsi="Arial" w:eastAsia="Arial" w:cs="Arial"/>
          <w:sz w:val="16"/>
          <w:szCs w:val="16"/>
          <w:color w:val="auto"/>
        </w:rPr>
        <w:t xml:space="preserve">+ ) + </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 + ) sujeto a</w:t>
        <w:tab/>
      </w:r>
      <w:r>
        <w:rPr>
          <w:sz w:val="20"/>
          <w:szCs w:val="20"/>
          <w:color w:val="auto"/>
        </w:rPr>
        <w:tab/>
      </w:r>
      <w:r>
        <w:rPr>
          <w:rFonts w:ascii="Arial Unicode MS" w:hAnsi="Arial Unicode MS" w:eastAsia="Arial Unicode MS" w:cs="Arial Unicode MS"/>
          <w:sz w:val="16"/>
          <w:szCs w:val="16"/>
          <w:color w:val="auto"/>
        </w:rPr>
        <w:t xml:space="preserve">∈</w:t>
      </w:r>
    </w:p>
    <w:p>
      <w:pPr>
        <w:spacing w:after="0" w:line="136" w:lineRule="exact"/>
        <w:rPr>
          <w:sz w:val="20"/>
          <w:szCs w:val="20"/>
          <w:color w:val="auto"/>
        </w:rPr>
      </w:pPr>
    </w:p>
    <w:p>
      <w:pPr>
        <w:jc w:val="both"/>
        <w:spacing w:after="0" w:line="291" w:lineRule="auto"/>
        <w:rPr>
          <w:sz w:val="20"/>
          <w:szCs w:val="20"/>
          <w:color w:val="auto"/>
        </w:rPr>
      </w:pPr>
      <w:r>
        <w:rPr>
          <w:rFonts w:ascii="Arial" w:hAnsi="Arial" w:eastAsia="Arial" w:cs="Arial"/>
          <w:sz w:val="16"/>
          <w:szCs w:val="16"/>
          <w:color w:val="auto"/>
        </w:rPr>
        <w:t xml:space="preserve">donde denota la perturbación adversarial, (</w:t>
      </w:r>
      <w:r>
        <w:rPr>
          <w:rFonts w:ascii="Arial" w:hAnsi="Arial" w:eastAsia="Arial" w:cs="Arial"/>
          <w:sz w:val="16"/>
          <w:szCs w:val="16"/>
          <w:i w:val="1"/>
          <w:iCs w:val="1"/>
          <w:color w:val="auto"/>
        </w:rPr>
        <w:t xml:space="preserve">., .</w:t>
      </w:r>
      <w:r>
        <w:rPr>
          <w:rFonts w:ascii="Arial" w:hAnsi="Arial" w:eastAsia="Arial" w:cs="Arial"/>
          <w:sz w:val="16"/>
          <w:szCs w:val="16"/>
          <w:color w:val="auto"/>
        </w:rPr>
        <w:t xml:space="preserve">) denota la </w:t>
      </w:r>
      <w:r>
        <w:rPr>
          <w:rFonts w:ascii="Arial" w:hAnsi="Arial" w:eastAsia="Arial" w:cs="Arial"/>
          <w:sz w:val="16"/>
          <w:szCs w:val="16"/>
          <w:color w:val="auto"/>
        </w:rPr>
        <w:t xml:space="preserve">métrica de distancia ,</w:t>
      </w:r>
      <w:r>
        <w:rPr>
          <w:rFonts w:ascii="Arial" w:hAnsi="Arial" w:eastAsia="Arial" w:cs="Arial"/>
          <w:sz w:val="23"/>
          <w:szCs w:val="23"/>
          <w:color w:val="auto"/>
          <w:vertAlign w:val="subscript"/>
        </w:rPr>
        <w:t xml:space="preserve">0</w:t>
      </w:r>
      <w:r>
        <w:rPr>
          <w:rFonts w:ascii="Arial" w:hAnsi="Arial" w:eastAsia="Arial" w:cs="Arial"/>
          <w:sz w:val="23"/>
          <w:szCs w:val="23"/>
          <w:color w:val="auto"/>
          <w:vertAlign w:val="subscript"/>
        </w:rPr>
        <w:t xml:space="preserve">0</w:t>
      </w:r>
      <w:r>
        <w:rPr>
          <w:rFonts w:ascii="Arial" w:hAnsi="Arial" w:eastAsia="Arial" w:cs="Arial"/>
          <w:sz w:val="16"/>
          <w:szCs w:val="16"/>
          <w:color w:val="auto"/>
        </w:rPr>
        <w:t xml:space="preserve"> o</w:t>
      </w:r>
      <w:r>
        <w:rPr>
          <w:rFonts w:ascii="Arial" w:hAnsi="Arial" w:eastAsia="Arial" w:cs="Arial"/>
          <w:sz w:val="23"/>
          <w:szCs w:val="23"/>
          <w:color w:val="auto"/>
          <w:vertAlign w:val="subscript"/>
        </w:rPr>
        <w:t xml:space="preserve">∞</w:t>
      </w:r>
      <w:r>
        <w:rPr>
          <w:rFonts w:ascii="Arial" w:hAnsi="Arial" w:eastAsia="Arial" w:cs="Arial"/>
          <w:sz w:val="16"/>
          <w:szCs w:val="16"/>
          <w:color w:val="auto"/>
        </w:rPr>
        <w:t xml:space="preserve"> , y ( + ) define la función de coste tal que ( + ) 0 si y sólo si el modelo clasifica correctamente + (es decir, le da la misma etiqueta que ).</w:t>
      </w:r>
    </w:p>
    <w:p>
      <w:pPr>
        <w:spacing w:after="0"/>
        <w:rPr>
          <w:sz w:val="20"/>
          <w:szCs w:val="20"/>
          <w:color w:val="auto"/>
        </w:rPr>
      </w:pPr>
      <w:r>
        <w:rPr>
          <w:rFonts w:ascii="Arial" w:hAnsi="Arial" w:eastAsia="Arial" w:cs="Arial"/>
          <w:sz w:val="16"/>
          <w:szCs w:val="16"/>
          <w:i w:val="1"/>
          <w:iCs w:val="1"/>
          <w:color w:val="auto"/>
        </w:rPr>
        <w:t xml:space="preserve">3.2.2. Ataques de caja gris/negra</w:t>
      </w:r>
    </w:p>
    <w:p>
      <w:pPr>
        <w:spacing w:after="0" w:line="153" w:lineRule="exact"/>
        <w:rPr>
          <w:sz w:val="20"/>
          <w:szCs w:val="20"/>
          <w:color w:val="auto"/>
        </w:rPr>
      </w:pPr>
    </w:p>
    <w:p>
      <w:pPr>
        <w:spacing w:after="0"/>
        <w:rPr>
          <w:sz w:val="20"/>
          <w:szCs w:val="20"/>
          <w:color w:val="auto"/>
        </w:rPr>
      </w:pPr>
      <w:r>
        <w:rPr>
          <w:rFonts w:ascii="Arial" w:hAnsi="Arial" w:eastAsia="Arial" w:cs="Arial"/>
          <w:sz w:val="15"/>
          <w:szCs w:val="15"/>
          <w:i w:val="1"/>
          <w:iCs w:val="1"/>
          <w:color w:val="auto"/>
        </w:rPr>
        <w:t xml:space="preserve">Ataques basados en </w:t>
      </w:r>
      <w:r>
        <w:rPr>
          <w:rFonts w:ascii="Arial" w:hAnsi="Arial" w:eastAsia="Arial" w:cs="Arial"/>
          <w:sz w:val="15"/>
          <w:szCs w:val="15"/>
          <w:color w:val="auto"/>
        </w:rPr>
        <w:t xml:space="preserve">puntuaciones</w:t>
      </w:r>
      <w:r>
        <w:rPr>
          <w:rFonts w:ascii="Arial" w:hAnsi="Arial" w:eastAsia="Arial" w:cs="Arial"/>
          <w:sz w:val="15"/>
          <w:szCs w:val="15"/>
          <w:i w:val="1"/>
          <w:iCs w:val="1"/>
          <w:color w:val="auto"/>
        </w:rPr>
        <w:t xml:space="preserve">.</w:t>
      </w:r>
      <w:r>
        <w:rPr>
          <w:rFonts w:ascii="Arial" w:hAnsi="Arial" w:eastAsia="Arial" w:cs="Arial"/>
          <w:sz w:val="15"/>
          <w:szCs w:val="15"/>
          <w:color w:val="auto"/>
        </w:rPr>
        <w:t xml:space="preserve"> : el atacante tiene acceso a las puntuaciones previstas,</w:t>
      </w:r>
    </w:p>
    <w:p>
      <w:pPr>
        <w:spacing w:after="0" w:line="36" w:lineRule="exact"/>
        <w:rPr>
          <w:sz w:val="20"/>
          <w:szCs w:val="20"/>
          <w:color w:val="auto"/>
        </w:rPr>
      </w:pPr>
    </w:p>
    <w:p>
      <w:pPr>
        <w:spacing w:after="0"/>
        <w:rPr>
          <w:sz w:val="20"/>
          <w:szCs w:val="20"/>
          <w:color w:val="auto"/>
        </w:rPr>
      </w:pPr>
      <w:r>
        <w:rPr>
          <w:rFonts w:ascii="Arial" w:hAnsi="Arial" w:eastAsia="Arial" w:cs="Arial"/>
          <w:sz w:val="16"/>
          <w:szCs w:val="16"/>
          <w:color w:val="auto"/>
        </w:rPr>
        <w:t xml:space="preserve">es decir, la probabilidad de que cada etiqueta predicha pertenezca a la clasifica-</w:t>
      </w:r>
    </w:p>
    <w:p>
      <w:pPr>
        <w:spacing w:after="0" w:line="24" w:lineRule="exact"/>
        <w:rPr>
          <w:sz w:val="20"/>
          <w:szCs w:val="20"/>
          <w:color w:val="auto"/>
        </w:rPr>
      </w:pPr>
    </w:p>
    <w:p>
      <w:pPr>
        <w:spacing w:after="0"/>
        <w:rPr>
          <w:sz w:val="20"/>
          <w:szCs w:val="20"/>
          <w:color w:val="auto"/>
        </w:rPr>
      </w:pPr>
      <w:r>
        <w:rPr>
          <w:rFonts w:ascii="Arial" w:hAnsi="Arial" w:eastAsia="Arial" w:cs="Arial"/>
          <w:sz w:val="15"/>
          <w:szCs w:val="15"/>
          <w:color w:val="auto"/>
        </w:rPr>
        <w:t xml:space="preserve">del modelo. Algunos ejemplos son la </w:t>
      </w:r>
      <w:r>
        <w:rPr>
          <w:rFonts w:ascii="Arial" w:hAnsi="Arial" w:eastAsia="Arial" w:cs="Arial"/>
          <w:sz w:val="15"/>
          <w:szCs w:val="15"/>
          <w:i w:val="1"/>
          <w:iCs w:val="1"/>
          <w:color w:val="auto"/>
        </w:rPr>
        <w:t xml:space="preserve">optimización de orden Zeroth</w:t>
      </w:r>
    </w:p>
    <w:p>
      <w:pPr>
        <w:spacing w:after="0" w:line="36"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(ZOO) [</w:t>
      </w:r>
      <w:r>
        <w:rPr>
          <w:rFonts w:ascii="Arial" w:hAnsi="Arial" w:eastAsia="Arial" w:cs="Arial"/>
          <w:sz w:val="16"/>
          <w:szCs w:val="16"/>
          <w:i w:val="1"/>
          <w:iCs w:val="1"/>
          <w:color w:val="0080AC"/>
        </w:rPr>
        <w:t xml:space="preserve">17</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w:t>
      </w:r>
    </w:p>
    <w:p>
      <w:pPr>
        <w:spacing w:after="0" w:line="102" w:lineRule="exact"/>
        <w:rPr>
          <w:sz w:val="20"/>
          <w:szCs w:val="20"/>
          <w:color w:val="auto"/>
        </w:rPr>
      </w:pPr>
    </w:p>
    <w:p>
      <w:pPr>
        <w:jc w:val="both"/>
        <w:spacing w:after="0" w:line="345" w:lineRule="auto"/>
        <w:rPr>
          <w:sz w:val="20"/>
          <w:szCs w:val="20"/>
          <w:color w:val="auto"/>
        </w:rPr>
      </w:pPr>
      <w:r>
        <w:rPr>
          <w:rFonts w:ascii="Arial" w:hAnsi="Arial" w:eastAsia="Arial" w:cs="Arial"/>
          <w:sz w:val="15"/>
          <w:szCs w:val="15"/>
          <w:i w:val="1"/>
          <w:iCs w:val="1"/>
          <w:color w:val="auto"/>
        </w:rPr>
        <w:t xml:space="preserve">Ataques basados en decisiones. </w:t>
      </w:r>
      <w:r>
        <w:rPr>
          <w:rFonts w:ascii="Arial" w:hAnsi="Arial" w:eastAsia="Arial" w:cs="Arial"/>
          <w:sz w:val="15"/>
          <w:szCs w:val="15"/>
          <w:color w:val="auto"/>
        </w:rPr>
        <w:t xml:space="preserve">: el atacante sólo tiene acceso a la decisión final del modelo (decisión binaria) sin ninguna puntuación de confianza. Algunos </w:t>
      </w:r>
      <w:r>
        <w:rPr>
          <w:rFonts w:ascii="Arial" w:hAnsi="Arial" w:eastAsia="Arial" w:cs="Arial"/>
          <w:sz w:val="15"/>
          <w:szCs w:val="15"/>
          <w:color w:val="auto"/>
        </w:rPr>
        <w:t xml:space="preserve">ejemplos son </w:t>
      </w:r>
      <w:r>
        <w:rPr>
          <w:rFonts w:ascii="Arial" w:hAnsi="Arial" w:eastAsia="Arial" w:cs="Arial"/>
          <w:sz w:val="15"/>
          <w:szCs w:val="15"/>
          <w:i w:val="1"/>
          <w:iCs w:val="1"/>
          <w:color w:val="auto"/>
        </w:rPr>
        <w:t xml:space="preserve">los ataques de límite [</w:t>
      </w:r>
      <w:r>
        <w:rPr>
          <w:rFonts w:ascii="Arial" w:hAnsi="Arial" w:eastAsia="Arial" w:cs="Arial"/>
          <w:sz w:val="15"/>
          <w:szCs w:val="15"/>
          <w:i w:val="1"/>
          <w:iCs w:val="1"/>
          <w:color w:val="0080AC"/>
        </w:rPr>
        <w:t xml:space="preserve">25</w:t>
      </w:r>
      <w:r>
        <w:rPr>
          <w:rFonts w:ascii="Arial" w:hAnsi="Arial" w:eastAsia="Arial" w:cs="Arial"/>
          <w:sz w:val="15"/>
          <w:szCs w:val="15"/>
          <w:i w:val="1"/>
          <w:iCs w:val="1"/>
          <w:color w:val="auto"/>
        </w:rPr>
        <w:t xml:space="preserve">] </w:t>
      </w:r>
      <w:r>
        <w:rPr>
          <w:rFonts w:ascii="Arial" w:hAnsi="Arial" w:eastAsia="Arial" w:cs="Arial"/>
          <w:sz w:val="15"/>
          <w:szCs w:val="15"/>
          <w:color w:val="auto"/>
        </w:rPr>
        <w:t xml:space="preserve">y </w:t>
      </w:r>
      <w:r>
        <w:rPr>
          <w:rFonts w:ascii="Arial" w:hAnsi="Arial" w:eastAsia="Arial" w:cs="Arial"/>
          <w:sz w:val="15"/>
          <w:szCs w:val="15"/>
          <w:i w:val="1"/>
          <w:iCs w:val="1"/>
          <w:color w:val="auto"/>
        </w:rPr>
        <w:t xml:space="preserve">el ataque de salto de salto [</w:t>
      </w:r>
      <w:r>
        <w:rPr>
          <w:rFonts w:ascii="Arial" w:hAnsi="Arial" w:eastAsia="Arial" w:cs="Arial"/>
          <w:sz w:val="15"/>
          <w:szCs w:val="15"/>
          <w:i w:val="1"/>
          <w:iCs w:val="1"/>
          <w:color w:val="0080AC"/>
        </w:rPr>
        <w:t xml:space="preserve">26</w:t>
      </w:r>
      <w:r>
        <w:rPr>
          <w:rFonts w:ascii="Arial" w:hAnsi="Arial" w:eastAsia="Arial" w:cs="Arial"/>
          <w:sz w:val="15"/>
          <w:szCs w:val="15"/>
          <w:i w:val="1"/>
          <w:iCs w:val="1"/>
          <w:color w:val="auto"/>
        </w:rPr>
        <w:t xml:space="preserve">]</w:t>
      </w:r>
      <w:r>
        <w:rPr>
          <w:rFonts w:ascii="Arial" w:hAnsi="Arial" w:eastAsia="Arial" w:cs="Arial"/>
          <w:sz w:val="15"/>
          <w:szCs w:val="15"/>
          <w:color w:val="auto"/>
        </w:rPr>
        <w:t xml:space="preserve">.</w:t>
      </w:r>
    </w:p>
    <w:p>
      <w:pPr>
        <w:jc w:val="both"/>
        <w:spacing w:after="0" w:line="280" w:lineRule="auto"/>
        <w:rPr>
          <w:sz w:val="20"/>
          <w:szCs w:val="20"/>
          <w:color w:val="auto"/>
        </w:rPr>
      </w:pPr>
      <w:r>
        <w:rPr>
          <w:rFonts w:ascii="Arial" w:hAnsi="Arial" w:eastAsia="Arial" w:cs="Arial"/>
          <w:sz w:val="16"/>
          <w:szCs w:val="16"/>
          <w:i w:val="1"/>
          <w:iCs w:val="1"/>
          <w:color w:val="auto"/>
        </w:rPr>
        <w:t xml:space="preserve">Ataques basados en la transferencia</w:t>
      </w:r>
      <w:r>
        <w:rPr>
          <w:rFonts w:ascii="Arial" w:hAnsi="Arial" w:eastAsia="Arial" w:cs="Arial"/>
          <w:sz w:val="16"/>
          <w:szCs w:val="16"/>
          <w:color w:val="auto"/>
        </w:rPr>
        <w:t xml:space="preserve">: el atacante tiene acceso al conjunto o a una parte del conjunto de datos de entrenamiento y lo utiliza para entrenar otro modelo totalmente observable, denominado ''modelo sustituto'', que pretende emular el modelo atacado, denominado ''modelo objetivo''. Las perturbaciones adversarias que pueden sintetizarse a partir del ''modelo sustituto'' se utilizan para atacar el ''modelo objetivo''.</w:t>
      </w:r>
    </w:p>
    <w:p>
      <w:pPr>
        <w:spacing w:after="0" w:line="3" w:lineRule="exact"/>
        <w:rPr>
          <w:sz w:val="20"/>
          <w:szCs w:val="20"/>
          <w:color w:val="auto"/>
        </w:rPr>
      </w:pPr>
    </w:p>
    <w:p>
      <w:pPr>
        <w:jc w:val="both"/>
        <w:ind w:firstLine="239"/>
        <w:spacing w:after="0" w:line="305" w:lineRule="auto"/>
        <w:rPr>
          <w:sz w:val="20"/>
          <w:szCs w:val="20"/>
          <w:color w:val="auto"/>
        </w:rPr>
      </w:pPr>
      <w:r>
        <w:rPr>
          <w:rFonts w:ascii="Arial" w:hAnsi="Arial" w:eastAsia="Arial" w:cs="Arial"/>
          <w:sz w:val="16"/>
          <w:szCs w:val="16"/>
          <w:color w:val="auto"/>
        </w:rPr>
        <w:t xml:space="preserve">Remitimos al lector a [</w:t>
      </w:r>
      <w:r>
        <w:rPr>
          <w:rFonts w:ascii="Arial" w:hAnsi="Arial" w:eastAsia="Arial" w:cs="Arial"/>
          <w:sz w:val="16"/>
          <w:szCs w:val="16"/>
          <w:color w:val="0080AC"/>
        </w:rPr>
        <w:t xml:space="preserve">27-30</w:t>
      </w:r>
      <w:r>
        <w:rPr>
          <w:rFonts w:ascii="Arial" w:hAnsi="Arial" w:eastAsia="Arial" w:cs="Arial"/>
          <w:sz w:val="16"/>
          <w:szCs w:val="16"/>
          <w:color w:val="auto"/>
        </w:rPr>
        <w:t xml:space="preserve">] para más información sobre ataques adversarios. </w:t>
      </w:r>
      <w:r>
        <w:rPr>
          <w:rFonts w:ascii="Arial" w:hAnsi="Arial" w:eastAsia="Arial" w:cs="Arial"/>
          <w:sz w:val="16"/>
          <w:szCs w:val="16"/>
          <w:color w:val="0080AC"/>
        </w:rPr>
        <w:t xml:space="preserve">La Fig. 2 </w:t>
      </w:r>
      <w:r>
        <w:rPr>
          <w:rFonts w:ascii="Arial" w:hAnsi="Arial" w:eastAsia="Arial" w:cs="Arial"/>
          <w:sz w:val="16"/>
          <w:szCs w:val="16"/>
          <w:color w:val="auto"/>
        </w:rPr>
        <w:t xml:space="preserve">resume las distintas técnicas de generación de ataques adversarios descritas anteriormente.</w:t>
      </w:r>
    </w:p>
    <w:p>
      <w:pPr>
        <w:spacing w:after="0" w:line="1"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3.3. Defensa</w:t>
      </w:r>
    </w:p>
    <w:p>
      <w:pPr>
        <w:spacing w:after="0" w:line="231" w:lineRule="exact"/>
        <w:rPr>
          <w:sz w:val="20"/>
          <w:szCs w:val="20"/>
          <w:color w:val="auto"/>
        </w:rPr>
      </w:pPr>
    </w:p>
    <w:p>
      <w:pPr>
        <w:jc w:val="both"/>
        <w:ind w:firstLine="239"/>
        <w:spacing w:after="0" w:line="327" w:lineRule="auto"/>
        <w:rPr>
          <w:sz w:val="20"/>
          <w:szCs w:val="20"/>
          <w:color w:val="auto"/>
        </w:rPr>
      </w:pPr>
      <w:r>
        <w:rPr>
          <w:rFonts w:ascii="Arial" w:hAnsi="Arial" w:eastAsia="Arial" w:cs="Arial"/>
          <w:sz w:val="16"/>
          <w:szCs w:val="16"/>
          <w:color w:val="auto"/>
        </w:rPr>
        <w:t xml:space="preserve">Una técnica de defensa tiene como objetivo mejorar la robustez del modelo frente a ataques de adversarios. En [</w:t>
      </w:r>
      <w:r>
        <w:rPr>
          <w:rFonts w:ascii="Arial" w:hAnsi="Arial" w:eastAsia="Arial" w:cs="Arial"/>
          <w:sz w:val="16"/>
          <w:szCs w:val="16"/>
          <w:color w:val="0080AC"/>
        </w:rPr>
        <w:t xml:space="preserve">31</w:t>
      </w:r>
      <w:r>
        <w:rPr>
          <w:rFonts w:ascii="Arial" w:hAnsi="Arial" w:eastAsia="Arial" w:cs="Arial"/>
          <w:sz w:val="16"/>
          <w:szCs w:val="16"/>
          <w:color w:val="auto"/>
        </w:rPr>
        <w:t xml:space="preserve">], se destacan las tres categorías siguientes de técnicas de defensa:</w:t>
      </w:r>
    </w:p>
    <w:p>
      <w:pPr>
        <w:spacing w:after="0" w:line="1" w:lineRule="exact"/>
        <w:rPr>
          <w:sz w:val="20"/>
          <w:szCs w:val="20"/>
          <w:color w:val="auto"/>
        </w:rPr>
      </w:pPr>
    </w:p>
    <w:p>
      <w:pPr>
        <w:jc w:val="both"/>
        <w:ind w:start="400" w:hanging="137"/>
        <w:spacing w:after="0" w:line="346" w:lineRule="auto"/>
        <w:tabs>
          <w:tab w:val="left" w:leader="none" w:pos="400"/>
        </w:tabs>
        <w:numPr>
          <w:ilvl w:val="0"/>
          <w:numId w:val="10"/>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Modificar los datos de entrada:</w:t>
      </w:r>
      <w:r>
        <w:rPr>
          <w:rFonts w:ascii="Arial" w:hAnsi="Arial" w:eastAsia="Arial" w:cs="Arial"/>
          <w:sz w:val="16"/>
          <w:szCs w:val="16"/>
          <w:color w:val="auto"/>
        </w:rPr>
        <w:t xml:space="preserve"> Estas técnicas no se ocupan directamente de los modelos de formación, sino que se basan en la modificación de los datos de formación durante el entrenamiento o en la modificación de los datos de entrada durante las pruebas. Por ejemplo, </w:t>
      </w:r>
      <w:r>
        <w:rPr>
          <w:rFonts w:ascii="Arial" w:hAnsi="Arial" w:eastAsia="Arial" w:cs="Arial"/>
          <w:sz w:val="16"/>
          <w:szCs w:val="16"/>
          <w:color w:val="auto"/>
        </w:rPr>
        <w:t xml:space="preserve">la técnica de </w:t>
      </w:r>
      <w:r>
        <w:rPr>
          <w:rFonts w:ascii="Arial" w:hAnsi="Arial" w:eastAsia="Arial" w:cs="Arial"/>
          <w:sz w:val="16"/>
          <w:szCs w:val="16"/>
          <w:i w:val="1"/>
          <w:iCs w:val="1"/>
          <w:color w:val="auto"/>
        </w:rPr>
        <w:t xml:space="preserve">aumento de datos gaussiana [</w:t>
      </w:r>
      <w:r>
        <w:rPr>
          <w:rFonts w:ascii="Arial" w:hAnsi="Arial" w:eastAsia="Arial" w:cs="Arial"/>
          <w:sz w:val="16"/>
          <w:szCs w:val="16"/>
          <w:i w:val="1"/>
          <w:iCs w:val="1"/>
          <w:color w:val="0080AC"/>
        </w:rPr>
        <w:t xml:space="preserve">32</w:t>
      </w:r>
      <w:r>
        <w:rPr>
          <w:rFonts w:ascii="Arial" w:hAnsi="Arial" w:eastAsia="Arial" w:cs="Arial"/>
          <w:sz w:val="16"/>
          <w:szCs w:val="16"/>
          <w:i w:val="1"/>
          <w:iCs w:val="1"/>
          <w:color w:val="auto"/>
        </w:rPr>
        <w:t xml:space="preserve">] </w:t>
      </w:r>
      <w:r>
        <w:rPr>
          <w:rFonts w:ascii="Arial" w:hAnsi="Arial" w:eastAsia="Arial" w:cs="Arial"/>
          <w:sz w:val="16"/>
          <w:szCs w:val="16"/>
          <w:color w:val="auto"/>
        </w:rPr>
        <w:t xml:space="preserve">consiste en aumentar el conjunto de datos original con copias de las muestras originales para</w:t>
      </w:r>
    </w:p>
    <w:p>
      <w:pPr>
        <w:spacing w:after="0" w:line="20" w:lineRule="exact"/>
        <w:rPr>
          <w:sz w:val="20"/>
          <w:szCs w:val="20"/>
          <w:color w:val="auto"/>
        </w:rPr>
      </w:pPr>
      <w:r>
        <w:rPr>
          <w:sz w:val="20"/>
          <w:szCs w:val="20"/>
          <w:color w:val="auto"/>
        </w:rPr>
        <w:br w:type="column"/>
      </w:r>
    </w:p>
    <w:p>
      <w:pPr>
        <w:spacing w:after="0" w:line="299" w:lineRule="exact"/>
        <w:rPr>
          <w:sz w:val="20"/>
          <w:szCs w:val="20"/>
          <w:color w:val="auto"/>
        </w:rPr>
      </w:pPr>
    </w:p>
    <w:p>
      <w:pPr>
        <w:jc w:val="both"/>
        <w:ind w:start="400"/>
        <w:spacing w:after="0" w:line="292" w:lineRule="auto"/>
        <w:rPr>
          <w:sz w:val="20"/>
          <w:szCs w:val="20"/>
          <w:color w:val="auto"/>
        </w:rPr>
      </w:pPr>
      <w:r>
        <w:rPr>
          <w:rFonts w:ascii="Arial" w:hAnsi="Arial" w:eastAsia="Arial" w:cs="Arial"/>
          <w:sz w:val="16"/>
          <w:szCs w:val="16"/>
          <w:color w:val="auto"/>
        </w:rPr>
        <w:t xml:space="preserve">a la que se ha añadido ruido gaussiano. La idea subyacente es que forzar al modelo a hacer la misma predicción para una instancia verdadera y su versión ligeramente perturbada debería aumentar su capacidad de generalización. Este método se utiliza mucho por su sencillez, su facilidad de aplicación y su eficacia tanto contra los ataques de caja gris como contra los de caja blanca.</w:t>
      </w:r>
    </w:p>
    <w:p>
      <w:pPr>
        <w:spacing w:after="0" w:line="5" w:lineRule="exact"/>
        <w:rPr>
          <w:sz w:val="20"/>
          <w:szCs w:val="20"/>
          <w:color w:val="auto"/>
        </w:rPr>
      </w:pPr>
    </w:p>
    <w:p>
      <w:pPr>
        <w:jc w:val="both"/>
        <w:ind w:start="400" w:hanging="137"/>
        <w:spacing w:after="0" w:line="309" w:lineRule="auto"/>
        <w:tabs>
          <w:tab w:val="left" w:leader="none" w:pos="400"/>
        </w:tabs>
        <w:numPr>
          <w:ilvl w:val="0"/>
          <w:numId w:val="11"/>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Modificar el clasificador:</w:t>
      </w:r>
      <w:r>
        <w:rPr>
          <w:rFonts w:ascii="Arial" w:hAnsi="Arial" w:eastAsia="Arial" w:cs="Arial"/>
          <w:sz w:val="16"/>
          <w:szCs w:val="16"/>
          <w:color w:val="auto"/>
        </w:rPr>
        <w:t xml:space="preserve"> Se trata de modificar el modelo de clasificación original cambiando las funciones de pérdida, añadiendo capas/subredes adicionales, etc. Por </w:t>
      </w:r>
      <w:r>
        <w:rPr>
          <w:rFonts w:ascii="Arial" w:hAnsi="Arial" w:eastAsia="Arial" w:cs="Arial"/>
          <w:sz w:val="16"/>
          <w:szCs w:val="16"/>
          <w:color w:val="auto"/>
        </w:rPr>
        <w:t xml:space="preserve">ejemplo, el </w:t>
      </w:r>
      <w:r>
        <w:rPr>
          <w:rFonts w:ascii="Arial" w:hAnsi="Arial" w:eastAsia="Arial" w:cs="Arial"/>
          <w:sz w:val="16"/>
          <w:szCs w:val="16"/>
          <w:color w:val="auto"/>
        </w:rPr>
        <w:t xml:space="preserve">método </w:t>
      </w:r>
      <w:r>
        <w:rPr>
          <w:rFonts w:ascii="Arial" w:hAnsi="Arial" w:eastAsia="Arial" w:cs="Arial"/>
          <w:sz w:val="16"/>
          <w:szCs w:val="16"/>
          <w:i w:val="1"/>
          <w:iCs w:val="1"/>
          <w:color w:val="auto"/>
        </w:rPr>
        <w:t xml:space="preserve">Gradient Mask-ing </w:t>
      </w:r>
      <w:r>
        <w:rPr>
          <w:rFonts w:ascii="Arial" w:hAnsi="Arial" w:eastAsia="Arial" w:cs="Arial"/>
          <w:sz w:val="16"/>
          <w:szCs w:val="16"/>
          <w:color w:val="auto"/>
        </w:rPr>
        <w:t xml:space="preserve">modifica un modelo de aprendizaje automático para ocultar su gradiente a un atacante.</w:t>
      </w:r>
    </w:p>
    <w:p>
      <w:pPr>
        <w:spacing w:after="0" w:line="1" w:lineRule="exact"/>
        <w:rPr>
          <w:rFonts w:ascii="Arial" w:hAnsi="Arial" w:eastAsia="Arial" w:cs="Arial"/>
          <w:sz w:val="16"/>
          <w:szCs w:val="16"/>
          <w:b w:val="1"/>
          <w:bCs w:val="1"/>
          <w:color w:val="auto"/>
        </w:rPr>
      </w:pPr>
    </w:p>
    <w:p>
      <w:pPr>
        <w:jc w:val="both"/>
        <w:ind w:start="400" w:hanging="137"/>
        <w:spacing w:after="0" w:line="295" w:lineRule="auto"/>
        <w:tabs>
          <w:tab w:val="left" w:leader="none" w:pos="400"/>
        </w:tabs>
        <w:numPr>
          <w:ilvl w:val="0"/>
          <w:numId w:val="11"/>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Añadir un modelo externo: </w:t>
      </w:r>
      <w:r>
        <w:rPr>
          <w:rFonts w:ascii="Arial" w:hAnsi="Arial" w:eastAsia="Arial" w:cs="Arial"/>
          <w:sz w:val="16"/>
          <w:szCs w:val="16"/>
          <w:color w:val="auto"/>
        </w:rPr>
        <w:t xml:space="preserve">estos métodos mantienen intacto el modelo original y le añaden uno o más modelos externos durante las pruebas. Por </w:t>
      </w:r>
      <w:r>
        <w:rPr>
          <w:rFonts w:ascii="Arial" w:hAnsi="Arial" w:eastAsia="Arial" w:cs="Arial"/>
          <w:sz w:val="16"/>
          <w:szCs w:val="16"/>
          <w:color w:val="auto"/>
        </w:rPr>
        <w:t xml:space="preserve">ejemplo, los autores de [</w:t>
      </w:r>
      <w:r>
        <w:rPr>
          <w:rFonts w:ascii="Arial" w:hAnsi="Arial" w:eastAsia="Arial" w:cs="Arial"/>
          <w:sz w:val="16"/>
          <w:szCs w:val="16"/>
          <w:color w:val="0080AC"/>
        </w:rPr>
        <w:t xml:space="preserve">33</w:t>
      </w:r>
      <w:r>
        <w:rPr>
          <w:rFonts w:ascii="Arial" w:hAnsi="Arial" w:eastAsia="Arial" w:cs="Arial"/>
          <w:sz w:val="16"/>
          <w:szCs w:val="16"/>
          <w:color w:val="auto"/>
        </w:rPr>
        <w:t xml:space="preserve">] utilizaron </w:t>
      </w:r>
      <w:r>
        <w:rPr>
          <w:rFonts w:ascii="Arial" w:hAnsi="Arial" w:eastAsia="Arial" w:cs="Arial"/>
          <w:sz w:val="16"/>
          <w:szCs w:val="16"/>
          <w:i w:val="1"/>
          <w:iCs w:val="1"/>
          <w:color w:val="auto"/>
        </w:rPr>
        <w:t xml:space="preserve">Redes </w:t>
      </w:r>
      <w:r>
        <w:rPr>
          <w:rFonts w:ascii="Arial" w:hAnsi="Arial" w:eastAsia="Arial" w:cs="Arial"/>
          <w:sz w:val="16"/>
          <w:szCs w:val="16"/>
          <w:i w:val="1"/>
          <w:iCs w:val="1"/>
          <w:color w:val="auto"/>
        </w:rPr>
        <w:t xml:space="preserve">Adversariales Generativas (</w:t>
      </w:r>
      <w:r>
        <w:rPr>
          <w:rFonts w:ascii="Arial" w:hAnsi="Arial" w:eastAsia="Arial" w:cs="Arial"/>
          <w:sz w:val="16"/>
          <w:szCs w:val="16"/>
          <w:color w:val="auto"/>
        </w:rPr>
        <w:t xml:space="preserve">GAN) para entrenar la red a lo largo de una red generadora que intenta generar una perturbación a esa red.</w:t>
      </w:r>
    </w:p>
    <w:p>
      <w:pPr>
        <w:spacing w:after="0" w:line="2" w:lineRule="exact"/>
        <w:rPr>
          <w:sz w:val="20"/>
          <w:szCs w:val="20"/>
          <w:color w:val="auto"/>
        </w:rPr>
      </w:pPr>
    </w:p>
    <w:p>
      <w:pPr>
        <w:ind w:start="240"/>
        <w:spacing w:after="0"/>
        <w:rPr>
          <w:sz w:val="20"/>
          <w:szCs w:val="20"/>
          <w:color w:val="auto"/>
        </w:rPr>
      </w:pPr>
      <w:r>
        <w:rPr>
          <w:rFonts w:ascii="Arial" w:hAnsi="Arial" w:eastAsia="Arial" w:cs="Arial"/>
          <w:sz w:val="15"/>
          <w:szCs w:val="15"/>
          <w:color w:val="0080AC"/>
        </w:rPr>
        <w:t xml:space="preserve">La Fig. 3 </w:t>
      </w:r>
      <w:r>
        <w:rPr>
          <w:rFonts w:ascii="Arial" w:hAnsi="Arial" w:eastAsia="Arial" w:cs="Arial"/>
          <w:sz w:val="15"/>
          <w:szCs w:val="15"/>
          <w:color w:val="000000"/>
        </w:rPr>
        <w:t xml:space="preserve">resume las diferentes técnicas de defensa descritas anteriormente.</w:t>
      </w:r>
    </w:p>
    <w:p>
      <w:pPr>
        <w:spacing w:after="0" w:line="236"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3.4. Defensa y ataques en IDS</w:t>
      </w:r>
    </w:p>
    <w:p>
      <w:pPr>
        <w:spacing w:after="0" w:line="200" w:lineRule="exact"/>
        <w:rPr>
          <w:sz w:val="20"/>
          <w:szCs w:val="20"/>
          <w:color w:val="auto"/>
        </w:rPr>
      </w:pPr>
    </w:p>
    <w:p>
      <w:pPr>
        <w:spacing w:after="0" w:line="204" w:lineRule="exact"/>
        <w:rPr>
          <w:sz w:val="20"/>
          <w:szCs w:val="20"/>
          <w:color w:val="auto"/>
        </w:rPr>
      </w:pPr>
    </w:p>
    <w:p>
      <w:pPr>
        <w:jc w:val="both"/>
        <w:ind w:firstLine="239"/>
        <w:spacing w:after="0" w:line="321" w:lineRule="auto"/>
        <w:rPr>
          <w:sz w:val="20"/>
          <w:szCs w:val="20"/>
          <w:color w:val="auto"/>
        </w:rPr>
      </w:pPr>
      <w:r>
        <w:rPr>
          <w:rFonts w:ascii="Arial" w:hAnsi="Arial" w:eastAsia="Arial" w:cs="Arial"/>
          <w:sz w:val="15"/>
          <w:szCs w:val="15"/>
          <w:color w:val="0080AC"/>
        </w:rPr>
        <w:t xml:space="preserve">La Tabla 1 </w:t>
      </w:r>
      <w:r>
        <w:rPr>
          <w:rFonts w:ascii="Arial" w:hAnsi="Arial" w:eastAsia="Arial" w:cs="Arial"/>
          <w:sz w:val="15"/>
          <w:szCs w:val="15"/>
          <w:color w:val="000000"/>
        </w:rPr>
        <w:t xml:space="preserve">presenta y compara investigaciones recientes sobre NIDS basados en ML en </w:t>
      </w:r>
      <w:r>
        <w:rPr>
          <w:rFonts w:ascii="Arial" w:hAnsi="Arial" w:eastAsia="Arial" w:cs="Arial"/>
          <w:sz w:val="15"/>
          <w:szCs w:val="15"/>
          <w:color w:val="000000"/>
        </w:rPr>
        <w:t xml:space="preserve">entornos adversarios. Para cada trabajo de investigación, destacamos (i) los clasificadores ML evaluados (ii) el conjunto de datos de evaluación (iii) los algoritmos de ataque adversario y (iv) las técnicas de defensa, en su caso. En particular, clasificamos los clasificadores ML evaluados en dos categorías: </w:t>
      </w:r>
      <w:r>
        <w:rPr>
          <w:rFonts w:ascii="Arial" w:hAnsi="Arial" w:eastAsia="Arial" w:cs="Arial"/>
          <w:sz w:val="15"/>
          <w:szCs w:val="15"/>
          <w:color w:val="000000"/>
        </w:rPr>
        <w:t xml:space="preserve">aprendizaje </w:t>
      </w:r>
      <w:r>
        <w:rPr>
          <w:rFonts w:ascii="Arial" w:hAnsi="Arial" w:eastAsia="Arial" w:cs="Arial"/>
          <w:sz w:val="15"/>
          <w:szCs w:val="15"/>
          <w:i w:val="1"/>
          <w:iCs w:val="1"/>
          <w:color w:val="000000"/>
        </w:rPr>
        <w:t xml:space="preserve">superficial </w:t>
      </w:r>
      <w:r>
        <w:rPr>
          <w:rFonts w:ascii="Arial" w:hAnsi="Arial" w:eastAsia="Arial" w:cs="Arial"/>
          <w:sz w:val="15"/>
          <w:szCs w:val="15"/>
          <w:color w:val="000000"/>
        </w:rPr>
        <w:t xml:space="preserve">y </w:t>
      </w:r>
      <w:r>
        <w:rPr>
          <w:rFonts w:ascii="Arial" w:hAnsi="Arial" w:eastAsia="Arial" w:cs="Arial"/>
          <w:sz w:val="15"/>
          <w:szCs w:val="15"/>
          <w:i w:val="1"/>
          <w:iCs w:val="1"/>
          <w:color w:val="000000"/>
        </w:rPr>
        <w:t xml:space="preserve">profundo</w:t>
      </w:r>
      <w:r>
        <w:rPr>
          <w:rFonts w:ascii="Arial" w:hAnsi="Arial" w:eastAsia="Arial" w:cs="Arial"/>
          <w:sz w:val="15"/>
          <w:szCs w:val="15"/>
          <w:color w:val="000000"/>
        </w:rPr>
        <w:t xml:space="preserve">. </w:t>
      </w:r>
      <w:r>
        <w:rPr>
          <w:rFonts w:ascii="Arial" w:hAnsi="Arial" w:eastAsia="Arial" w:cs="Arial"/>
          <w:sz w:val="15"/>
          <w:szCs w:val="15"/>
          <w:color w:val="000000"/>
        </w:rPr>
        <w:t xml:space="preserve">También dividimos las técnicas de generación de ataques adversarios en </w:t>
      </w:r>
      <w:r>
        <w:rPr>
          <w:rFonts w:ascii="Arial" w:hAnsi="Arial" w:eastAsia="Arial" w:cs="Arial"/>
          <w:sz w:val="15"/>
          <w:szCs w:val="15"/>
          <w:i w:val="1"/>
          <w:iCs w:val="1"/>
          <w:color w:val="000000"/>
        </w:rPr>
        <w:t xml:space="preserve">técnicas del estado del arte</w:t>
      </w:r>
      <w:r>
        <w:rPr>
          <w:rFonts w:ascii="Arial" w:hAnsi="Arial" w:eastAsia="Arial" w:cs="Arial"/>
          <w:sz w:val="15"/>
          <w:szCs w:val="15"/>
          <w:color w:val="000000"/>
        </w:rPr>
        <w:t xml:space="preserve">, es decir, técnicas inspiradas en el campo de la visión por computador, y </w:t>
      </w:r>
      <w:r>
        <w:rPr>
          <w:rFonts w:ascii="Arial" w:hAnsi="Arial" w:eastAsia="Arial" w:cs="Arial"/>
          <w:sz w:val="15"/>
          <w:szCs w:val="15"/>
          <w:i w:val="1"/>
          <w:iCs w:val="1"/>
          <w:color w:val="000000"/>
        </w:rPr>
        <w:t xml:space="preserve">nuevas técnicas diseñadas por los autores</w:t>
      </w:r>
      <w:r>
        <w:rPr>
          <w:rFonts w:ascii="Arial" w:hAnsi="Arial" w:eastAsia="Arial" w:cs="Arial"/>
          <w:sz w:val="15"/>
          <w:szCs w:val="15"/>
          <w:color w:val="000000"/>
        </w:rPr>
        <w:t xml:space="preserve">.</w:t>
      </w:r>
    </w:p>
    <w:p>
      <w:pPr>
        <w:spacing w:after="0" w:line="3" w:lineRule="exact"/>
        <w:rPr>
          <w:sz w:val="20"/>
          <w:szCs w:val="20"/>
          <w:color w:val="auto"/>
        </w:rPr>
      </w:pPr>
    </w:p>
    <w:p>
      <w:pPr>
        <w:jc w:val="both"/>
        <w:ind w:firstLine="239"/>
        <w:spacing w:after="0" w:line="276" w:lineRule="auto"/>
        <w:rPr>
          <w:sz w:val="20"/>
          <w:szCs w:val="20"/>
          <w:color w:val="auto"/>
        </w:rPr>
      </w:pPr>
      <w:r>
        <w:rPr>
          <w:rFonts w:ascii="Arial" w:hAnsi="Arial" w:eastAsia="Arial" w:cs="Arial"/>
          <w:sz w:val="16"/>
          <w:szCs w:val="16"/>
          <w:color w:val="auto"/>
        </w:rPr>
        <w:t xml:space="preserve">La primera fila de la tabla presenta una estadística que revela las tendencias de la bibliografía. Se observa que la mayoría de la literatura (95%) evalúa la robustez de las técnicas de aprendizaje profundo, mientras que una minoría (37%) evalúa el aprendizaje superficial. La mayoría de estos últimos se centran en un único tipo de ataque adversario, propuesto por los autores, y no abordan los diversos ataques adversarios ampliamente utilizados en la literatura.</w:t>
      </w:r>
    </w:p>
    <w:p>
      <w:pPr>
        <w:spacing w:after="0" w:line="4" w:lineRule="exact"/>
        <w:rPr>
          <w:sz w:val="20"/>
          <w:szCs w:val="20"/>
          <w:color w:val="auto"/>
        </w:rPr>
      </w:pPr>
    </w:p>
    <w:p>
      <w:pPr>
        <w:jc w:val="both"/>
        <w:ind w:firstLine="239"/>
        <w:spacing w:after="0" w:line="277" w:lineRule="auto"/>
        <w:rPr>
          <w:sz w:val="20"/>
          <w:szCs w:val="20"/>
          <w:color w:val="auto"/>
        </w:rPr>
      </w:pPr>
      <w:r>
        <w:rPr>
          <w:rFonts w:ascii="Arial" w:hAnsi="Arial" w:eastAsia="Arial" w:cs="Arial"/>
          <w:sz w:val="16"/>
          <w:szCs w:val="16"/>
          <w:color w:val="auto"/>
        </w:rPr>
        <w:t xml:space="preserve">La evaluación de las NIDS basadas en ML superficial en entornos adversarios requiere más estudios. Para llenar este vacío, este artículo evalúa las NIDS basadas en ML superficial frente a los métodos de generación de ataques más utilizados en la literatura. Sólo [</w:t>
      </w:r>
      <w:r>
        <w:rPr>
          <w:rFonts w:ascii="Arial" w:hAnsi="Arial" w:eastAsia="Arial" w:cs="Arial"/>
          <w:sz w:val="16"/>
          <w:szCs w:val="16"/>
          <w:color w:val="0080AC"/>
        </w:rPr>
        <w:t xml:space="preserve">41</w:t>
      </w:r>
      <w:r>
        <w:rPr>
          <w:rFonts w:ascii="Arial" w:hAnsi="Arial" w:eastAsia="Arial" w:cs="Arial"/>
          <w:sz w:val="16"/>
          <w:szCs w:val="16"/>
          <w:color w:val="auto"/>
        </w:rPr>
        <w:t xml:space="preserve">] ha tratado este tema, pero los autores no exploraron las técnicas de defensa.</w:t>
      </w:r>
    </w:p>
    <w:p>
      <w:pPr>
        <w:jc w:val="both"/>
        <w:ind w:firstLine="239"/>
        <w:spacing w:after="0" w:line="387" w:lineRule="auto"/>
        <w:rPr>
          <w:sz w:val="20"/>
          <w:szCs w:val="20"/>
          <w:color w:val="auto"/>
        </w:rPr>
      </w:pPr>
      <w:r>
        <w:rPr>
          <w:rFonts w:ascii="Arial" w:hAnsi="Arial" w:eastAsia="Arial" w:cs="Arial"/>
          <w:sz w:val="16"/>
          <w:szCs w:val="16"/>
          <w:color w:val="auto"/>
        </w:rPr>
        <w:t xml:space="preserve">Más detalladamente, evaluamos diversos algoritmos ML ampliamente utilizados [</w:t>
      </w:r>
      <w:r>
        <w:rPr>
          <w:rFonts w:ascii="Arial" w:hAnsi="Arial" w:eastAsia="Arial" w:cs="Arial"/>
          <w:sz w:val="16"/>
          <w:szCs w:val="16"/>
          <w:color w:val="0080AC"/>
        </w:rPr>
        <w:t xml:space="preserve">76</w:t>
      </w:r>
      <w:r>
        <w:rPr>
          <w:rFonts w:ascii="Arial" w:hAnsi="Arial" w:eastAsia="Arial" w:cs="Arial"/>
          <w:sz w:val="16"/>
          <w:szCs w:val="16"/>
          <w:color w:val="auto"/>
        </w:rPr>
        <w:t xml:space="preserve">] en el ámbito de los NIDS cuando se exponen a pruebas de caja blanca y de</w:t>
      </w:r>
    </w:p>
    <w:p>
      <w:pPr>
        <w:spacing w:after="0" w:line="1" w:lineRule="exact"/>
        <w:rPr>
          <w:sz w:val="20"/>
          <w:szCs w:val="20"/>
          <w:color w:val="auto"/>
        </w:rPr>
      </w:pPr>
    </w:p>
    <w:p>
      <w:pPr>
        <w:sectPr>
          <w:pgSz w:w="11900" w:h="15874" w:orient="portrait"/>
          <w:cols w:equalWidth="0" w:num="2">
            <w:col w:w="5020" w:space="360"/>
            <w:col w:w="5020"/>
          </w:cols>
          <w:pgMar w:top="492" w:right="746" w:bottom="85" w:left="760" w:header="0" w:footer="0" w:gutter="0"/>
          <w:type w:val="continuous"/>
        </w:sectPr>
      </w:pPr>
    </w:p>
    <w:p>
      <w:pPr>
        <w:jc w:val="center"/>
        <w:spacing w:after="0"/>
        <w:rPr>
          <w:sz w:val="20"/>
          <w:szCs w:val="20"/>
          <w:color w:val="auto"/>
        </w:rPr>
      </w:pPr>
      <w:r>
        <w:rPr>
          <w:rFonts w:ascii="Arial" w:hAnsi="Arial" w:eastAsia="Arial" w:cs="Arial"/>
          <w:sz w:val="13"/>
          <w:szCs w:val="13"/>
          <w:color w:val="auto"/>
        </w:rPr>
        <w:t xml:space="preserve">4</w:t>
      </w:r>
    </w:p>
    <w:p>
      <w:pPr>
        <w:sectPr>
          <w:pgSz w:w="11900" w:h="15874" w:orient="portrait"/>
          <w:cols w:equalWidth="0" w:num="1">
            <w:col w:w="10400"/>
          </w:cols>
          <w:pgMar w:top="492" w:right="746" w:bottom="85" w:left="760" w:header="0" w:footer="0" w:gutter="0"/>
          <w:type w:val="continuous"/>
        </w:sectPr>
      </w:pPr>
    </w:p>
    <w:bookmarkStart w:name="page5" w:id="4"/>
    <w:bookmarkEnd w:id="4"/>
    <w:p>
      <w:pPr>
        <w:spacing w:after="0" w:line="216" w:lineRule="auto"/>
        <w:framePr w:w="700" w:h="83" w:wrap="auto" w:hAnchor="page" w:vAnchor="page" w:x="8040" w:y="14798"/>
        <w:rPr>
          <w:rFonts w:ascii="Arial" w:hAnsi="Arial" w:eastAsia="Arial" w:cs="Arial"/>
          <w:sz w:val="8"/>
          <w:szCs w:val="8"/>
          <w:color w:val="auto"/>
        </w:rPr>
      </w:pPr>
      <w:r>
        <w:rPr>
          <w:rFonts w:ascii="Arial" w:hAnsi="Arial" w:eastAsia="Arial" w:cs="Arial"/>
          <w:sz w:val="8"/>
          <w:szCs w:val="8"/>
          <w:color w:val="auto"/>
        </w:rPr>
        <w:t xml:space="preserve">+ + +</w:t>
      </w:r>
    </w:p>
    <w:p>
      <w:pPr>
        <w:spacing w:after="0" w:line="216" w:lineRule="auto"/>
        <w:framePr w:w="160" w:h="83" w:wrap="auto" w:hAnchor="page" w:vAnchor="page" w:x="8320" w:y="14645"/>
        <w:rPr>
          <w:rFonts w:ascii="Arial" w:hAnsi="Arial" w:eastAsia="Arial" w:cs="Arial"/>
          <w:sz w:val="8"/>
          <w:szCs w:val="8"/>
          <w:color w:val="auto"/>
        </w:rPr>
      </w:pPr>
      <w:r>
        <w:rPr>
          <w:rFonts w:ascii="Arial" w:hAnsi="Arial" w:eastAsia="Arial" w:cs="Arial"/>
          <w:sz w:val="8"/>
          <w:szCs w:val="8"/>
          <w:color w:val="auto"/>
        </w:rPr>
        <w:t xml:space="preserve">+</w:t>
      </w:r>
    </w:p>
    <w:p>
      <w:pPr>
        <w:spacing w:after="0"/>
        <w:tabs>
          <w:tab w:val="left" w:leader="none" w:pos="8200"/>
        </w:tabs>
        <w:rPr>
          <w:sz w:val="20"/>
          <w:szCs w:val="20"/>
          <w:color w:val="auto"/>
        </w:rPr>
      </w:pPr>
      <w:r>
        <w:rPr>
          <w:rFonts w:ascii="Arial" w:hAnsi="Arial" w:eastAsia="Arial" w:cs="Arial"/>
          <w:sz w:val="13"/>
          <w:szCs w:val="13"/>
          <w:i w:val="1"/>
          <w:iCs w:val="1"/>
          <w:color w:val="auto"/>
        </w:rPr>
        <w:t xml:space="preserve">H. Jmila y M.I. Khedher</w:t>
      </w:r>
      <w:r>
        <w:rPr>
          <w:sz w:val="20"/>
          <w:szCs w:val="20"/>
          <w:color w:val="auto"/>
        </w:rPr>
        <w:tab/>
      </w:r>
      <w:r>
        <w:rPr>
          <w:rFonts w:ascii="Arial" w:hAnsi="Arial" w:eastAsia="Arial" w:cs="Arial"/>
          <w:sz w:val="12"/>
          <w:szCs w:val="12"/>
          <w:i w:val="1"/>
          <w:iCs w:val="1"/>
          <w:color w:val="auto"/>
        </w:rPr>
        <w:t xml:space="preserve">Redes informáticas 214 (2022) 109073</w:t>
      </w:r>
    </w:p>
    <w:p>
      <w:pPr>
        <w:spacing w:after="0" w:line="20" w:lineRule="exact"/>
        <w:rPr>
          <w:rFonts w:ascii="Arial" w:hAnsi="Arial" w:eastAsia="Arial" w:cs="Arial"/>
          <w:sz w:val="8"/>
          <w:szCs w:val="8"/>
          <w:color w:val="auto"/>
        </w:rPr>
      </w:pPr>
      <w:r>
        <w:rPr>
          <w:rFonts w:ascii="Arial" w:hAnsi="Arial" w:eastAsia="Arial" w:cs="Arial"/>
          <w:sz w:val="8"/>
          <w:szCs w:val="8"/>
          <w:color w:val="auto"/>
        </w:rPr>
        <w:drawing>
          <wp:anchor simplePos="0" relativeHeight="251657728" behindDoc="1" locked="0" layoutInCell="0" allowOverlap="1">
            <wp:simplePos x="0" y="0"/>
            <wp:positionH relativeFrom="column">
              <wp:posOffset>1017905</wp:posOffset>
            </wp:positionH>
            <wp:positionV relativeFrom="paragraph">
              <wp:posOffset>300355</wp:posOffset>
            </wp:positionV>
            <wp:extent cx="4558665" cy="12922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extLst>
                    </a:blip>
                    <a:srcRect/>
                    <a:stretch>
                      <a:fillRect/>
                    </a:stretch>
                  </pic:blipFill>
                  <pic:spPr bwMode="auto">
                    <a:xfrm>
                      <a:off x="0" y="0"/>
                      <a:ext cx="4558665" cy="1292225"/>
                    </a:xfrm>
                    <a:prstGeom prst="rect">
                      <a:avLst/>
                    </a:prstGeom>
                    <a:noFill/>
                  </pic:spPr>
                </pic:pic>
              </a:graphicData>
            </a:graphic>
          </wp:anchor>
        </w:drawing>
      </w: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97" w:lineRule="exact"/>
        <w:rPr>
          <w:rFonts w:ascii="Arial" w:hAnsi="Arial" w:eastAsia="Arial" w:cs="Arial"/>
          <w:sz w:val="8"/>
          <w:szCs w:val="8"/>
          <w:color w:val="auto"/>
        </w:rPr>
      </w:pPr>
    </w:p>
    <w:p>
      <w:pPr>
        <w:jc w:val="center"/>
        <w:spacing w:after="0"/>
        <w:rPr>
          <w:sz w:val="20"/>
          <w:szCs w:val="20"/>
          <w:color w:val="auto"/>
        </w:rPr>
      </w:pPr>
      <w:r>
        <w:rPr>
          <w:rFonts w:ascii="Arial" w:hAnsi="Arial" w:eastAsia="Arial" w:cs="Arial"/>
          <w:sz w:val="13"/>
          <w:szCs w:val="13"/>
          <w:b w:val="1"/>
          <w:bCs w:val="1"/>
          <w:color w:val="auto"/>
        </w:rPr>
        <w:t xml:space="preserve">Fig. 3. </w:t>
      </w:r>
      <w:r>
        <w:rPr>
          <w:rFonts w:ascii="Arial" w:hAnsi="Arial" w:eastAsia="Arial" w:cs="Arial"/>
          <w:sz w:val="13"/>
          <w:szCs w:val="13"/>
          <w:color w:val="auto"/>
        </w:rPr>
        <w:t xml:space="preserve">técnicas de defensa (Ref. [</w:t>
      </w:r>
      <w:r>
        <w:rPr>
          <w:rFonts w:ascii="Arial" w:hAnsi="Arial" w:eastAsia="Arial" w:cs="Arial"/>
          <w:sz w:val="13"/>
          <w:szCs w:val="13"/>
          <w:color w:val="0080AC"/>
        </w:rPr>
        <w:t xml:space="preserve">34</w:t>
      </w:r>
      <w:r>
        <w:rPr>
          <w:rFonts w:ascii="Arial" w:hAnsi="Arial" w:eastAsia="Arial" w:cs="Arial"/>
          <w:sz w:val="13"/>
          <w:szCs w:val="13"/>
          <w:color w:val="auto"/>
        </w:rPr>
        <w:t xml:space="preserve">]).</w:t>
      </w:r>
    </w:p>
    <w:p>
      <w:pPr>
        <w:sectPr>
          <w:pgSz w:w="11900" w:h="15874" w:orient="portrait"/>
          <w:cols w:equalWidth="0" w:num="1">
            <w:col w:w="10400"/>
          </w:cols>
          <w:pgMar w:top="492" w:right="746" w:bottom="85" w:left="760" w:header="0" w:footer="0" w:gutter="0"/>
        </w:sectPr>
      </w:pPr>
    </w:p>
    <w:p>
      <w:pPr>
        <w:spacing w:after="0" w:line="319" w:lineRule="exact"/>
        <w:rPr>
          <w:rFonts w:ascii="Arial" w:hAnsi="Arial" w:eastAsia="Arial" w:cs="Arial"/>
          <w:sz w:val="8"/>
          <w:szCs w:val="8"/>
          <w:color w:val="auto"/>
        </w:rPr>
      </w:pPr>
    </w:p>
    <w:p>
      <w:pPr>
        <w:jc w:val="both"/>
        <w:spacing w:after="0" w:line="393" w:lineRule="auto"/>
        <w:rPr>
          <w:sz w:val="20"/>
          <w:szCs w:val="20"/>
          <w:color w:val="auto"/>
        </w:rPr>
      </w:pPr>
      <w:r>
        <w:rPr>
          <w:rFonts w:ascii="Arial" w:hAnsi="Arial" w:eastAsia="Arial" w:cs="Arial"/>
          <w:sz w:val="16"/>
          <w:szCs w:val="16"/>
          <w:color w:val="auto"/>
        </w:rPr>
        <w:t xml:space="preserve">ataques adversarios gray/back-box generados por algoritmos SOA bien conocidos. Además, exploramos el efecto de la técnica de defensa de aumento de datos gaussianos en diferentes configuraciones de clasificación.</w:t>
      </w:r>
    </w:p>
    <w:p>
      <w:pPr>
        <w:spacing w:after="0" w:line="1"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b w:val="1"/>
          <w:bCs w:val="1"/>
          <w:color w:val="auto"/>
        </w:rPr>
        <w:t xml:space="preserve">4. Evaluación de la robustez de los IDS frente a ataques de adversarios</w:t>
      </w:r>
    </w:p>
    <w:p>
      <w:pPr>
        <w:spacing w:after="0" w:line="227" w:lineRule="exact"/>
        <w:rPr>
          <w:rFonts w:ascii="Arial" w:hAnsi="Arial" w:eastAsia="Arial" w:cs="Arial"/>
          <w:sz w:val="8"/>
          <w:szCs w:val="8"/>
          <w:color w:val="auto"/>
        </w:rPr>
      </w:pPr>
    </w:p>
    <w:p>
      <w:pPr>
        <w:jc w:val="both"/>
        <w:ind w:firstLine="239"/>
        <w:spacing w:after="0" w:line="299" w:lineRule="auto"/>
        <w:rPr>
          <w:sz w:val="20"/>
          <w:szCs w:val="20"/>
          <w:color w:val="auto"/>
        </w:rPr>
      </w:pPr>
      <w:r>
        <w:rPr>
          <w:rFonts w:ascii="Arial" w:hAnsi="Arial" w:eastAsia="Arial" w:cs="Arial"/>
          <w:sz w:val="16"/>
          <w:szCs w:val="16"/>
          <w:color w:val="auto"/>
        </w:rPr>
        <w:t xml:space="preserve">Los ataques de caja blanca investigados en este trabajo son: Ataque FGSM, BIM, ataque PGD, JSMA, ataque DeepFool, ataque Carlini y Wagner. Los ataques de caja gris/negra examinados son: Zoo Attack, Boundary at-tack y Hop Skip Jump Attack. Además, generamos ataques adversarios adicionales de forma ingenua utilizando ruido gaussiano, con diferentes intensidades (los valores son 0,01, 0,1 y 0,2).</w:t>
      </w:r>
    </w:p>
    <w:p>
      <w:pPr>
        <w:spacing w:after="0" w:line="1" w:lineRule="exact"/>
        <w:rPr>
          <w:rFonts w:ascii="Arial" w:hAnsi="Arial" w:eastAsia="Arial" w:cs="Arial"/>
          <w:sz w:val="8"/>
          <w:szCs w:val="8"/>
          <w:color w:val="auto"/>
        </w:rPr>
      </w:pPr>
    </w:p>
    <w:p>
      <w:pPr>
        <w:jc w:val="both"/>
        <w:ind w:firstLine="239"/>
        <w:spacing w:after="0" w:line="271" w:lineRule="auto"/>
        <w:rPr>
          <w:sz w:val="20"/>
          <w:szCs w:val="20"/>
          <w:color w:val="auto"/>
        </w:rPr>
      </w:pPr>
      <w:r>
        <w:rPr>
          <w:rFonts w:ascii="Arial" w:hAnsi="Arial" w:eastAsia="Arial" w:cs="Arial"/>
          <w:sz w:val="16"/>
          <w:szCs w:val="16"/>
          <w:color w:val="auto"/>
        </w:rPr>
        <w:t xml:space="preserve">Para comparar equitativamente la robustez de diversos clasificadores, tenemos que aplicar los mismos ataques, con la misma configuración y los mismos hiperparámetros a todos los clasificadores. Sin embargo, los ataques de caja blanca dependen en gran medida del tipo de clasificador al que atacan; por ejemplo, FGSM, BIM, PGD y JSMA utilizan el gradiente del clasificador para generar los ataques, por lo que solo pueden aplicarse a clasificadores basados en gradientes.</w:t>
      </w:r>
    </w:p>
    <w:p>
      <w:pPr>
        <w:spacing w:after="0" w:line="2" w:lineRule="exact"/>
        <w:rPr>
          <w:rFonts w:ascii="Arial" w:hAnsi="Arial" w:eastAsia="Arial" w:cs="Arial"/>
          <w:sz w:val="8"/>
          <w:szCs w:val="8"/>
          <w:color w:val="auto"/>
        </w:rPr>
      </w:pPr>
    </w:p>
    <w:p>
      <w:pPr>
        <w:jc w:val="both"/>
        <w:ind w:firstLine="239"/>
        <w:spacing w:after="0" w:line="289" w:lineRule="auto"/>
        <w:rPr>
          <w:sz w:val="20"/>
          <w:szCs w:val="20"/>
          <w:color w:val="auto"/>
        </w:rPr>
      </w:pPr>
      <w:r>
        <w:rPr>
          <w:rFonts w:ascii="Arial" w:hAnsi="Arial" w:eastAsia="Arial" w:cs="Arial"/>
          <w:sz w:val="15"/>
          <w:szCs w:val="15"/>
          <w:color w:val="auto"/>
        </w:rPr>
        <w:t xml:space="preserve">Para superar este problema, proponemos utilizar un clasificador sustituto externo basado en DNN, que llamamos '' </w:t>
      </w:r>
      <w:r>
        <w:rPr>
          <w:rFonts w:ascii="Arial" w:hAnsi="Arial" w:eastAsia="Arial" w:cs="Arial"/>
          <w:sz w:val="15"/>
          <w:szCs w:val="15"/>
          <w:i w:val="1"/>
          <w:iCs w:val="1"/>
          <w:color w:val="auto"/>
        </w:rPr>
        <w:t xml:space="preserve">Generador</w:t>
      </w:r>
      <w:r>
        <w:rPr>
          <w:rFonts w:ascii="Arial" w:hAnsi="Arial" w:eastAsia="Arial" w:cs="Arial"/>
          <w:sz w:val="15"/>
          <w:szCs w:val="15"/>
          <w:color w:val="auto"/>
        </w:rPr>
        <w:t xml:space="preserve">'' al que aplicamos todos los ataques de caja blanca para generar las muestras adversarias, </w:t>
      </w:r>
      <w:r>
        <w:rPr>
          <w:rFonts w:ascii="Arial" w:hAnsi="Arial" w:eastAsia="Arial" w:cs="Arial"/>
          <w:sz w:val="15"/>
          <w:szCs w:val="15"/>
          <w:i w:val="1"/>
          <w:iCs w:val="1"/>
          <w:color w:val="auto"/>
        </w:rPr>
        <w:t xml:space="preserve">en las mismas condiciones</w:t>
      </w:r>
      <w:r>
        <w:rPr>
          <w:rFonts w:ascii="Arial" w:hAnsi="Arial" w:eastAsia="Arial" w:cs="Arial"/>
          <w:sz w:val="15"/>
          <w:szCs w:val="15"/>
          <w:color w:val="auto"/>
        </w:rPr>
        <w:t xml:space="preserve">. A </w:t>
      </w:r>
      <w:r>
        <w:rPr>
          <w:rFonts w:ascii="Arial" w:hAnsi="Arial" w:eastAsia="Arial" w:cs="Arial"/>
          <w:sz w:val="15"/>
          <w:szCs w:val="15"/>
          <w:color w:val="auto"/>
        </w:rPr>
        <w:t xml:space="preserve">continuación, las muestras </w:t>
      </w:r>
      <w:r>
        <w:rPr>
          <w:rFonts w:ascii="Arial" w:hAnsi="Arial" w:eastAsia="Arial" w:cs="Arial"/>
          <w:sz w:val="15"/>
          <w:szCs w:val="15"/>
          <w:color w:val="auto"/>
        </w:rPr>
        <w:t xml:space="preserve">generadas por cada tipo de </w:t>
      </w:r>
      <w:r>
        <w:rPr>
          <w:rFonts w:ascii="Arial" w:hAnsi="Arial" w:eastAsia="Arial" w:cs="Arial"/>
          <w:sz w:val="15"/>
          <w:szCs w:val="15"/>
          <w:i w:val="1"/>
          <w:iCs w:val="1"/>
          <w:color w:val="auto"/>
        </w:rPr>
        <w:t xml:space="preserve">ataque de caja blanca </w:t>
      </w:r>
      <w:r>
        <w:rPr>
          <w:rFonts w:ascii="Arial" w:hAnsi="Arial" w:eastAsia="Arial" w:cs="Arial"/>
          <w:sz w:val="15"/>
          <w:szCs w:val="15"/>
          <w:color w:val="auto"/>
        </w:rPr>
        <w:t xml:space="preserve">se introducen en los clasificadores para medir su robustez frente a dicho ataque. Esta idea se basa en la </w:t>
      </w:r>
      <w:r>
        <w:rPr>
          <w:rFonts w:ascii="Arial" w:hAnsi="Arial" w:eastAsia="Arial" w:cs="Arial"/>
          <w:sz w:val="15"/>
          <w:szCs w:val="15"/>
          <w:i w:val="1"/>
          <w:iCs w:val="1"/>
          <w:color w:val="auto"/>
        </w:rPr>
        <w:t xml:space="preserve">propiedad transferible de los ataques adversarios </w:t>
      </w:r>
      <w:r>
        <w:rPr>
          <w:rFonts w:ascii="Arial" w:hAnsi="Arial" w:eastAsia="Arial" w:cs="Arial"/>
          <w:sz w:val="15"/>
          <w:szCs w:val="15"/>
          <w:color w:val="auto"/>
        </w:rPr>
        <w:t xml:space="preserve">[</w:t>
      </w:r>
      <w:r>
        <w:rPr>
          <w:rFonts w:ascii="Arial" w:hAnsi="Arial" w:eastAsia="Arial" w:cs="Arial"/>
          <w:sz w:val="15"/>
          <w:szCs w:val="15"/>
          <w:color w:val="0080AC"/>
        </w:rPr>
        <w:t xml:space="preserve">77</w:t>
      </w:r>
      <w:r>
        <w:rPr>
          <w:rFonts w:ascii="Arial" w:hAnsi="Arial" w:eastAsia="Arial" w:cs="Arial"/>
          <w:sz w:val="15"/>
          <w:szCs w:val="15"/>
          <w:color w:val="auto"/>
        </w:rPr>
        <w:t xml:space="preserve">], que muestra que el efecto del </w:t>
      </w:r>
      <w:r>
        <w:rPr>
          <w:rFonts w:ascii="Arial" w:hAnsi="Arial" w:eastAsia="Arial" w:cs="Arial"/>
          <w:sz w:val="15"/>
          <w:szCs w:val="15"/>
          <w:color w:val="auto"/>
        </w:rPr>
        <w:t xml:space="preserve">ataque puede ser transferido a otros modelos ML, incluyendo el ''Generador'' en nuestro caso. Utilizamos una DNN compuesta por 7 capas completamente conectadas con dimensiones que van de 1024 a 32. De una capa a otra, la dimensión se divide por 2. La arquitectura del generador es diferente de la red neuronal evaluada. Es más compleja para hacer más compleja la generación de las muestras adversarias.</w:t>
      </w:r>
    </w:p>
    <w:p>
      <w:pPr>
        <w:spacing w:after="0" w:line="4" w:lineRule="exact"/>
        <w:rPr>
          <w:rFonts w:ascii="Arial" w:hAnsi="Arial" w:eastAsia="Arial" w:cs="Arial"/>
          <w:sz w:val="8"/>
          <w:szCs w:val="8"/>
          <w:color w:val="auto"/>
        </w:rPr>
      </w:pPr>
    </w:p>
    <w:p>
      <w:pPr>
        <w:jc w:val="both"/>
        <w:ind w:firstLine="239"/>
        <w:spacing w:after="0" w:line="305" w:lineRule="auto"/>
        <w:rPr>
          <w:sz w:val="20"/>
          <w:szCs w:val="20"/>
          <w:color w:val="auto"/>
        </w:rPr>
      </w:pPr>
      <w:r>
        <w:rPr>
          <w:rFonts w:ascii="Arial" w:hAnsi="Arial" w:eastAsia="Arial" w:cs="Arial"/>
          <w:sz w:val="16"/>
          <w:szCs w:val="16"/>
          <w:color w:val="auto"/>
        </w:rPr>
        <w:t xml:space="preserve">Para mejorar la robustez de los IDS, se pueden aplicar técnicas defensivas. Para obtener el sistema NIDS más robusto, el fabricante debe seguir un procedimiento iterativo:</w:t>
      </w:r>
    </w:p>
    <w:p>
      <w:pPr>
        <w:spacing w:after="0" w:line="1" w:lineRule="exact"/>
        <w:rPr>
          <w:rFonts w:ascii="Arial" w:hAnsi="Arial" w:eastAsia="Arial" w:cs="Arial"/>
          <w:sz w:val="8"/>
          <w:szCs w:val="8"/>
          <w:color w:val="auto"/>
        </w:rPr>
      </w:pPr>
    </w:p>
    <w:p>
      <w:pPr>
        <w:ind w:start="480" w:hanging="224"/>
        <w:spacing w:after="0"/>
        <w:tabs>
          <w:tab w:val="left" w:leader="none" w:pos="480"/>
        </w:tabs>
        <w:numPr>
          <w:ilvl w:val="0"/>
          <w:numId w:val="12"/>
        </w:numPr>
        <w:rPr>
          <w:rFonts w:ascii="Arial" w:hAnsi="Arial" w:eastAsia="Arial" w:cs="Arial"/>
          <w:sz w:val="16"/>
          <w:szCs w:val="16"/>
          <w:color w:val="auto"/>
        </w:rPr>
      </w:pPr>
      <w:r>
        <w:rPr>
          <w:rFonts w:ascii="Arial" w:hAnsi="Arial" w:eastAsia="Arial" w:cs="Arial"/>
          <w:sz w:val="16"/>
          <w:szCs w:val="16"/>
          <w:color w:val="auto"/>
        </w:rPr>
        <w:t xml:space="preserve">Construir un NIDS básico</w:t>
      </w:r>
    </w:p>
    <w:p>
      <w:pPr>
        <w:spacing w:after="0" w:line="71" w:lineRule="exact"/>
        <w:rPr>
          <w:rFonts w:ascii="Arial" w:hAnsi="Arial" w:eastAsia="Arial" w:cs="Arial"/>
          <w:sz w:val="16"/>
          <w:szCs w:val="16"/>
          <w:color w:val="auto"/>
        </w:rPr>
      </w:pPr>
    </w:p>
    <w:p>
      <w:pPr>
        <w:ind w:start="480" w:hanging="224"/>
        <w:spacing w:after="0"/>
        <w:tabs>
          <w:tab w:val="left" w:leader="none" w:pos="480"/>
        </w:tabs>
        <w:numPr>
          <w:ilvl w:val="0"/>
          <w:numId w:val="12"/>
        </w:numPr>
        <w:rPr>
          <w:rFonts w:ascii="Arial" w:hAnsi="Arial" w:eastAsia="Arial" w:cs="Arial"/>
          <w:sz w:val="16"/>
          <w:szCs w:val="16"/>
          <w:color w:val="auto"/>
        </w:rPr>
      </w:pPr>
      <w:r>
        <w:rPr>
          <w:rFonts w:ascii="Arial" w:hAnsi="Arial" w:eastAsia="Arial" w:cs="Arial"/>
          <w:sz w:val="16"/>
          <w:szCs w:val="16"/>
          <w:color w:val="auto"/>
        </w:rPr>
        <w:t xml:space="preserve">Evaluar su robustez frente a un conjunto de ataques adversos.</w:t>
      </w:r>
    </w:p>
    <w:p>
      <w:pPr>
        <w:spacing w:after="0" w:line="31" w:lineRule="exact"/>
        <w:rPr>
          <w:rFonts w:ascii="Arial" w:hAnsi="Arial" w:eastAsia="Arial" w:cs="Arial"/>
          <w:sz w:val="16"/>
          <w:szCs w:val="16"/>
          <w:color w:val="auto"/>
        </w:rPr>
      </w:pPr>
    </w:p>
    <w:p>
      <w:pPr>
        <w:ind w:start="480" w:hanging="224"/>
        <w:spacing w:after="0"/>
        <w:tabs>
          <w:tab w:val="left" w:leader="none" w:pos="480"/>
        </w:tabs>
        <w:numPr>
          <w:ilvl w:val="0"/>
          <w:numId w:val="12"/>
        </w:numPr>
        <w:rPr>
          <w:rFonts w:ascii="Arial" w:hAnsi="Arial" w:eastAsia="Arial" w:cs="Arial"/>
          <w:sz w:val="16"/>
          <w:szCs w:val="16"/>
          <w:color w:val="auto"/>
        </w:rPr>
      </w:pPr>
      <w:r>
        <w:rPr>
          <w:rFonts w:ascii="Arial" w:hAnsi="Arial" w:eastAsia="Arial" w:cs="Arial"/>
          <w:sz w:val="16"/>
          <w:szCs w:val="16"/>
          <w:color w:val="auto"/>
        </w:rPr>
        <w:t xml:space="preserve">Aplicar una técnica de defensa para aumentar su robustez</w:t>
      </w:r>
    </w:p>
    <w:p>
      <w:pPr>
        <w:spacing w:after="0" w:line="31" w:lineRule="exact"/>
        <w:rPr>
          <w:rFonts w:ascii="Arial" w:hAnsi="Arial" w:eastAsia="Arial" w:cs="Arial"/>
          <w:sz w:val="16"/>
          <w:szCs w:val="16"/>
          <w:color w:val="auto"/>
        </w:rPr>
      </w:pPr>
    </w:p>
    <w:p>
      <w:pPr>
        <w:ind w:start="480" w:hanging="224"/>
        <w:spacing w:after="0" w:line="322" w:lineRule="auto"/>
        <w:tabs>
          <w:tab w:val="left" w:leader="none" w:pos="480"/>
        </w:tabs>
        <w:numPr>
          <w:ilvl w:val="0"/>
          <w:numId w:val="12"/>
        </w:numPr>
        <w:rPr>
          <w:rFonts w:ascii="Arial" w:hAnsi="Arial" w:eastAsia="Arial" w:cs="Arial"/>
          <w:sz w:val="16"/>
          <w:szCs w:val="16"/>
          <w:color w:val="auto"/>
        </w:rPr>
      </w:pPr>
      <w:r>
        <w:rPr>
          <w:rFonts w:ascii="Arial" w:hAnsi="Arial" w:eastAsia="Arial" w:cs="Arial"/>
          <w:sz w:val="16"/>
          <w:szCs w:val="16"/>
          <w:color w:val="auto"/>
        </w:rPr>
        <w:t xml:space="preserve">Repita (2) y (3) hasta que el nivel de robustez del modelo sea aceptable.</w:t>
      </w:r>
    </w:p>
    <w:p>
      <w:pPr>
        <w:spacing w:after="0" w:line="1" w:lineRule="exact"/>
        <w:rPr>
          <w:rFonts w:ascii="Arial" w:hAnsi="Arial" w:eastAsia="Arial" w:cs="Arial"/>
          <w:sz w:val="8"/>
          <w:szCs w:val="8"/>
          <w:color w:val="auto"/>
        </w:rPr>
      </w:pPr>
    </w:p>
    <w:p>
      <w:pPr>
        <w:jc w:val="both"/>
        <w:spacing w:after="0" w:line="284" w:lineRule="auto"/>
        <w:rPr>
          <w:sz w:val="20"/>
          <w:szCs w:val="20"/>
          <w:color w:val="auto"/>
        </w:rPr>
      </w:pPr>
      <w:r>
        <w:rPr>
          <w:rFonts w:ascii="Arial" w:hAnsi="Arial" w:eastAsia="Arial" w:cs="Arial"/>
          <w:sz w:val="16"/>
          <w:szCs w:val="16"/>
          <w:color w:val="auto"/>
        </w:rPr>
        <w:t xml:space="preserve">En este trabajo, nos centramos en los pasos (2) y (3), es decir, evaluamos la robustez de los clasificadores frente a ataques adversarios y, a continuación, aplicamos </w:t>
      </w:r>
      <w:r>
        <w:rPr>
          <w:rFonts w:ascii="Arial" w:hAnsi="Arial" w:eastAsia="Arial" w:cs="Arial"/>
          <w:sz w:val="16"/>
          <w:szCs w:val="16"/>
          <w:b w:val="1"/>
          <w:bCs w:val="1"/>
          <w:color w:val="auto"/>
        </w:rPr>
        <w:t xml:space="preserve">la </w:t>
      </w:r>
      <w:r>
        <w:rPr>
          <w:rFonts w:ascii="Arial" w:hAnsi="Arial" w:eastAsia="Arial" w:cs="Arial"/>
          <w:sz w:val="16"/>
          <w:szCs w:val="16"/>
          <w:color w:val="auto"/>
        </w:rPr>
        <w:t xml:space="preserve">técnica de defensa de </w:t>
      </w:r>
      <w:r>
        <w:rPr>
          <w:rFonts w:ascii="Arial" w:hAnsi="Arial" w:eastAsia="Arial" w:cs="Arial"/>
          <w:sz w:val="16"/>
          <w:szCs w:val="16"/>
          <w:b w:val="1"/>
          <w:bCs w:val="1"/>
          <w:color w:val="auto"/>
        </w:rPr>
        <w:t xml:space="preserve">aumento de datos gaussianos </w:t>
      </w:r>
      <w:r>
        <w:rPr>
          <w:rFonts w:ascii="Arial" w:hAnsi="Arial" w:eastAsia="Arial" w:cs="Arial"/>
          <w:sz w:val="16"/>
          <w:szCs w:val="16"/>
          <w:color w:val="auto"/>
        </w:rPr>
        <w:t xml:space="preserve">y medimos su </w:t>
      </w:r>
      <w:r>
        <w:rPr>
          <w:rFonts w:ascii="Arial" w:hAnsi="Arial" w:eastAsia="Arial" w:cs="Arial"/>
          <w:sz w:val="16"/>
          <w:szCs w:val="16"/>
          <w:color w:val="auto"/>
        </w:rPr>
        <w:t xml:space="preserve">contribución a la mejora de su robustez.</w:t>
      </w:r>
    </w:p>
    <w:p>
      <w:pPr>
        <w:spacing w:after="0" w:line="2" w:lineRule="exact"/>
        <w:rPr>
          <w:rFonts w:ascii="Arial" w:hAnsi="Arial" w:eastAsia="Arial" w:cs="Arial"/>
          <w:sz w:val="8"/>
          <w:szCs w:val="8"/>
          <w:color w:val="auto"/>
        </w:rPr>
      </w:pPr>
    </w:p>
    <w:p>
      <w:pPr>
        <w:jc w:val="both"/>
        <w:ind w:firstLine="239"/>
        <w:spacing w:after="0" w:line="322" w:lineRule="auto"/>
        <w:rPr>
          <w:sz w:val="20"/>
          <w:szCs w:val="20"/>
          <w:color w:val="auto"/>
        </w:rPr>
      </w:pPr>
      <w:r>
        <w:rPr>
          <w:rFonts w:ascii="Arial" w:hAnsi="Arial" w:eastAsia="Arial" w:cs="Arial"/>
          <w:sz w:val="16"/>
          <w:szCs w:val="16"/>
          <w:color w:val="auto"/>
        </w:rPr>
        <w:t xml:space="preserve">A continuación describimos el montaje experimental y presentamos los resultados.</w:t>
      </w:r>
    </w:p>
    <w:p>
      <w:pPr>
        <w:spacing w:after="0" w:line="1"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i w:val="1"/>
          <w:iCs w:val="1"/>
          <w:color w:val="auto"/>
        </w:rPr>
        <w:t xml:space="preserve">4.1. Descripción de los conjuntos de datos</w:t>
      </w:r>
    </w:p>
    <w:p>
      <w:pPr>
        <w:spacing w:after="0" w:line="230"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i w:val="1"/>
          <w:iCs w:val="1"/>
          <w:color w:val="auto"/>
        </w:rPr>
        <w:t xml:space="preserve">4.1.1. Conjunto de datos NSL-KDD [</w:t>
      </w:r>
      <w:r>
        <w:rPr>
          <w:rFonts w:ascii="Arial" w:hAnsi="Arial" w:eastAsia="Arial" w:cs="Arial"/>
          <w:sz w:val="16"/>
          <w:szCs w:val="16"/>
          <w:i w:val="1"/>
          <w:iCs w:val="1"/>
          <w:color w:val="0080AC"/>
        </w:rPr>
        <w:t xml:space="preserve">2</w:t>
      </w:r>
      <w:r>
        <w:rPr>
          <w:rFonts w:ascii="Arial" w:hAnsi="Arial" w:eastAsia="Arial" w:cs="Arial"/>
          <w:sz w:val="16"/>
          <w:szCs w:val="16"/>
          <w:i w:val="1"/>
          <w:iCs w:val="1"/>
          <w:color w:val="auto"/>
        </w:rPr>
        <w:t xml:space="preserve">]</w:t>
      </w:r>
    </w:p>
    <w:p>
      <w:pPr>
        <w:spacing w:after="0" w:line="154" w:lineRule="exact"/>
        <w:rPr>
          <w:rFonts w:ascii="Arial" w:hAnsi="Arial" w:eastAsia="Arial" w:cs="Arial"/>
          <w:sz w:val="8"/>
          <w:szCs w:val="8"/>
          <w:color w:val="auto"/>
        </w:rPr>
      </w:pPr>
    </w:p>
    <w:p>
      <w:pPr>
        <w:jc w:val="both"/>
        <w:ind w:firstLine="239"/>
        <w:spacing w:after="0" w:line="368" w:lineRule="auto"/>
        <w:rPr>
          <w:sz w:val="20"/>
          <w:szCs w:val="20"/>
          <w:color w:val="auto"/>
        </w:rPr>
      </w:pPr>
      <w:r>
        <w:rPr>
          <w:rFonts w:ascii="Arial" w:hAnsi="Arial" w:eastAsia="Arial" w:cs="Arial"/>
          <w:sz w:val="15"/>
          <w:szCs w:val="15"/>
          <w:color w:val="auto"/>
        </w:rPr>
        <w:t xml:space="preserve">El conjunto de datos NSL-KDD se deriva del conjunto de datos KDDCup 99 y aborda los problemas de este último, a saber, los registros irrelevantes y el desequilibrio de datos entre registros normales y anormales. Un registro se define como</w:t>
      </w:r>
    </w:p>
    <w:p>
      <w:pPr>
        <w:spacing w:after="0" w:line="20" w:lineRule="exact"/>
        <w:rPr>
          <w:rFonts w:ascii="Arial" w:hAnsi="Arial" w:eastAsia="Arial" w:cs="Arial"/>
          <w:sz w:val="8"/>
          <w:szCs w:val="8"/>
          <w:color w:val="auto"/>
        </w:rPr>
      </w:pPr>
      <w:r>
        <w:rPr>
          <w:rFonts w:ascii="Arial" w:hAnsi="Arial" w:eastAsia="Arial" w:cs="Arial"/>
          <w:sz w:val="8"/>
          <w:szCs w:val="8"/>
          <w:color w:val="auto"/>
        </w:rPr>
        <w:br w:type="column"/>
      </w:r>
    </w:p>
    <w:p>
      <w:pPr>
        <w:spacing w:after="0" w:line="299" w:lineRule="exact"/>
        <w:rPr>
          <w:rFonts w:ascii="Arial" w:hAnsi="Arial" w:eastAsia="Arial" w:cs="Arial"/>
          <w:sz w:val="8"/>
          <w:szCs w:val="8"/>
          <w:color w:val="auto"/>
        </w:rPr>
      </w:pPr>
    </w:p>
    <w:p>
      <w:pPr>
        <w:jc w:val="both"/>
        <w:spacing w:after="0" w:line="299" w:lineRule="auto"/>
        <w:rPr>
          <w:sz w:val="20"/>
          <w:szCs w:val="20"/>
          <w:color w:val="auto"/>
        </w:rPr>
      </w:pPr>
      <w:r>
        <w:rPr>
          <w:rFonts w:ascii="Arial" w:hAnsi="Arial" w:eastAsia="Arial" w:cs="Arial"/>
          <w:sz w:val="16"/>
          <w:szCs w:val="16"/>
          <w:color w:val="auto"/>
        </w:rPr>
        <w:t xml:space="preserve">por 41 características, incluidas 9 características básicas de conexiones TCP individuales, 13 características de contenido dentro de una conexión, 9 características temporales calculadas dentro de una ventana de tiempo de dos segundos y otras 10 características. El conjunto de datos contiene 24 tipos de ataques, agrupados en 4 categorías: denegación de servicio (DoS), remoto a local (R2L), usuario a root (U2R) y sondeo. El conjunto de datos se divide en subconjuntos de entrenamiento y prueba que contienen 100.778 y 25.195 muestras, respectivamente. </w:t>
      </w:r>
      <w:r>
        <w:rPr>
          <w:rFonts w:ascii="Arial" w:hAnsi="Arial" w:eastAsia="Arial" w:cs="Arial"/>
          <w:sz w:val="16"/>
          <w:szCs w:val="16"/>
          <w:color w:val="auto"/>
        </w:rPr>
        <w:t xml:space="preserve">En este estudio se utilizan los conjuntos </w:t>
      </w:r>
      <w:r>
        <w:rPr>
          <w:rFonts w:ascii="Arial" w:hAnsi="Arial" w:eastAsia="Arial" w:cs="Arial"/>
          <w:sz w:val="16"/>
          <w:szCs w:val="16"/>
          <w:color w:val="auto"/>
        </w:rPr>
        <w:t xml:space="preserve">originales de entrenamiento NSL-KDD Train</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y de prueba NSL-KDD Test</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del conjunto de datos NSL-KDD.</w:t>
      </w:r>
    </w:p>
    <w:p>
      <w:pPr>
        <w:spacing w:after="0" w:line="4"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i w:val="1"/>
          <w:iCs w:val="1"/>
          <w:color w:val="auto"/>
        </w:rPr>
        <w:t xml:space="preserve">4.1.2. UNSW-NB15 [</w:t>
      </w:r>
      <w:r>
        <w:rPr>
          <w:rFonts w:ascii="Arial" w:hAnsi="Arial" w:eastAsia="Arial" w:cs="Arial"/>
          <w:sz w:val="16"/>
          <w:szCs w:val="16"/>
          <w:i w:val="1"/>
          <w:iCs w:val="1"/>
          <w:color w:val="0080AC"/>
        </w:rPr>
        <w:t xml:space="preserve">3</w:t>
      </w:r>
      <w:r>
        <w:rPr>
          <w:rFonts w:ascii="Arial" w:hAnsi="Arial" w:eastAsia="Arial" w:cs="Arial"/>
          <w:sz w:val="16"/>
          <w:szCs w:val="16"/>
          <w:i w:val="1"/>
          <w:iCs w:val="1"/>
          <w:color w:val="auto"/>
        </w:rPr>
        <w:t xml:space="preserve">]</w:t>
      </w:r>
    </w:p>
    <w:p>
      <w:pPr>
        <w:spacing w:after="0" w:line="167" w:lineRule="exact"/>
        <w:rPr>
          <w:rFonts w:ascii="Arial" w:hAnsi="Arial" w:eastAsia="Arial" w:cs="Arial"/>
          <w:sz w:val="8"/>
          <w:szCs w:val="8"/>
          <w:color w:val="auto"/>
        </w:rPr>
      </w:pPr>
    </w:p>
    <w:p>
      <w:pPr>
        <w:jc w:val="both"/>
        <w:ind w:firstLine="239"/>
        <w:spacing w:after="0" w:line="282" w:lineRule="auto"/>
        <w:rPr>
          <w:sz w:val="20"/>
          <w:szCs w:val="20"/>
          <w:color w:val="auto"/>
        </w:rPr>
      </w:pPr>
      <w:r>
        <w:rPr>
          <w:rFonts w:ascii="Arial" w:hAnsi="Arial" w:eastAsia="Arial" w:cs="Arial"/>
          <w:sz w:val="16"/>
          <w:szCs w:val="16"/>
          <w:color w:val="auto"/>
        </w:rPr>
        <w:t xml:space="preserve">El conjunto de datos fue creado por el grupo de investigación en ciberseguridad del Centro Australiano de Ciberseguridad (ACCS) en 2015. Contiene aproximadamente 100 GB de datos sin procesar (tráfico normal y malicioso). Se utilizaron 9 tipos diferentes de ataques para generar el tráfico malicioso: Fuzzers, Análisis, Backdoors, DoS, Exploits, Genéricos, Reconocimiento, Shell-code y Gusanos. Cada muestra se describe mediante 49 características generadas por varias herramientas de extracción de características. El conjunto de datos se divide en subconjuntos de entrenamiento y de prueba que contienen 175.341 y 82.332 muestras respectivamente. En este estudio se utiliza el conjunto original de entrenamiento UNSW_NB15_training-set y el 10% (muestras seleccionadas al azar) del conjunto de prueba UNSW_NB15_testing-set.</w:t>
      </w:r>
    </w:p>
    <w:p>
      <w:pPr>
        <w:spacing w:after="0" w:line="6"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i w:val="1"/>
          <w:iCs w:val="1"/>
          <w:color w:val="auto"/>
        </w:rPr>
        <w:t xml:space="preserve">4.1.3. Preprocesamiento de datos</w:t>
      </w:r>
    </w:p>
    <w:p>
      <w:pPr>
        <w:spacing w:after="0" w:line="167" w:lineRule="exact"/>
        <w:rPr>
          <w:rFonts w:ascii="Arial" w:hAnsi="Arial" w:eastAsia="Arial" w:cs="Arial"/>
          <w:sz w:val="8"/>
          <w:szCs w:val="8"/>
          <w:color w:val="auto"/>
        </w:rPr>
      </w:pPr>
    </w:p>
    <w:p>
      <w:pPr>
        <w:jc w:val="both"/>
        <w:ind w:firstLine="239"/>
        <w:spacing w:after="0" w:line="287" w:lineRule="auto"/>
        <w:rPr>
          <w:sz w:val="20"/>
          <w:szCs w:val="20"/>
          <w:color w:val="auto"/>
        </w:rPr>
      </w:pPr>
      <w:r>
        <w:rPr>
          <w:rFonts w:ascii="Arial" w:hAnsi="Arial" w:eastAsia="Arial" w:cs="Arial"/>
          <w:sz w:val="16"/>
          <w:szCs w:val="16"/>
          <w:color w:val="auto"/>
        </w:rPr>
        <w:t xml:space="preserve">Además, el conjunto de entrenamiento se divide en conjuntos de entrenamiento y validación según </w:t>
      </w:r>
      <w:r>
        <w:rPr>
          <w:rFonts w:ascii="Arial" w:hAnsi="Arial" w:eastAsia="Arial" w:cs="Arial"/>
          <w:sz w:val="16"/>
          <w:szCs w:val="16"/>
          <w:b w:val="1"/>
          <w:bCs w:val="1"/>
          <w:color w:val="auto"/>
        </w:rPr>
        <w:t xml:space="preserve">8:2</w:t>
      </w:r>
      <w:r>
        <w:rPr>
          <w:rFonts w:ascii="Arial" w:hAnsi="Arial" w:eastAsia="Arial" w:cs="Arial"/>
          <w:sz w:val="16"/>
          <w:szCs w:val="16"/>
          <w:color w:val="auto"/>
        </w:rPr>
        <w:t xml:space="preserve">. Con el fin de proporcionar datos más adecuados para el clasificador, se realizan los pasos de codificación en caliente y normalización de datos. La codificación en caliente consiste en codificar los atributos categóricos, como protocolo, servicio y estado, en una matriz numérica en caliente. A continuación, estos datos se normalizan entre 0 y 1 para producir valores más homogéneos.</w:t>
      </w:r>
    </w:p>
    <w:p>
      <w:pPr>
        <w:spacing w:after="0" w:line="5"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i w:val="1"/>
          <w:iCs w:val="1"/>
          <w:color w:val="auto"/>
        </w:rPr>
        <w:t xml:space="preserve">4.2. Los clasificadores evaluados</w:t>
      </w:r>
    </w:p>
    <w:p>
      <w:pPr>
        <w:spacing w:after="0" w:line="242" w:lineRule="exact"/>
        <w:rPr>
          <w:rFonts w:ascii="Arial" w:hAnsi="Arial" w:eastAsia="Arial" w:cs="Arial"/>
          <w:sz w:val="8"/>
          <w:szCs w:val="8"/>
          <w:color w:val="auto"/>
        </w:rPr>
      </w:pPr>
    </w:p>
    <w:p>
      <w:pPr>
        <w:jc w:val="both"/>
        <w:ind w:firstLine="239"/>
        <w:spacing w:after="0" w:line="301" w:lineRule="auto"/>
        <w:rPr>
          <w:sz w:val="20"/>
          <w:szCs w:val="20"/>
          <w:color w:val="auto"/>
        </w:rPr>
      </w:pPr>
      <w:r>
        <w:rPr>
          <w:rFonts w:ascii="Arial" w:hAnsi="Arial" w:eastAsia="Arial" w:cs="Arial"/>
          <w:sz w:val="16"/>
          <w:szCs w:val="16"/>
          <w:color w:val="auto"/>
        </w:rPr>
        <w:t xml:space="preserve">Evaluamos el rendimiento de varios algoritmos de ML bien conocidos: Adaboost, Bagging, Gradient boosting, Logistic regression, Decision Tree, Random Forest, Support Vector Classifier (SVC) y también una Deep Learning Network. Se considera la clasificación binaria. Todos nuestros modelos se implementaron utilizando los </w:t>
      </w:r>
      <w:r>
        <w:rPr>
          <w:rFonts w:ascii="Arial" w:hAnsi="Arial" w:eastAsia="Arial" w:cs="Arial"/>
          <w:sz w:val="16"/>
          <w:szCs w:val="16"/>
          <w:color w:val="auto"/>
        </w:rPr>
        <w:t xml:space="preserve">paquetes </w:t>
      </w:r>
      <w:r>
        <w:rPr>
          <w:rFonts w:ascii="Arial" w:hAnsi="Arial" w:eastAsia="Arial" w:cs="Arial"/>
          <w:sz w:val="16"/>
          <w:szCs w:val="16"/>
          <w:color w:val="auto"/>
        </w:rPr>
        <w:t xml:space="preserve">TensorFlow [</w:t>
      </w:r>
      <w:r>
        <w:rPr>
          <w:rFonts w:ascii="Arial" w:hAnsi="Arial" w:eastAsia="Arial" w:cs="Arial"/>
          <w:sz w:val="16"/>
          <w:szCs w:val="16"/>
          <w:color w:val="0080AC"/>
        </w:rPr>
        <w:t xml:space="preserve">78</w:t>
      </w:r>
      <w:r>
        <w:rPr>
          <w:rFonts w:ascii="Arial" w:hAnsi="Arial" w:eastAsia="Arial" w:cs="Arial"/>
          <w:sz w:val="16"/>
          <w:szCs w:val="16"/>
          <w:color w:val="auto"/>
        </w:rPr>
        <w:t xml:space="preserve">], Keras [</w:t>
      </w:r>
      <w:r>
        <w:rPr>
          <w:rFonts w:ascii="Arial" w:hAnsi="Arial" w:eastAsia="Arial" w:cs="Arial"/>
          <w:sz w:val="16"/>
          <w:szCs w:val="16"/>
          <w:color w:val="0080AC"/>
        </w:rPr>
        <w:t xml:space="preserve">79</w:t>
      </w:r>
      <w:r>
        <w:rPr>
          <w:rFonts w:ascii="Arial" w:hAnsi="Arial" w:eastAsia="Arial" w:cs="Arial"/>
          <w:sz w:val="16"/>
          <w:szCs w:val="16"/>
          <w:color w:val="auto"/>
        </w:rPr>
        <w:t xml:space="preserve">] y scikit-learn [</w:t>
      </w:r>
      <w:r>
        <w:rPr>
          <w:rFonts w:ascii="Arial" w:hAnsi="Arial" w:eastAsia="Arial" w:cs="Arial"/>
          <w:sz w:val="16"/>
          <w:szCs w:val="16"/>
          <w:color w:val="0080AC"/>
        </w:rPr>
        <w:t xml:space="preserve">80</w:t>
      </w:r>
      <w:r>
        <w:rPr>
          <w:rFonts w:ascii="Arial" w:hAnsi="Arial" w:eastAsia="Arial" w:cs="Arial"/>
          <w:sz w:val="16"/>
          <w:szCs w:val="16"/>
          <w:color w:val="auto"/>
        </w:rPr>
        <w:t xml:space="preserve">]. </w:t>
      </w:r>
      <w:r>
        <w:rPr>
          <w:rFonts w:ascii="Arial" w:hAnsi="Arial" w:eastAsia="Arial" w:cs="Arial"/>
          <w:sz w:val="16"/>
          <w:szCs w:val="16"/>
          <w:color w:val="auto"/>
        </w:rPr>
        <w:t xml:space="preserve">Para generar muestras adversariales, utilizamos el framework de código abierto IBM Robustness Toolbox (ART) [</w:t>
      </w:r>
      <w:r>
        <w:rPr>
          <w:rFonts w:ascii="Arial" w:hAnsi="Arial" w:eastAsia="Arial" w:cs="Arial"/>
          <w:sz w:val="16"/>
          <w:szCs w:val="16"/>
          <w:color w:val="0080AC"/>
        </w:rPr>
        <w:t xml:space="preserve">81</w:t>
      </w:r>
      <w:r>
        <w:rPr>
          <w:rFonts w:ascii="Arial" w:hAnsi="Arial" w:eastAsia="Arial" w:cs="Arial"/>
          <w:sz w:val="16"/>
          <w:szCs w:val="16"/>
          <w:color w:val="auto"/>
        </w:rPr>
        <w:t xml:space="preserve">]. </w:t>
      </w:r>
      <w:r>
        <w:rPr>
          <w:rFonts w:ascii="Arial" w:hAnsi="Arial" w:eastAsia="Arial" w:cs="Arial"/>
          <w:sz w:val="16"/>
          <w:szCs w:val="16"/>
          <w:color w:val="auto"/>
        </w:rPr>
        <w:t xml:space="preserve">Todos los hiperparámetros de los clasificadores y algoritmos utilizados para generar las muestras adversariales </w:t>
      </w:r>
      <w:r>
        <w:rPr>
          <w:rFonts w:ascii="Arial" w:hAnsi="Arial" w:eastAsia="Arial" w:cs="Arial"/>
          <w:sz w:val="16"/>
          <w:szCs w:val="16"/>
          <w:i w:val="1"/>
          <w:iCs w:val="1"/>
          <w:color w:val="auto"/>
        </w:rPr>
        <w:t xml:space="preserve">se han establecido en sus valores predeterminados </w:t>
      </w:r>
      <w:r>
        <w:rPr>
          <w:rFonts w:ascii="Arial" w:hAnsi="Arial" w:eastAsia="Arial" w:cs="Arial"/>
          <w:sz w:val="16"/>
          <w:szCs w:val="16"/>
          <w:color w:val="auto"/>
        </w:rPr>
        <w:t xml:space="preserve">para facilitar la comparación de los distintos escenarios de evaluación.</w:t>
      </w:r>
    </w:p>
    <w:p>
      <w:pPr>
        <w:spacing w:after="0" w:line="4"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i w:val="1"/>
          <w:iCs w:val="1"/>
          <w:color w:val="auto"/>
        </w:rPr>
        <w:t xml:space="preserve">4.3. Indicadores de robustez</w:t>
      </w:r>
    </w:p>
    <w:p>
      <w:pPr>
        <w:spacing w:after="0" w:line="242" w:lineRule="exact"/>
        <w:rPr>
          <w:rFonts w:ascii="Arial" w:hAnsi="Arial" w:eastAsia="Arial" w:cs="Arial"/>
          <w:sz w:val="8"/>
          <w:szCs w:val="8"/>
          <w:color w:val="auto"/>
        </w:rPr>
      </w:pPr>
    </w:p>
    <w:p>
      <w:pPr>
        <w:ind w:start="240"/>
        <w:spacing w:after="0"/>
        <w:rPr>
          <w:sz w:val="20"/>
          <w:szCs w:val="20"/>
          <w:color w:val="auto"/>
        </w:rPr>
      </w:pPr>
      <w:r>
        <w:rPr>
          <w:rFonts w:ascii="Arial" w:hAnsi="Arial" w:eastAsia="Arial" w:cs="Arial"/>
          <w:sz w:val="16"/>
          <w:szCs w:val="16"/>
          <w:color w:val="auto"/>
        </w:rPr>
        <w:t xml:space="preserve">Consideramos las dos métricas siguientes:</w:t>
      </w:r>
    </w:p>
    <w:p>
      <w:pPr>
        <w:spacing w:after="0" w:line="161" w:lineRule="exact"/>
        <w:rPr>
          <w:rFonts w:ascii="Arial" w:hAnsi="Arial" w:eastAsia="Arial" w:cs="Arial"/>
          <w:sz w:val="8"/>
          <w:szCs w:val="8"/>
          <w:color w:val="auto"/>
        </w:rPr>
      </w:pPr>
    </w:p>
    <w:p>
      <w:pPr>
        <w:jc w:val="both"/>
        <w:ind w:start="400" w:hanging="137"/>
        <w:spacing w:after="0" w:line="480" w:lineRule="auto"/>
        <w:tabs>
          <w:tab w:val="left" w:leader="none" w:pos="400"/>
        </w:tabs>
        <w:numPr>
          <w:ilvl w:val="0"/>
          <w:numId w:val="13"/>
        </w:numPr>
        <w:rPr>
          <w:rFonts w:ascii="Arial" w:hAnsi="Arial" w:eastAsia="Arial" w:cs="Arial"/>
          <w:sz w:val="15"/>
          <w:szCs w:val="15"/>
          <w:b w:val="1"/>
          <w:bCs w:val="1"/>
          <w:color w:val="auto"/>
        </w:rPr>
      </w:pPr>
      <w:r>
        <w:rPr>
          <w:rFonts w:ascii="Arial" w:hAnsi="Arial" w:eastAsia="Arial" w:cs="Arial"/>
          <w:sz w:val="15"/>
          <w:szCs w:val="15"/>
          <w:b w:val="1"/>
          <w:bCs w:val="1"/>
          <w:color w:val="auto"/>
        </w:rPr>
        <w:t xml:space="preserve">Precisión</w:t>
      </w:r>
      <w:r>
        <w:rPr>
          <w:rFonts w:ascii="Arial" w:hAnsi="Arial" w:eastAsia="Arial" w:cs="Arial"/>
          <w:sz w:val="15"/>
          <w:szCs w:val="15"/>
          <w:color w:val="auto"/>
        </w:rPr>
        <w:t xml:space="preserve">: mide la capacidad del IDS para clasificar correctamente el tráfico malicioso y el legítimo. Representa el porcentaje de</w:t>
      </w:r>
    </w:p>
    <w:p>
      <w:pPr>
        <w:spacing w:after="0" w:line="123" w:lineRule="exact"/>
        <w:rPr>
          <w:rFonts w:ascii="Arial" w:hAnsi="Arial" w:eastAsia="Arial" w:cs="Arial"/>
          <w:sz w:val="8"/>
          <w:szCs w:val="8"/>
          <w:color w:val="auto"/>
        </w:rPr>
      </w:pPr>
    </w:p>
    <w:p>
      <w:pPr>
        <w:ind w:start="400"/>
        <w:spacing w:after="0"/>
        <w:rPr>
          <w:sz w:val="20"/>
          <w:szCs w:val="20"/>
          <w:color w:val="auto"/>
        </w:rPr>
      </w:pPr>
      <w:r>
        <w:rPr>
          <w:rFonts w:ascii="Arial" w:hAnsi="Arial" w:eastAsia="Arial" w:cs="Arial"/>
          <w:sz w:val="7"/>
          <w:szCs w:val="7"/>
          <w:color w:val="auto"/>
        </w:rPr>
        <w:t xml:space="preserve">el número de registros clasificados correctamente sobre el número total de registros. =</w:t>
      </w:r>
    </w:p>
    <w:p>
      <w:pPr>
        <w:spacing w:after="0" w:line="20" w:lineRule="exact"/>
        <w:rPr>
          <w:rFonts w:ascii="Arial" w:hAnsi="Arial" w:eastAsia="Arial" w:cs="Arial"/>
          <w:sz w:val="8"/>
          <w:szCs w:val="8"/>
          <w:color w:val="auto"/>
        </w:rPr>
      </w:pPr>
      <w:r>
        <w:rPr>
          <w:rFonts w:ascii="Arial" w:hAnsi="Arial" w:eastAsia="Arial" w:cs="Arial"/>
          <w:sz w:val="8"/>
          <w:szCs w:val="8"/>
          <w:color w:val="auto"/>
        </w:rPr>
        <mc:AlternateContent>
          <mc:Choice Requires="wps">
            <w:drawing>
              <wp:anchor simplePos="0" relativeHeight="251657728" behindDoc="1" locked="0" layoutInCell="0" allowOverlap="1">
                <wp:simplePos x="0" y="0"/>
                <wp:positionH relativeFrom="column">
                  <wp:posOffset>1125220</wp:posOffset>
                </wp:positionH>
                <wp:positionV relativeFrom="paragraph">
                  <wp:posOffset>61595</wp:posOffset>
                </wp:positionV>
                <wp:extent cx="63563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635" cy="4763"/>
                        </a:xfrm>
                        <a:prstGeom prst="line">
                          <a:avLst/>
                        </a:prstGeom>
                        <a:solidFill>
                          <a:srgbClr val="FFFFFF"/>
                        </a:solidFill>
                        <a:ln w="6680">
                          <a:solidFill>
                            <a:srgbClr val="000000"/>
                          </a:solidFill>
                          <a:miter lim="800000"/>
                          <a:headEnd/>
                          <a:tailEnd/>
                        </a:ln>
                      </wps:spPr>
                      <wps:bodyPr/>
                    </wps:wsp>
                  </a:graphicData>
                </a:graphic>
              </wp:anchor>
            </w:drawing>
          </mc:Choice>
          <mc:Fallback>
            <w:pict>
              <v:line id="Shape 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7" o:allowincell="f" strokecolor="#000000" strokeweight="0.526pt" from="88.6pt,4.85pt" to="138.65pt,4.85pt"/>
            </w:pict>
          </mc:Fallback>
        </mc:AlternateContent>
      </w:r>
    </w:p>
    <w:p>
      <w:pPr>
        <w:spacing w:after="0" w:line="408" w:lineRule="exact"/>
        <w:rPr>
          <w:rFonts w:ascii="Arial" w:hAnsi="Arial" w:eastAsia="Arial" w:cs="Arial"/>
          <w:sz w:val="8"/>
          <w:szCs w:val="8"/>
          <w:color w:val="auto"/>
        </w:rPr>
      </w:pPr>
    </w:p>
    <w:p>
      <w:pPr>
        <w:sectPr>
          <w:pgSz w:w="11900" w:h="15874" w:orient="portrait"/>
          <w:cols w:equalWidth="0" w:num="2">
            <w:col w:w="5020" w:space="360"/>
            <w:col w:w="5020"/>
          </w:cols>
          <w:pgMar w:top="492" w:right="746" w:bottom="85" w:left="760" w:header="0" w:footer="0" w:gutter="0"/>
          <w:type w:val="continuous"/>
        </w:sectPr>
      </w:pPr>
    </w:p>
    <w:p>
      <w:pPr>
        <w:jc w:val="center"/>
        <w:spacing w:after="0"/>
        <w:rPr>
          <w:sz w:val="20"/>
          <w:szCs w:val="20"/>
          <w:color w:val="auto"/>
        </w:rPr>
      </w:pPr>
      <w:r>
        <w:rPr>
          <w:rFonts w:ascii="Arial" w:hAnsi="Arial" w:eastAsia="Arial" w:cs="Arial"/>
          <w:sz w:val="13"/>
          <w:szCs w:val="13"/>
          <w:color w:val="auto"/>
        </w:rPr>
        <w:t xml:space="preserve">5</w:t>
      </w:r>
    </w:p>
    <w:p>
      <w:pPr>
        <w:sectPr>
          <w:pgSz w:w="11900" w:h="15874" w:orient="portrait"/>
          <w:cols w:equalWidth="0" w:num="1">
            <w:col w:w="10400"/>
          </w:cols>
          <w:pgMar w:top="492" w:right="746" w:bottom="85" w:left="760" w:header="0" w:footer="0" w:gutter="0"/>
          <w:type w:val="continuous"/>
        </w:sectPr>
      </w:pPr>
    </w:p>
    <w:bookmarkStart w:name="page6" w:id="5"/>
    <w:bookmarkEnd w:id="5"/>
    <w:p>
      <w:pPr>
        <w:spacing w:after="0"/>
        <w:tabs>
          <w:tab w:val="left" w:leader="none" w:pos="8200"/>
        </w:tabs>
        <w:rPr>
          <w:sz w:val="20"/>
          <w:szCs w:val="20"/>
          <w:color w:val="auto"/>
        </w:rPr>
      </w:pPr>
      <w:r>
        <w:rPr>
          <w:rFonts w:ascii="Arial" w:hAnsi="Arial" w:eastAsia="Arial" w:cs="Arial"/>
          <w:sz w:val="13"/>
          <w:szCs w:val="13"/>
          <w:i w:val="1"/>
          <w:iCs w:val="1"/>
          <w:color w:val="auto"/>
        </w:rPr>
        <w:t xml:space="preserve">H. Jmila y M.I. Khedher</w:t>
      </w:r>
      <w:r>
        <w:rPr>
          <w:sz w:val="20"/>
          <w:szCs w:val="20"/>
          <w:color w:val="auto"/>
        </w:rPr>
        <w:tab/>
      </w:r>
      <w:r>
        <w:rPr>
          <w:rFonts w:ascii="Arial" w:hAnsi="Arial" w:eastAsia="Arial" w:cs="Arial"/>
          <w:sz w:val="12"/>
          <w:szCs w:val="12"/>
          <w:i w:val="1"/>
          <w:iCs w:val="1"/>
          <w:color w:val="auto"/>
        </w:rPr>
        <w:t xml:space="preserve">Redes informáticas 214 (2022) 109073</w:t>
      </w:r>
    </w:p>
    <w:p>
      <w:pPr>
        <w:spacing w:after="0" w:line="318" w:lineRule="exact"/>
        <w:rPr>
          <w:sz w:val="20"/>
          <w:szCs w:val="20"/>
          <w:color w:val="auto"/>
        </w:rPr>
      </w:pPr>
    </w:p>
    <w:p>
      <w:pPr>
        <w:spacing w:after="0"/>
        <w:rPr>
          <w:sz w:val="20"/>
          <w:szCs w:val="20"/>
          <w:color w:val="auto"/>
        </w:rPr>
      </w:pPr>
      <w:r>
        <w:rPr>
          <w:rFonts w:ascii="Arial" w:hAnsi="Arial" w:eastAsia="Arial" w:cs="Arial"/>
          <w:sz w:val="13"/>
          <w:szCs w:val="13"/>
          <w:b w:val="1"/>
          <w:bCs w:val="1"/>
          <w:color w:val="auto"/>
        </w:rPr>
        <w:t xml:space="preserve">Cuadro 1</w:t>
      </w:r>
    </w:p>
    <w:p>
      <w:pPr>
        <w:spacing w:after="0" w:line="177" w:lineRule="exact"/>
        <w:rPr>
          <w:sz w:val="20"/>
          <w:szCs w:val="20"/>
          <w:color w:val="auto"/>
        </w:rPr>
      </w:pPr>
    </w:p>
    <w:p>
      <w:pPr>
        <w:spacing w:after="0"/>
        <w:rPr>
          <w:sz w:val="20"/>
          <w:szCs w:val="20"/>
          <w:color w:val="auto"/>
        </w:rPr>
      </w:pPr>
      <w:r>
        <w:rPr>
          <w:rFonts w:ascii="Arial" w:hAnsi="Arial" w:eastAsia="Arial" w:cs="Arial"/>
          <w:sz w:val="13"/>
          <w:szCs w:val="13"/>
          <w:color w:val="auto"/>
        </w:rPr>
        <w:t xml:space="preserve">Resumen de trabajos de investigación relacionados con la alineación de documentos.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0</wp:posOffset>
                </wp:positionV>
                <wp:extent cx="660463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8" o:allowincell="f" strokecolor="#000000" strokeweight="0.398pt" from="-0.3999pt,0pt" to="519.65pt,0pt"/>
            </w:pict>
          </mc:Fallback>
        </mc:AlternateContent>
      </w:r>
    </w:p>
    <w:p>
      <w:pPr>
        <w:spacing w:after="0" w:line="46" w:lineRule="exact"/>
        <w:rPr>
          <w:sz w:val="20"/>
          <w:szCs w:val="20"/>
          <w:color w:val="auto"/>
        </w:rPr>
      </w:pPr>
    </w:p>
    <w:tbl>
      <w:tblPr>
        <w:tblLayout w:type="fixed"/>
        <w:tblInd w:w="0" w:type="dxa"/>
        <w:tblCellMar>
          <w:top w:w="0" w:type="dxa"/>
          <w:left w:w="0" w:type="dxa"/>
          <w:bottom w:w="0" w:type="dxa"/>
          <w:right w:w="0" w:type="dxa"/>
        </w:tblCellMar>
      </w:tblPr>
      <w:tr>
        <w:trPr>
          <w:trHeight w:val="169"/>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Trabajo</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Año</w:t>
            </w:r>
          </w:p>
        </w:tc>
        <w:tc>
          <w:tcPr>
            <w:tcW w:w="940" w:type="dxa"/>
            <w:vAlign w:val="bottom"/>
          </w:tcPr>
          <w:p>
            <w:pPr>
              <w:spacing w:after="0"/>
              <w:rPr>
                <w:sz w:val="20"/>
                <w:szCs w:val="20"/>
                <w:color w:val="auto"/>
              </w:rPr>
            </w:pPr>
            <w:r>
              <w:rPr>
                <w:rFonts w:ascii="Arial" w:hAnsi="Arial" w:eastAsia="Arial" w:cs="Arial"/>
                <w:sz w:val="13"/>
                <w:szCs w:val="13"/>
                <w:color w:val="auto"/>
              </w:rPr>
              <w:t xml:space="preserve">Algoritmo</w:t>
            </w:r>
          </w:p>
        </w:tc>
        <w:tc>
          <w:tcPr>
            <w:tcW w:w="960" w:type="dxa"/>
            <w:vAlign w:val="bottom"/>
          </w:tcPr>
          <w:p>
            <w:pPr>
              <w:spacing w:after="0"/>
              <w:rPr>
                <w:sz w:val="14"/>
                <w:szCs w:val="14"/>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Conjunto de datos</w:t>
            </w:r>
          </w:p>
        </w:tc>
        <w:tc>
          <w:tcPr>
            <w:tcW w:w="200" w:type="dxa"/>
            <w:vAlign w:val="bottom"/>
          </w:tcPr>
          <w:p>
            <w:pPr>
              <w:spacing w:after="0"/>
              <w:rPr>
                <w:sz w:val="14"/>
                <w:szCs w:val="14"/>
                <w:color w:val="auto"/>
              </w:rPr>
            </w:pPr>
          </w:p>
        </w:tc>
        <w:tc>
          <w:tcPr>
            <w:tcW w:w="1300" w:type="dxa"/>
            <w:vAlign w:val="bottom"/>
          </w:tcPr>
          <w:p>
            <w:pPr>
              <w:spacing w:after="0"/>
              <w:rPr>
                <w:sz w:val="20"/>
                <w:szCs w:val="20"/>
                <w:color w:val="auto"/>
              </w:rPr>
            </w:pPr>
            <w:r>
              <w:rPr>
                <w:rFonts w:ascii="Arial" w:hAnsi="Arial" w:eastAsia="Arial" w:cs="Arial"/>
                <w:sz w:val="13"/>
                <w:szCs w:val="13"/>
                <w:color w:val="auto"/>
              </w:rPr>
              <w:t xml:space="preserve">Ataque adversario</w:t>
            </w:r>
          </w:p>
        </w:tc>
        <w:tc>
          <w:tcPr>
            <w:tcW w:w="1800" w:type="dxa"/>
            <w:vAlign w:val="bottom"/>
          </w:tcPr>
          <w:p>
            <w:pPr>
              <w:spacing w:after="0"/>
              <w:rPr>
                <w:sz w:val="14"/>
                <w:szCs w:val="14"/>
                <w:color w:val="auto"/>
              </w:rPr>
            </w:pP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técnica de defensa</w:t>
            </w:r>
          </w:p>
        </w:tc>
        <w:tc>
          <w:tcPr>
            <w:tcW w:w="0" w:type="dxa"/>
            <w:vAlign w:val="bottom"/>
          </w:tcPr>
          <w:p>
            <w:pPr>
              <w:spacing w:after="0"/>
              <w:rPr>
                <w:sz w:val="1"/>
                <w:szCs w:val="1"/>
                <w:color w:val="auto"/>
              </w:rPr>
            </w:pPr>
          </w:p>
        </w:tc>
      </w:tr>
      <w:tr>
        <w:trPr>
          <w:trHeight w:val="159"/>
        </w:trPr>
        <w:tc>
          <w:tcPr>
            <w:tcW w:w="640" w:type="dxa"/>
            <w:vAlign w:val="bottom"/>
          </w:tcPr>
          <w:p>
            <w:pPr>
              <w:spacing w:after="0"/>
              <w:rPr>
                <w:sz w:val="13"/>
                <w:szCs w:val="13"/>
                <w:color w:val="auto"/>
              </w:rPr>
            </w:pPr>
          </w:p>
        </w:tc>
        <w:tc>
          <w:tcPr>
            <w:tcW w:w="960" w:type="dxa"/>
            <w:vAlign w:val="bottom"/>
          </w:tcPr>
          <w:p>
            <w:pPr>
              <w:spacing w:after="0"/>
              <w:rPr>
                <w:sz w:val="13"/>
                <w:szCs w:val="13"/>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Clásico ML</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Profundo</w:t>
            </w:r>
          </w:p>
        </w:tc>
        <w:tc>
          <w:tcPr>
            <w:tcW w:w="18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300" w:type="dxa"/>
            <w:vAlign w:val="bottom"/>
          </w:tcPr>
          <w:p>
            <w:pPr>
              <w:spacing w:after="0"/>
              <w:rPr>
                <w:sz w:val="20"/>
                <w:szCs w:val="20"/>
                <w:color w:val="auto"/>
              </w:rPr>
            </w:pPr>
            <w:r>
              <w:rPr>
                <w:rFonts w:ascii="Arial" w:hAnsi="Arial" w:eastAsia="Arial" w:cs="Arial"/>
                <w:sz w:val="13"/>
                <w:szCs w:val="13"/>
                <w:color w:val="auto"/>
              </w:rPr>
              <w:t xml:space="preserve">SOA</w:t>
            </w: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Diseñado</w:t>
            </w:r>
          </w:p>
        </w:tc>
        <w:tc>
          <w:tcPr>
            <w:tcW w:w="18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50"/>
        </w:trPr>
        <w:tc>
          <w:tcPr>
            <w:tcW w:w="64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Aprender</w:t>
            </w:r>
          </w:p>
        </w:tc>
        <w:tc>
          <w:tcPr>
            <w:tcW w:w="180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1800" w:type="dxa"/>
            <w:vAlign w:val="bottom"/>
          </w:tcPr>
          <w:p>
            <w:pPr>
              <w:spacing w:after="0"/>
              <w:rPr>
                <w:sz w:val="21"/>
                <w:szCs w:val="21"/>
                <w:color w:val="auto"/>
              </w:rPr>
            </w:pPr>
          </w:p>
        </w:tc>
        <w:tc>
          <w:tcPr>
            <w:tcW w:w="18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9"/>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2018</w:t>
            </w:r>
          </w:p>
        </w:tc>
        <w:tc>
          <w:tcPr>
            <w:tcW w:w="940" w:type="dxa"/>
            <w:vAlign w:val="bottom"/>
          </w:tcPr>
          <w:p>
            <w:pPr>
              <w:spacing w:after="0"/>
              <w:rPr>
                <w:sz w:val="20"/>
                <w:szCs w:val="20"/>
                <w:color w:val="auto"/>
              </w:rPr>
            </w:pPr>
            <w:r>
              <w:rPr>
                <w:rFonts w:ascii="Arial" w:hAnsi="Arial" w:eastAsia="Arial" w:cs="Arial"/>
                <w:sz w:val="13"/>
                <w:szCs w:val="13"/>
                <w:color w:val="auto"/>
              </w:rPr>
              <w:t xml:space="preserve">37%</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95%</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NS-LKDD</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53%</w:t>
            </w: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47%</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53%</w:t>
            </w:r>
          </w:p>
        </w:tc>
        <w:tc>
          <w:tcPr>
            <w:tcW w:w="0" w:type="dxa"/>
            <w:vAlign w:val="bottom"/>
          </w:tcPr>
          <w:p>
            <w:pPr>
              <w:spacing w:after="0"/>
              <w:rPr>
                <w:sz w:val="1"/>
                <w:szCs w:val="1"/>
                <w:color w:val="auto"/>
              </w:rPr>
            </w:pPr>
          </w:p>
        </w:tc>
      </w:tr>
      <w:tr>
        <w:trPr>
          <w:trHeight w:val="171"/>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35</w:t>
            </w:r>
            <w:r>
              <w:rPr>
                <w:rFonts w:ascii="Arial" w:hAnsi="Arial" w:eastAsia="Arial" w:cs="Arial"/>
                <w:sz w:val="13"/>
                <w:szCs w:val="13"/>
                <w:color w:val="auto"/>
              </w:rPr>
              <w:t xml:space="preserve">]</w:t>
            </w:r>
          </w:p>
        </w:tc>
        <w:tc>
          <w:tcPr>
            <w:tcW w:w="960" w:type="dxa"/>
            <w:vAlign w:val="bottom"/>
            <w:vMerge w:val="continue"/>
          </w:tcPr>
          <w:p>
            <w:pPr>
              <w:spacing w:after="0"/>
              <w:rPr>
                <w:sz w:val="14"/>
                <w:szCs w:val="14"/>
                <w:color w:val="auto"/>
              </w:rPr>
            </w:pP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DNN</w:t>
            </w:r>
          </w:p>
        </w:tc>
        <w:tc>
          <w:tcPr>
            <w:tcW w:w="1800" w:type="dxa"/>
            <w:vAlign w:val="bottom"/>
            <w:vMerge w:val="continue"/>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ZOO, con sede en Gan</w:t>
            </w: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tcPr>
          <w:p>
            <w:pPr>
              <w:ind w:start="3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36</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2018</w:t>
            </w:r>
          </w:p>
        </w:tc>
        <w:tc>
          <w:tcPr>
            <w:tcW w:w="940" w:type="dxa"/>
            <w:vAlign w:val="bottom"/>
          </w:tcPr>
          <w:p>
            <w:pPr>
              <w:spacing w:after="0"/>
              <w:rPr>
                <w:sz w:val="14"/>
                <w:szCs w:val="14"/>
                <w:color w:val="auto"/>
              </w:rPr>
            </w:pP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DNN</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NSL-KDD</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ataque</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vMerge w:val="continue"/>
          </w:tcPr>
          <w:p>
            <w:pPr>
              <w:spacing w:after="0"/>
              <w:rPr>
                <w:sz w:val="14"/>
                <w:szCs w:val="14"/>
                <w:color w:val="auto"/>
              </w:rPr>
            </w:pPr>
          </w:p>
        </w:tc>
        <w:tc>
          <w:tcPr>
            <w:tcW w:w="1800" w:type="dxa"/>
            <w:vAlign w:val="bottom"/>
            <w:vMerge w:val="continue"/>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FGSM, JSMA</w:t>
            </w: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tcPr>
          <w:p>
            <w:pPr>
              <w:ind w:start="3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250"/>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37</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2019</w:t>
            </w:r>
          </w:p>
        </w:tc>
        <w:tc>
          <w:tcPr>
            <w:tcW w:w="940" w:type="dxa"/>
            <w:vAlign w:val="bottom"/>
            <w:vMerge w:val="restart"/>
          </w:tcPr>
          <w:p>
            <w:pPr>
              <w:spacing w:after="0"/>
              <w:rPr>
                <w:sz w:val="20"/>
                <w:szCs w:val="20"/>
                <w:color w:val="auto"/>
              </w:rPr>
            </w:pPr>
            <w:r>
              <w:rPr>
                <w:rFonts w:ascii="Arial" w:hAnsi="Arial" w:eastAsia="Arial" w:cs="Arial"/>
                <w:sz w:val="13"/>
                <w:szCs w:val="13"/>
                <w:color w:val="auto"/>
              </w:rPr>
              <w:t xml:space="preserve">AdaBoost</w:t>
            </w: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MLP</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CTU [</w:t>
            </w:r>
            <w:r>
              <w:rPr>
                <w:rFonts w:ascii="Arial" w:hAnsi="Arial" w:eastAsia="Arial" w:cs="Arial"/>
                <w:sz w:val="13"/>
                <w:szCs w:val="13"/>
                <w:color w:val="0080AC"/>
              </w:rPr>
              <w:t xml:space="preserve">38</w:t>
            </w:r>
            <w:r>
              <w:rPr>
                <w:rFonts w:ascii="Arial" w:hAnsi="Arial" w:eastAsia="Arial" w:cs="Arial"/>
                <w:sz w:val="13"/>
                <w:szCs w:val="13"/>
                <w:color w:val="auto"/>
              </w:rPr>
              <w:t xml:space="preserve">]</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DeepFool, C&amp;W</w:t>
            </w:r>
          </w:p>
        </w:tc>
        <w:tc>
          <w:tcPr>
            <w:tcW w:w="1800" w:type="dxa"/>
            <w:vAlign w:val="bottom"/>
            <w:vMerge w:val="restart"/>
          </w:tcPr>
          <w:p>
            <w:pPr>
              <w:ind w:start="200"/>
              <w:spacing w:after="0"/>
              <w:rPr>
                <w:sz w:val="20"/>
                <w:szCs w:val="20"/>
                <w:color w:val="auto"/>
              </w:rPr>
            </w:pPr>
            <w:r>
              <w:rPr>
                <w:rFonts w:ascii="Arial" w:hAnsi="Arial" w:eastAsia="Arial" w:cs="Arial"/>
                <w:sz w:val="13"/>
                <w:szCs w:val="13"/>
                <w:color w:val="auto"/>
              </w:rPr>
              <w:t xml:space="preserve">Alterar algunos</w:t>
            </w:r>
          </w:p>
        </w:tc>
        <w:tc>
          <w:tcPr>
            <w:tcW w:w="1820" w:type="dxa"/>
            <w:vAlign w:val="bottom"/>
            <w:vMerge w:val="restart"/>
          </w:tcPr>
          <w:p>
            <w:pPr>
              <w:ind w:start="300"/>
              <w:spacing w:after="0"/>
              <w:rPr>
                <w:sz w:val="20"/>
                <w:szCs w:val="20"/>
                <w:color w:val="auto"/>
              </w:rPr>
            </w:pPr>
            <w:r>
              <w:rPr>
                <w:rFonts w:ascii="Arial" w:hAnsi="Arial" w:eastAsia="Arial" w:cs="Arial"/>
                <w:sz w:val="13"/>
                <w:szCs w:val="13"/>
                <w:color w:val="auto"/>
              </w:rPr>
              <w:t xml:space="preserve">Eliminar</w:t>
            </w:r>
          </w:p>
        </w:tc>
        <w:tc>
          <w:tcPr>
            <w:tcW w:w="0" w:type="dxa"/>
            <w:vAlign w:val="bottom"/>
          </w:tcPr>
          <w:p>
            <w:pPr>
              <w:spacing w:after="0"/>
              <w:rPr>
                <w:sz w:val="1"/>
                <w:szCs w:val="1"/>
                <w:color w:val="auto"/>
              </w:rPr>
            </w:pPr>
          </w:p>
        </w:tc>
      </w:tr>
      <w:tr>
        <w:trPr>
          <w:trHeight w:val="159"/>
        </w:trPr>
        <w:tc>
          <w:tcPr>
            <w:tcW w:w="640" w:type="dxa"/>
            <w:vAlign w:val="bottom"/>
            <w:vMerge w:val="continue"/>
          </w:tcPr>
          <w:p>
            <w:pPr>
              <w:spacing w:after="0"/>
              <w:rPr>
                <w:sz w:val="13"/>
                <w:szCs w:val="13"/>
                <w:color w:val="auto"/>
              </w:rPr>
            </w:pPr>
          </w:p>
        </w:tc>
        <w:tc>
          <w:tcPr>
            <w:tcW w:w="960" w:type="dxa"/>
            <w:vAlign w:val="bottom"/>
            <w:vMerge w:val="continue"/>
          </w:tcPr>
          <w:p>
            <w:pPr>
              <w:spacing w:after="0"/>
              <w:rPr>
                <w:sz w:val="13"/>
                <w:szCs w:val="13"/>
                <w:color w:val="auto"/>
              </w:rPr>
            </w:pPr>
          </w:p>
        </w:tc>
        <w:tc>
          <w:tcPr>
            <w:tcW w:w="940" w:type="dxa"/>
            <w:vAlign w:val="bottom"/>
            <w:vMerge w:val="continue"/>
          </w:tcPr>
          <w:p>
            <w:pPr>
              <w:spacing w:after="0"/>
              <w:rPr>
                <w:sz w:val="13"/>
                <w:szCs w:val="13"/>
                <w:color w:val="auto"/>
              </w:rPr>
            </w:pPr>
          </w:p>
        </w:tc>
        <w:tc>
          <w:tcPr>
            <w:tcW w:w="960" w:type="dxa"/>
            <w:vAlign w:val="bottom"/>
            <w:vMerge w:val="continue"/>
          </w:tcPr>
          <w:p>
            <w:pPr>
              <w:spacing w:after="0"/>
              <w:rPr>
                <w:sz w:val="13"/>
                <w:szCs w:val="13"/>
                <w:color w:val="auto"/>
              </w:rPr>
            </w:pPr>
          </w:p>
        </w:tc>
        <w:tc>
          <w:tcPr>
            <w:tcW w:w="1800" w:type="dxa"/>
            <w:vAlign w:val="bottom"/>
            <w:vMerge w:val="continue"/>
          </w:tcPr>
          <w:p>
            <w:pPr>
              <w:spacing w:after="0"/>
              <w:rPr>
                <w:sz w:val="13"/>
                <w:szCs w:val="13"/>
                <w:color w:val="auto"/>
              </w:rPr>
            </w:pPr>
          </w:p>
        </w:tc>
        <w:tc>
          <w:tcPr>
            <w:tcW w:w="1500" w:type="dxa"/>
            <w:vAlign w:val="bottom"/>
            <w:gridSpan w:val="2"/>
          </w:tcPr>
          <w:p>
            <w:pPr>
              <w:ind w:start="20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vMerge w:val="continue"/>
          </w:tcPr>
          <w:p>
            <w:pPr>
              <w:spacing w:after="0"/>
              <w:rPr>
                <w:sz w:val="13"/>
                <w:szCs w:val="13"/>
                <w:color w:val="auto"/>
              </w:rPr>
            </w:pPr>
          </w:p>
        </w:tc>
        <w:tc>
          <w:tcPr>
            <w:tcW w:w="18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DT, GB</w:t>
            </w:r>
          </w:p>
        </w:tc>
        <w:tc>
          <w:tcPr>
            <w:tcW w:w="960" w:type="dxa"/>
            <w:vAlign w:val="bottom"/>
          </w:tcPr>
          <w:p>
            <w:pPr>
              <w:spacing w:after="0"/>
              <w:rPr>
                <w:sz w:val="14"/>
                <w:szCs w:val="14"/>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CICIDS [</w:t>
            </w:r>
            <w:r>
              <w:rPr>
                <w:rFonts w:ascii="Arial" w:hAnsi="Arial" w:eastAsia="Arial" w:cs="Arial"/>
                <w:sz w:val="13"/>
                <w:szCs w:val="13"/>
                <w:color w:val="0080AC"/>
              </w:rPr>
              <w:t xml:space="preserve">39</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características valores</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características alteradas</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KNN, LR</w:t>
            </w:r>
          </w:p>
        </w:tc>
        <w:tc>
          <w:tcPr>
            <w:tcW w:w="960" w:type="dxa"/>
            <w:vAlign w:val="bottom"/>
          </w:tcPr>
          <w:p>
            <w:pPr>
              <w:spacing w:after="0"/>
              <w:rPr>
                <w:sz w:val="14"/>
                <w:szCs w:val="14"/>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BOTNET [</w:t>
            </w:r>
            <w:r>
              <w:rPr>
                <w:rFonts w:ascii="Arial" w:hAnsi="Arial" w:eastAsia="Arial" w:cs="Arial"/>
                <w:sz w:val="13"/>
                <w:szCs w:val="13"/>
                <w:color w:val="0080AC"/>
              </w:rPr>
              <w:t xml:space="preserve">40</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41</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2019</w:t>
            </w:r>
          </w:p>
        </w:tc>
        <w:tc>
          <w:tcPr>
            <w:tcW w:w="940" w:type="dxa"/>
            <w:vAlign w:val="bottom"/>
          </w:tcPr>
          <w:p>
            <w:pPr>
              <w:spacing w:after="0"/>
              <w:rPr>
                <w:sz w:val="20"/>
                <w:szCs w:val="20"/>
                <w:color w:val="auto"/>
              </w:rPr>
            </w:pPr>
            <w:r>
              <w:rPr>
                <w:rFonts w:ascii="Arial" w:hAnsi="Arial" w:eastAsia="Arial" w:cs="Arial"/>
                <w:sz w:val="13"/>
                <w:szCs w:val="13"/>
                <w:color w:val="auto"/>
              </w:rPr>
              <w:t xml:space="preserve">RF, SVM</w:t>
            </w: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DNN</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NSL-KDD</w:t>
            </w:r>
          </w:p>
        </w:tc>
        <w:tc>
          <w:tcPr>
            <w:tcW w:w="1500" w:type="dxa"/>
            <w:vAlign w:val="bottom"/>
            <w:gridSpan w:val="2"/>
            <w:vMerge w:val="restart"/>
          </w:tcPr>
          <w:p>
            <w:pPr>
              <w:ind w:start="200"/>
              <w:spacing w:after="0"/>
              <w:rPr>
                <w:sz w:val="20"/>
                <w:szCs w:val="20"/>
                <w:color w:val="auto"/>
              </w:rPr>
            </w:pPr>
            <w:r>
              <w:rPr>
                <w:rFonts w:ascii="Arial" w:hAnsi="Arial" w:eastAsia="Arial" w:cs="Arial"/>
                <w:sz w:val="13"/>
                <w:szCs w:val="13"/>
                <w:color w:val="auto"/>
              </w:rPr>
              <w:t xml:space="preserve">FGSM, PGD</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LR, RF</w:t>
            </w:r>
          </w:p>
        </w:tc>
        <w:tc>
          <w:tcPr>
            <w:tcW w:w="960" w:type="dxa"/>
            <w:vAlign w:val="bottom"/>
            <w:vMerge w:val="continue"/>
          </w:tcPr>
          <w:p>
            <w:pPr>
              <w:spacing w:after="0"/>
              <w:rPr>
                <w:sz w:val="14"/>
                <w:szCs w:val="14"/>
                <w:color w:val="auto"/>
              </w:rPr>
            </w:pPr>
          </w:p>
        </w:tc>
        <w:tc>
          <w:tcPr>
            <w:tcW w:w="1800" w:type="dxa"/>
            <w:vAlign w:val="bottom"/>
            <w:vMerge w:val="continue"/>
          </w:tcPr>
          <w:p>
            <w:pPr>
              <w:spacing w:after="0"/>
              <w:rPr>
                <w:sz w:val="14"/>
                <w:szCs w:val="14"/>
                <w:color w:val="auto"/>
              </w:rPr>
            </w:pPr>
          </w:p>
        </w:tc>
        <w:tc>
          <w:tcPr>
            <w:tcW w:w="1500" w:type="dxa"/>
            <w:vAlign w:val="bottom"/>
            <w:gridSpan w:val="2"/>
            <w:vMerge w:val="continue"/>
          </w:tcPr>
          <w:p>
            <w:pPr>
              <w:spacing w:after="0"/>
              <w:rPr>
                <w:sz w:val="14"/>
                <w:szCs w:val="14"/>
                <w:color w:val="auto"/>
              </w:rPr>
            </w:pP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tcPr>
          <w:p>
            <w:pPr>
              <w:ind w:start="3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42</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2019</w:t>
            </w:r>
          </w:p>
        </w:tc>
        <w:tc>
          <w:tcPr>
            <w:tcW w:w="940" w:type="dxa"/>
            <w:vAlign w:val="bottom"/>
          </w:tcPr>
          <w:p>
            <w:pPr>
              <w:spacing w:after="0"/>
              <w:rPr>
                <w:sz w:val="20"/>
                <w:szCs w:val="20"/>
                <w:color w:val="auto"/>
              </w:rPr>
            </w:pPr>
            <w:r>
              <w:rPr>
                <w:rFonts w:ascii="Arial" w:hAnsi="Arial" w:eastAsia="Arial" w:cs="Arial"/>
                <w:sz w:val="13"/>
                <w:szCs w:val="13"/>
                <w:color w:val="auto"/>
              </w:rPr>
              <w:t xml:space="preserve">SVM</w:t>
            </w: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KitNET [</w:t>
            </w:r>
            <w:r>
              <w:rPr>
                <w:rFonts w:ascii="Arial" w:hAnsi="Arial" w:eastAsia="Arial" w:cs="Arial"/>
                <w:sz w:val="13"/>
                <w:szCs w:val="13"/>
                <w:color w:val="0080AC"/>
              </w:rPr>
              <w:t xml:space="preserve">43</w:t>
            </w:r>
            <w:r>
              <w:rPr>
                <w:rFonts w:ascii="Arial" w:hAnsi="Arial" w:eastAsia="Arial" w:cs="Arial"/>
                <w:sz w:val="13"/>
                <w:szCs w:val="13"/>
                <w:color w:val="auto"/>
              </w:rPr>
              <w:t xml:space="preserve">]</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Kitsune [</w:t>
            </w:r>
            <w:r>
              <w:rPr>
                <w:rFonts w:ascii="Arial" w:hAnsi="Arial" w:eastAsia="Arial" w:cs="Arial"/>
                <w:sz w:val="13"/>
                <w:szCs w:val="13"/>
                <w:color w:val="0080AC"/>
              </w:rPr>
              <w:t xml:space="preserve">43</w:t>
            </w:r>
            <w:r>
              <w:rPr>
                <w:rFonts w:ascii="Arial" w:hAnsi="Arial" w:eastAsia="Arial" w:cs="Arial"/>
                <w:sz w:val="13"/>
                <w:szCs w:val="13"/>
                <w:color w:val="auto"/>
              </w:rPr>
              <w:t xml:space="preserve">]</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L-BFGS,SPSA</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vMerge w:val="continue"/>
          </w:tcPr>
          <w:p>
            <w:pPr>
              <w:spacing w:after="0"/>
              <w:rPr>
                <w:sz w:val="14"/>
                <w:szCs w:val="14"/>
                <w:color w:val="auto"/>
              </w:rPr>
            </w:pPr>
          </w:p>
        </w:tc>
        <w:tc>
          <w:tcPr>
            <w:tcW w:w="1800" w:type="dxa"/>
            <w:vAlign w:val="bottom"/>
            <w:vMerge w:val="continue"/>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FGSM</w:t>
            </w: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tcPr>
          <w:p>
            <w:pPr>
              <w:ind w:start="3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JSMA</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C&amp;W</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0080AC"/>
              </w:rPr>
              <w:t xml:space="preserve">[44</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2019</w:t>
            </w:r>
          </w:p>
        </w:tc>
        <w:tc>
          <w:tcPr>
            <w:tcW w:w="940" w:type="dxa"/>
            <w:vAlign w:val="bottom"/>
          </w:tcPr>
          <w:p>
            <w:pPr>
              <w:spacing w:after="0"/>
              <w:rPr>
                <w:sz w:val="14"/>
                <w:szCs w:val="14"/>
                <w:color w:val="auto"/>
              </w:rPr>
            </w:pP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FFNN, SNNs</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BoT-IoT [</w:t>
            </w:r>
            <w:r>
              <w:rPr>
                <w:rFonts w:ascii="Arial" w:hAnsi="Arial" w:eastAsia="Arial" w:cs="Arial"/>
                <w:sz w:val="13"/>
                <w:szCs w:val="13"/>
                <w:color w:val="0080AC"/>
              </w:rPr>
              <w:t xml:space="preserve">45</w:t>
            </w:r>
            <w:r>
              <w:rPr>
                <w:rFonts w:ascii="Arial" w:hAnsi="Arial" w:eastAsia="Arial" w:cs="Arial"/>
                <w:sz w:val="13"/>
                <w:szCs w:val="13"/>
                <w:color w:val="auto"/>
              </w:rPr>
              <w:t xml:space="preserve">]</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Método de la red elástica</w:t>
            </w:r>
          </w:p>
        </w:tc>
        <w:tc>
          <w:tcPr>
            <w:tcW w:w="1800" w:type="dxa"/>
            <w:vAlign w:val="bottom"/>
          </w:tcPr>
          <w:p>
            <w:pPr>
              <w:spacing w:after="0"/>
              <w:rPr>
                <w:sz w:val="14"/>
                <w:szCs w:val="14"/>
                <w:color w:val="auto"/>
              </w:rPr>
            </w:pPr>
          </w:p>
        </w:tc>
        <w:tc>
          <w:tcPr>
            <w:tcW w:w="1820" w:type="dxa"/>
            <w:vAlign w:val="bottom"/>
            <w:vMerge w:val="restart"/>
          </w:tcPr>
          <w:p>
            <w:pPr>
              <w:ind w:start="300"/>
              <w:spacing w:after="0"/>
              <w:rPr>
                <w:sz w:val="20"/>
                <w:szCs w:val="20"/>
                <w:color w:val="auto"/>
              </w:rPr>
            </w:pPr>
            <w:r>
              <w:rPr>
                <w:rFonts w:ascii="Arial" w:hAnsi="Arial" w:eastAsia="Arial" w:cs="Arial"/>
                <w:sz w:val="13"/>
                <w:szCs w:val="13"/>
                <w:color w:val="auto"/>
              </w:rPr>
              <w:t xml:space="preserve">Normalización de características</w:t>
            </w: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vMerge w:val="continue"/>
          </w:tcPr>
          <w:p>
            <w:pPr>
              <w:spacing w:after="0"/>
              <w:rPr>
                <w:sz w:val="14"/>
                <w:szCs w:val="14"/>
                <w:color w:val="auto"/>
              </w:rPr>
            </w:pPr>
          </w:p>
        </w:tc>
        <w:tc>
          <w:tcPr>
            <w:tcW w:w="1800" w:type="dxa"/>
            <w:vAlign w:val="bottom"/>
            <w:vMerge w:val="continue"/>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FGSM</w:t>
            </w: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38"/>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46</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2019</w:t>
            </w:r>
          </w:p>
        </w:tc>
        <w:tc>
          <w:tcPr>
            <w:tcW w:w="940" w:type="dxa"/>
            <w:vAlign w:val="bottom"/>
            <w:vMerge w:val="restart"/>
          </w:tcPr>
          <w:p>
            <w:pPr>
              <w:spacing w:after="0"/>
              <w:rPr>
                <w:sz w:val="20"/>
                <w:szCs w:val="20"/>
                <w:color w:val="auto"/>
              </w:rPr>
            </w:pPr>
            <w:r>
              <w:rPr>
                <w:rFonts w:ascii="Arial" w:hAnsi="Arial" w:eastAsia="Arial" w:cs="Arial"/>
                <w:sz w:val="13"/>
                <w:szCs w:val="13"/>
                <w:color w:val="auto"/>
              </w:rPr>
              <w:t xml:space="preserve">KitNET [</w:t>
            </w:r>
            <w:r>
              <w:rPr>
                <w:rFonts w:ascii="Arial" w:hAnsi="Arial" w:eastAsia="Arial" w:cs="Arial"/>
                <w:sz w:val="13"/>
                <w:szCs w:val="13"/>
                <w:color w:val="0080AC"/>
              </w:rPr>
              <w:t xml:space="preserve">43</w:t>
            </w:r>
            <w:r>
              <w:rPr>
                <w:rFonts w:ascii="Arial" w:hAnsi="Arial" w:eastAsia="Arial" w:cs="Arial"/>
                <w:sz w:val="13"/>
                <w:szCs w:val="13"/>
                <w:color w:val="auto"/>
              </w:rPr>
              <w:t xml:space="preserve">]</w:t>
            </w:r>
          </w:p>
        </w:tc>
        <w:tc>
          <w:tcPr>
            <w:tcW w:w="960" w:type="dxa"/>
            <w:vAlign w:val="bottom"/>
          </w:tcPr>
          <w:p>
            <w:pPr>
              <w:spacing w:after="0"/>
              <w:rPr>
                <w:sz w:val="20"/>
                <w:szCs w:val="20"/>
                <w:color w:val="auto"/>
              </w:rPr>
            </w:pP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CICIDS [</w:t>
            </w:r>
            <w:r>
              <w:rPr>
                <w:rFonts w:ascii="Arial" w:hAnsi="Arial" w:eastAsia="Arial" w:cs="Arial"/>
                <w:sz w:val="13"/>
                <w:szCs w:val="13"/>
                <w:color w:val="0080AC"/>
              </w:rPr>
              <w:t xml:space="preserve">39</w:t>
            </w:r>
            <w:r>
              <w:rPr>
                <w:rFonts w:ascii="Arial" w:hAnsi="Arial" w:eastAsia="Arial" w:cs="Arial"/>
                <w:sz w:val="13"/>
                <w:szCs w:val="13"/>
                <w:color w:val="auto"/>
              </w:rPr>
              <w:t xml:space="preserve">]</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BIM, PGD</w:t>
            </w:r>
          </w:p>
        </w:tc>
        <w:tc>
          <w:tcPr>
            <w:tcW w:w="1800" w:type="dxa"/>
            <w:vAlign w:val="bottom"/>
            <w:vMerge w:val="restart"/>
          </w:tcPr>
          <w:p>
            <w:pPr>
              <w:ind w:start="200"/>
              <w:spacing w:after="0"/>
              <w:rPr>
                <w:sz w:val="20"/>
                <w:szCs w:val="20"/>
                <w:color w:val="auto"/>
              </w:rPr>
            </w:pPr>
            <w:r>
              <w:rPr>
                <w:rFonts w:ascii="Arial" w:hAnsi="Arial" w:eastAsia="Arial" w:cs="Arial"/>
                <w:sz w:val="13"/>
                <w:szCs w:val="13"/>
                <w:color w:val="auto"/>
              </w:rPr>
              <w:t xml:space="preserve">Alterar el</w:t>
            </w:r>
          </w:p>
        </w:tc>
        <w:tc>
          <w:tcPr>
            <w:tcW w:w="1820" w:type="dxa"/>
            <w:vAlign w:val="bottom"/>
            <w:vMerge w:val="restart"/>
          </w:tcPr>
          <w:p>
            <w:pPr>
              <w:ind w:start="300"/>
              <w:spacing w:after="0"/>
              <w:rPr>
                <w:sz w:val="20"/>
                <w:szCs w:val="20"/>
                <w:color w:val="auto"/>
              </w:rPr>
            </w:pPr>
            <w:r>
              <w:rPr>
                <w:rFonts w:ascii="Arial" w:hAnsi="Arial" w:eastAsia="Arial" w:cs="Arial"/>
                <w:sz w:val="13"/>
                <w:szCs w:val="13"/>
                <w:color w:val="auto"/>
              </w:rPr>
              <w:t xml:space="preserve">Reconstrucción</w:t>
            </w:r>
          </w:p>
        </w:tc>
        <w:tc>
          <w:tcPr>
            <w:tcW w:w="0" w:type="dxa"/>
            <w:vAlign w:val="bottom"/>
          </w:tcPr>
          <w:p>
            <w:pPr>
              <w:spacing w:after="0"/>
              <w:rPr>
                <w:sz w:val="1"/>
                <w:szCs w:val="1"/>
                <w:color w:val="auto"/>
              </w:rPr>
            </w:pPr>
          </w:p>
        </w:tc>
      </w:tr>
      <w:tr>
        <w:trPr>
          <w:trHeight w:val="104"/>
        </w:trPr>
        <w:tc>
          <w:tcPr>
            <w:tcW w:w="640" w:type="dxa"/>
            <w:vAlign w:val="bottom"/>
            <w:vMerge w:val="continue"/>
          </w:tcPr>
          <w:p>
            <w:pPr>
              <w:spacing w:after="0"/>
              <w:rPr>
                <w:sz w:val="9"/>
                <w:szCs w:val="9"/>
                <w:color w:val="auto"/>
              </w:rPr>
            </w:pPr>
          </w:p>
        </w:tc>
        <w:tc>
          <w:tcPr>
            <w:tcW w:w="960" w:type="dxa"/>
            <w:vAlign w:val="bottom"/>
            <w:vMerge w:val="continue"/>
          </w:tcPr>
          <w:p>
            <w:pPr>
              <w:spacing w:after="0"/>
              <w:rPr>
                <w:sz w:val="9"/>
                <w:szCs w:val="9"/>
                <w:color w:val="auto"/>
              </w:rPr>
            </w:pPr>
          </w:p>
        </w:tc>
        <w:tc>
          <w:tcPr>
            <w:tcW w:w="940" w:type="dxa"/>
            <w:vAlign w:val="bottom"/>
            <w:vMerge w:val="continue"/>
          </w:tcPr>
          <w:p>
            <w:pPr>
              <w:spacing w:after="0"/>
              <w:rPr>
                <w:sz w:val="9"/>
                <w:szCs w:val="9"/>
                <w:color w:val="auto"/>
              </w:rPr>
            </w:pPr>
          </w:p>
        </w:tc>
        <w:tc>
          <w:tcPr>
            <w:tcW w:w="960" w:type="dxa"/>
            <w:vAlign w:val="bottom"/>
          </w:tcPr>
          <w:p>
            <w:pPr>
              <w:ind w:start="16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1800" w:type="dxa"/>
            <w:vAlign w:val="bottom"/>
            <w:vMerge w:val="continue"/>
          </w:tcPr>
          <w:p>
            <w:pPr>
              <w:spacing w:after="0"/>
              <w:rPr>
                <w:sz w:val="9"/>
                <w:szCs w:val="9"/>
                <w:color w:val="auto"/>
              </w:rPr>
            </w:pPr>
          </w:p>
        </w:tc>
        <w:tc>
          <w:tcPr>
            <w:tcW w:w="1500" w:type="dxa"/>
            <w:vAlign w:val="bottom"/>
            <w:gridSpan w:val="2"/>
          </w:tcPr>
          <w:p>
            <w:pPr>
              <w:ind w:start="20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1800" w:type="dxa"/>
            <w:vAlign w:val="bottom"/>
            <w:vMerge w:val="continue"/>
          </w:tcPr>
          <w:p>
            <w:pPr>
              <w:spacing w:after="0"/>
              <w:rPr>
                <w:sz w:val="9"/>
                <w:szCs w:val="9"/>
                <w:color w:val="auto"/>
              </w:rPr>
            </w:pPr>
          </w:p>
        </w:tc>
        <w:tc>
          <w:tcPr>
            <w:tcW w:w="18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71"/>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47</w:t>
            </w:r>
            <w:r>
              <w:rPr>
                <w:rFonts w:ascii="Arial" w:hAnsi="Arial" w:eastAsia="Arial" w:cs="Arial"/>
                <w:sz w:val="13"/>
                <w:szCs w:val="13"/>
                <w:color w:val="auto"/>
              </w:rPr>
              <w:t xml:space="preserve">]</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tcPr>
          <w:p>
            <w:pPr>
              <w:spacing w:after="0"/>
              <w:rPr>
                <w:sz w:val="20"/>
                <w:szCs w:val="20"/>
                <w:color w:val="auto"/>
              </w:rPr>
            </w:pPr>
            <w:r>
              <w:rPr>
                <w:rFonts w:ascii="Arial" w:hAnsi="Arial" w:eastAsia="Arial" w:cs="Arial"/>
                <w:sz w:val="13"/>
                <w:szCs w:val="13"/>
                <w:color w:val="auto"/>
              </w:rPr>
              <w:t xml:space="preserve">DAGMM [</w:t>
            </w:r>
            <w:r>
              <w:rPr>
                <w:rFonts w:ascii="Arial" w:hAnsi="Arial" w:eastAsia="Arial" w:cs="Arial"/>
                <w:sz w:val="13"/>
                <w:szCs w:val="13"/>
                <w:color w:val="0080AC"/>
              </w:rPr>
              <w:t xml:space="preserve">48</w:t>
            </w:r>
            <w:r>
              <w:rPr>
                <w:rFonts w:ascii="Arial" w:hAnsi="Arial" w:eastAsia="Arial" w:cs="Arial"/>
                <w:sz w:val="13"/>
                <w:szCs w:val="13"/>
                <w:color w:val="auto"/>
              </w:rPr>
              <w:t xml:space="preserve">]</w:t>
            </w: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paquetes a</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de Parcial</w:t>
            </w:r>
          </w:p>
        </w:tc>
        <w:tc>
          <w:tcPr>
            <w:tcW w:w="0" w:type="dxa"/>
            <w:vAlign w:val="bottom"/>
          </w:tcPr>
          <w:p>
            <w:pPr>
              <w:spacing w:after="0"/>
              <w:rPr>
                <w:sz w:val="1"/>
                <w:szCs w:val="1"/>
                <w:color w:val="auto"/>
              </w:rPr>
            </w:pPr>
          </w:p>
        </w:tc>
      </w:tr>
      <w:tr>
        <w:trPr>
          <w:trHeight w:val="422"/>
        </w:trPr>
        <w:tc>
          <w:tcPr>
            <w:tcW w:w="6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BiGAN [</w:t>
            </w:r>
            <w:r>
              <w:rPr>
                <w:rFonts w:ascii="Arial" w:hAnsi="Arial" w:eastAsia="Arial" w:cs="Arial"/>
                <w:sz w:val="13"/>
                <w:szCs w:val="13"/>
                <w:color w:val="0080AC"/>
              </w:rPr>
              <w:t xml:space="preserve">49</w:t>
            </w:r>
            <w:r>
              <w:rPr>
                <w:rFonts w:ascii="Arial" w:hAnsi="Arial" w:eastAsia="Arial" w:cs="Arial"/>
                <w:sz w:val="13"/>
                <w:szCs w:val="13"/>
                <w:color w:val="auto"/>
              </w:rPr>
              <w:t xml:space="preserve">]</w:t>
            </w:r>
          </w:p>
        </w:tc>
        <w:tc>
          <w:tcPr>
            <w:tcW w:w="96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imitar el tráfico benigno</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Observación</w:t>
            </w:r>
          </w:p>
        </w:tc>
        <w:tc>
          <w:tcPr>
            <w:tcW w:w="0" w:type="dxa"/>
            <w:vAlign w:val="bottom"/>
          </w:tcPr>
          <w:p>
            <w:pPr>
              <w:spacing w:after="0"/>
              <w:rPr>
                <w:sz w:val="1"/>
                <w:szCs w:val="1"/>
                <w:color w:val="auto"/>
              </w:rPr>
            </w:pPr>
          </w:p>
        </w:tc>
      </w:tr>
      <w:tr>
        <w:trPr>
          <w:trHeight w:val="159"/>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50</w:t>
            </w:r>
            <w:r>
              <w:rPr>
                <w:rFonts w:ascii="Arial" w:hAnsi="Arial" w:eastAsia="Arial" w:cs="Arial"/>
                <w:sz w:val="13"/>
                <w:szCs w:val="13"/>
                <w:color w:val="auto"/>
              </w:rPr>
              <w:t xml:space="preserve">]</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tcPr>
          <w:p>
            <w:pPr>
              <w:spacing w:after="0"/>
              <w:rPr>
                <w:sz w:val="20"/>
                <w:szCs w:val="20"/>
                <w:color w:val="auto"/>
              </w:rPr>
            </w:pPr>
            <w:r>
              <w:rPr>
                <w:rFonts w:ascii="Arial" w:hAnsi="Arial" w:eastAsia="Arial" w:cs="Arial"/>
                <w:sz w:val="13"/>
                <w:szCs w:val="13"/>
                <w:color w:val="auto"/>
              </w:rPr>
              <w:t xml:space="preserve">KNN, LR</w:t>
            </w:r>
          </w:p>
        </w:tc>
        <w:tc>
          <w:tcPr>
            <w:tcW w:w="960" w:type="dxa"/>
            <w:vAlign w:val="bottom"/>
          </w:tcPr>
          <w:p>
            <w:pPr>
              <w:ind w:start="16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DARPA SYN</w:t>
            </w:r>
          </w:p>
        </w:tc>
        <w:tc>
          <w:tcPr>
            <w:tcW w:w="1500" w:type="dxa"/>
            <w:vAlign w:val="bottom"/>
            <w:gridSpan w:val="2"/>
          </w:tcPr>
          <w:p>
            <w:pPr>
              <w:ind w:start="20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Perturbar algunos</w:t>
            </w:r>
          </w:p>
        </w:tc>
        <w:tc>
          <w:tcPr>
            <w:tcW w:w="1820" w:type="dxa"/>
            <w:vAlign w:val="bottom"/>
          </w:tcPr>
          <w:p>
            <w:pPr>
              <w:ind w:start="30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RF, SVM</w:t>
            </w:r>
          </w:p>
        </w:tc>
        <w:tc>
          <w:tcPr>
            <w:tcW w:w="960" w:type="dxa"/>
            <w:vAlign w:val="bottom"/>
          </w:tcPr>
          <w:p>
            <w:pPr>
              <w:spacing w:after="0"/>
              <w:rPr>
                <w:sz w:val="14"/>
                <w:szCs w:val="14"/>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inundación [</w:t>
            </w:r>
            <w:r>
              <w:rPr>
                <w:rFonts w:ascii="Arial" w:hAnsi="Arial" w:eastAsia="Arial" w:cs="Arial"/>
                <w:sz w:val="13"/>
                <w:szCs w:val="13"/>
                <w:color w:val="0080AC"/>
              </w:rPr>
              <w:t xml:space="preserve">51</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características importantes</w:t>
            </w: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0080AC"/>
              </w:rPr>
              <w:t xml:space="preserve">[52</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vMerge w:val="restart"/>
          </w:tcPr>
          <w:p>
            <w:pPr>
              <w:spacing w:after="0"/>
              <w:rPr>
                <w:sz w:val="20"/>
                <w:szCs w:val="20"/>
                <w:color w:val="auto"/>
              </w:rPr>
            </w:pPr>
            <w:r>
              <w:rPr>
                <w:rFonts w:ascii="Arial" w:hAnsi="Arial" w:eastAsia="Arial" w:cs="Arial"/>
                <w:sz w:val="13"/>
                <w:szCs w:val="13"/>
                <w:color w:val="auto"/>
              </w:rPr>
              <w:t xml:space="preserve">DT, LR</w:t>
            </w: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MPL</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CICIDS [</w:t>
            </w:r>
            <w:r>
              <w:rPr>
                <w:rFonts w:ascii="Arial" w:hAnsi="Arial" w:eastAsia="Arial" w:cs="Arial"/>
                <w:sz w:val="13"/>
                <w:szCs w:val="13"/>
                <w:color w:val="0080AC"/>
              </w:rPr>
              <w:t xml:space="preserve">39</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vMerge w:val="restart"/>
          </w:tcPr>
          <w:p>
            <w:pPr>
              <w:ind w:start="200"/>
              <w:spacing w:after="0"/>
              <w:rPr>
                <w:sz w:val="20"/>
                <w:szCs w:val="20"/>
                <w:color w:val="auto"/>
              </w:rPr>
            </w:pPr>
            <w:r>
              <w:rPr>
                <w:rFonts w:ascii="Arial" w:hAnsi="Arial" w:eastAsia="Arial" w:cs="Arial"/>
                <w:sz w:val="13"/>
                <w:szCs w:val="13"/>
                <w:color w:val="auto"/>
              </w:rPr>
              <w:t xml:space="preserve">Ataque basado en GAN</w:t>
            </w: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ADFA-LD [</w:t>
            </w:r>
            <w:r>
              <w:rPr>
                <w:rFonts w:ascii="Arial" w:hAnsi="Arial" w:eastAsia="Arial" w:cs="Arial"/>
                <w:sz w:val="13"/>
                <w:szCs w:val="13"/>
                <w:color w:val="0080AC"/>
              </w:rPr>
              <w:t xml:space="preserve">53</w:t>
            </w:r>
            <w:r>
              <w:rPr>
                <w:rFonts w:ascii="Arial" w:hAnsi="Arial" w:eastAsia="Arial" w:cs="Arial"/>
                <w:sz w:val="13"/>
                <w:szCs w:val="13"/>
                <w:color w:val="auto"/>
              </w:rPr>
              <w:t xml:space="preserve">]</w:t>
            </w:r>
          </w:p>
        </w:tc>
        <w:tc>
          <w:tcPr>
            <w:tcW w:w="1500" w:type="dxa"/>
            <w:vAlign w:val="bottom"/>
            <w:gridSpan w:val="2"/>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vMerge w:val="continue"/>
          </w:tcPr>
          <w:p>
            <w:pPr>
              <w:spacing w:after="0"/>
              <w:rPr>
                <w:sz w:val="14"/>
                <w:szCs w:val="14"/>
                <w:color w:val="auto"/>
              </w:rPr>
            </w:pPr>
          </w:p>
        </w:tc>
        <w:tc>
          <w:tcPr>
            <w:tcW w:w="1820" w:type="dxa"/>
            <w:vAlign w:val="bottom"/>
          </w:tcPr>
          <w:p>
            <w:pPr>
              <w:ind w:start="3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16</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tcPr>
          <w:p>
            <w:pPr>
              <w:spacing w:after="0"/>
              <w:rPr>
                <w:sz w:val="20"/>
                <w:szCs w:val="20"/>
                <w:color w:val="auto"/>
              </w:rPr>
            </w:pPr>
            <w:r>
              <w:rPr>
                <w:rFonts w:ascii="Arial" w:hAnsi="Arial" w:eastAsia="Arial" w:cs="Arial"/>
                <w:sz w:val="13"/>
                <w:szCs w:val="13"/>
                <w:color w:val="auto"/>
              </w:rPr>
              <w:t xml:space="preserve">NB, RF</w:t>
            </w: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Kitnet [</w:t>
            </w:r>
            <w:r>
              <w:rPr>
                <w:rFonts w:ascii="Arial" w:hAnsi="Arial" w:eastAsia="Arial" w:cs="Arial"/>
                <w:sz w:val="13"/>
                <w:szCs w:val="13"/>
                <w:color w:val="0080AC"/>
              </w:rPr>
              <w:t xml:space="preserve">43</w:t>
            </w:r>
            <w:r>
              <w:rPr>
                <w:rFonts w:ascii="Arial" w:hAnsi="Arial" w:eastAsia="Arial" w:cs="Arial"/>
                <w:sz w:val="13"/>
                <w:szCs w:val="13"/>
                <w:color w:val="auto"/>
              </w:rPr>
              <w:t xml:space="preserve">]</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DREBIN [</w:t>
            </w:r>
            <w:r>
              <w:rPr>
                <w:rFonts w:ascii="Arial" w:hAnsi="Arial" w:eastAsia="Arial" w:cs="Arial"/>
                <w:sz w:val="13"/>
                <w:szCs w:val="13"/>
                <w:color w:val="0080AC"/>
              </w:rPr>
              <w:t xml:space="preserve">54</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Ataque de fuerza bruta</w:t>
            </w:r>
          </w:p>
        </w:tc>
        <w:tc>
          <w:tcPr>
            <w:tcW w:w="1820" w:type="dxa"/>
            <w:vAlign w:val="bottom"/>
            <w:vMerge w:val="restart"/>
          </w:tcPr>
          <w:p>
            <w:pPr>
              <w:ind w:start="300"/>
              <w:spacing w:after="0"/>
              <w:rPr>
                <w:sz w:val="20"/>
                <w:szCs w:val="20"/>
                <w:color w:val="auto"/>
              </w:rPr>
            </w:pPr>
            <w:r>
              <w:rPr>
                <w:rFonts w:ascii="Arial" w:hAnsi="Arial" w:eastAsia="Arial" w:cs="Arial"/>
                <w:sz w:val="13"/>
                <w:szCs w:val="13"/>
                <w:color w:val="auto"/>
              </w:rPr>
              <w:t xml:space="preserve">Formación contenciosa</w:t>
            </w: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DT, IF</w:t>
            </w:r>
          </w:p>
        </w:tc>
        <w:tc>
          <w:tcPr>
            <w:tcW w:w="960" w:type="dxa"/>
            <w:vAlign w:val="bottom"/>
            <w:vMerge w:val="continue"/>
          </w:tcPr>
          <w:p>
            <w:pPr>
              <w:spacing w:after="0"/>
              <w:rPr>
                <w:sz w:val="14"/>
                <w:szCs w:val="14"/>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Kitsune [</w:t>
            </w:r>
            <w:r>
              <w:rPr>
                <w:rFonts w:ascii="Arial" w:hAnsi="Arial" w:eastAsia="Arial" w:cs="Arial"/>
                <w:sz w:val="13"/>
                <w:szCs w:val="13"/>
                <w:color w:val="0080AC"/>
              </w:rPr>
              <w:t xml:space="preserve">43</w:t>
            </w:r>
            <w:r>
              <w:rPr>
                <w:rFonts w:ascii="Arial" w:hAnsi="Arial" w:eastAsia="Arial" w:cs="Arial"/>
                <w:sz w:val="13"/>
                <w:szCs w:val="13"/>
                <w:color w:val="auto"/>
              </w:rPr>
              <w:t xml:space="preserve">]</w:t>
            </w:r>
          </w:p>
        </w:tc>
        <w:tc>
          <w:tcPr>
            <w:tcW w:w="1500" w:type="dxa"/>
            <w:vAlign w:val="bottom"/>
            <w:gridSpan w:val="2"/>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Mutación aleatoria</w:t>
            </w:r>
          </w:p>
        </w:tc>
        <w:tc>
          <w:tcPr>
            <w:tcW w:w="18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LR, SVM</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MLP</w:t>
            </w:r>
          </w:p>
        </w:tc>
        <w:tc>
          <w:tcPr>
            <w:tcW w:w="18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y duplicación</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Selección de características</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de las características seleccionadas</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Característica adversarial</w:t>
            </w:r>
          </w:p>
        </w:tc>
        <w:tc>
          <w:tcPr>
            <w:tcW w:w="0" w:type="dxa"/>
            <w:vAlign w:val="bottom"/>
          </w:tcPr>
          <w:p>
            <w:pPr>
              <w:spacing w:after="0"/>
              <w:rPr>
                <w:sz w:val="1"/>
                <w:szCs w:val="1"/>
                <w:color w:val="auto"/>
              </w:rPr>
            </w:pPr>
          </w:p>
        </w:tc>
      </w:tr>
      <w:tr>
        <w:trPr>
          <w:trHeight w:val="238"/>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55</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tcPr>
          <w:p>
            <w:pPr>
              <w:spacing w:after="0"/>
              <w:rPr>
                <w:sz w:val="20"/>
                <w:szCs w:val="20"/>
                <w:color w:val="auto"/>
              </w:rPr>
            </w:pP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CNN, AE</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MNIST [</w:t>
            </w:r>
            <w:r>
              <w:rPr>
                <w:rFonts w:ascii="Arial" w:hAnsi="Arial" w:eastAsia="Arial" w:cs="Arial"/>
                <w:sz w:val="13"/>
                <w:szCs w:val="13"/>
                <w:color w:val="0080AC"/>
              </w:rPr>
              <w:t xml:space="preserve">56</w:t>
            </w:r>
            <w:r>
              <w:rPr>
                <w:rFonts w:ascii="Arial" w:hAnsi="Arial" w:eastAsia="Arial" w:cs="Arial"/>
                <w:sz w:val="13"/>
                <w:szCs w:val="13"/>
                <w:color w:val="auto"/>
              </w:rPr>
              <w:t xml:space="preserve">]</w:t>
            </w:r>
          </w:p>
        </w:tc>
        <w:tc>
          <w:tcPr>
            <w:tcW w:w="1500" w:type="dxa"/>
            <w:vAlign w:val="bottom"/>
            <w:gridSpan w:val="2"/>
            <w:vMerge w:val="restart"/>
          </w:tcPr>
          <w:p>
            <w:pPr>
              <w:ind w:start="200"/>
              <w:spacing w:after="0"/>
              <w:rPr>
                <w:sz w:val="20"/>
                <w:szCs w:val="20"/>
                <w:color w:val="auto"/>
              </w:rPr>
            </w:pPr>
            <w:r>
              <w:rPr>
                <w:rFonts w:ascii="Arial" w:hAnsi="Arial" w:eastAsia="Arial" w:cs="Arial"/>
                <w:sz w:val="13"/>
                <w:szCs w:val="13"/>
                <w:color w:val="auto"/>
              </w:rPr>
              <w:t xml:space="preserve">FGSM, JSMA</w:t>
            </w:r>
          </w:p>
        </w:tc>
        <w:tc>
          <w:tcPr>
            <w:tcW w:w="1800" w:type="dxa"/>
            <w:vAlign w:val="bottom"/>
          </w:tcPr>
          <w:p>
            <w:pPr>
              <w:spacing w:after="0"/>
              <w:rPr>
                <w:sz w:val="20"/>
                <w:szCs w:val="20"/>
                <w:color w:val="auto"/>
              </w:rPr>
            </w:pP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reducción</w:t>
            </w:r>
          </w:p>
        </w:tc>
        <w:tc>
          <w:tcPr>
            <w:tcW w:w="0" w:type="dxa"/>
            <w:vAlign w:val="bottom"/>
          </w:tcPr>
          <w:p>
            <w:pPr>
              <w:spacing w:after="0"/>
              <w:rPr>
                <w:sz w:val="1"/>
                <w:szCs w:val="1"/>
                <w:color w:val="auto"/>
              </w:rPr>
            </w:pPr>
          </w:p>
        </w:tc>
      </w:tr>
      <w:tr>
        <w:trPr>
          <w:trHeight w:val="104"/>
        </w:trPr>
        <w:tc>
          <w:tcPr>
            <w:tcW w:w="640" w:type="dxa"/>
            <w:vAlign w:val="bottom"/>
            <w:vMerge w:val="continue"/>
          </w:tcPr>
          <w:p>
            <w:pPr>
              <w:spacing w:after="0"/>
              <w:rPr>
                <w:sz w:val="9"/>
                <w:szCs w:val="9"/>
                <w:color w:val="auto"/>
              </w:rPr>
            </w:pPr>
          </w:p>
        </w:tc>
        <w:tc>
          <w:tcPr>
            <w:tcW w:w="960" w:type="dxa"/>
            <w:vAlign w:val="bottom"/>
            <w:vMerge w:val="continue"/>
          </w:tcPr>
          <w:p>
            <w:pPr>
              <w:spacing w:after="0"/>
              <w:rPr>
                <w:sz w:val="9"/>
                <w:szCs w:val="9"/>
                <w:color w:val="auto"/>
              </w:rPr>
            </w:pPr>
          </w:p>
        </w:tc>
        <w:tc>
          <w:tcPr>
            <w:tcW w:w="940" w:type="dxa"/>
            <w:vAlign w:val="bottom"/>
          </w:tcPr>
          <w:p>
            <w:pPr>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960" w:type="dxa"/>
            <w:vAlign w:val="bottom"/>
            <w:vMerge w:val="continue"/>
          </w:tcPr>
          <w:p>
            <w:pPr>
              <w:spacing w:after="0"/>
              <w:rPr>
                <w:sz w:val="9"/>
                <w:szCs w:val="9"/>
                <w:color w:val="auto"/>
              </w:rPr>
            </w:pPr>
          </w:p>
        </w:tc>
        <w:tc>
          <w:tcPr>
            <w:tcW w:w="1800" w:type="dxa"/>
            <w:vAlign w:val="bottom"/>
            <w:vMerge w:val="continue"/>
          </w:tcPr>
          <w:p>
            <w:pPr>
              <w:spacing w:after="0"/>
              <w:rPr>
                <w:sz w:val="9"/>
                <w:szCs w:val="9"/>
                <w:color w:val="auto"/>
              </w:rPr>
            </w:pPr>
          </w:p>
        </w:tc>
        <w:tc>
          <w:tcPr>
            <w:tcW w:w="1500" w:type="dxa"/>
            <w:vAlign w:val="bottom"/>
            <w:gridSpan w:val="2"/>
            <w:vMerge w:val="continue"/>
          </w:tcPr>
          <w:p>
            <w:pPr>
              <w:spacing w:after="0"/>
              <w:rPr>
                <w:sz w:val="9"/>
                <w:szCs w:val="9"/>
                <w:color w:val="auto"/>
              </w:rPr>
            </w:pPr>
          </w:p>
        </w:tc>
        <w:tc>
          <w:tcPr>
            <w:tcW w:w="1800" w:type="dxa"/>
            <w:vAlign w:val="bottom"/>
          </w:tcPr>
          <w:p>
            <w:pPr>
              <w:ind w:start="20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1820" w:type="dxa"/>
            <w:vAlign w:val="bottom"/>
          </w:tcPr>
          <w:p>
            <w:pPr>
              <w:ind w:start="30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tcPr>
          <w:p>
            <w:pPr>
              <w:ind w:start="80"/>
              <w:spacing w:after="0"/>
              <w:rPr>
                <w:sz w:val="20"/>
                <w:szCs w:val="20"/>
                <w:color w:val="auto"/>
              </w:rPr>
            </w:pPr>
            <w:r>
              <w:rPr>
                <w:rFonts w:ascii="Arial" w:hAnsi="Arial" w:eastAsia="Arial" w:cs="Arial"/>
                <w:sz w:val="13"/>
                <w:szCs w:val="13"/>
                <w:color w:val="0080AC"/>
              </w:rPr>
              <w:t xml:space="preserve">[57</w:t>
            </w:r>
            <w:r>
              <w:rPr>
                <w:rFonts w:ascii="Arial" w:hAnsi="Arial" w:eastAsia="Arial" w:cs="Arial"/>
                <w:sz w:val="13"/>
                <w:szCs w:val="13"/>
                <w:color w:val="auto"/>
              </w:rPr>
              <w:t xml:space="preserve">]</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CNN, RNN</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UNSW-NB15</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FGSM, BIM, C&amp;W</w:t>
            </w: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Min-max</w:t>
            </w: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0080AC"/>
              </w:rPr>
              <w:t xml:space="preserve">[58</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tcPr>
          <w:p>
            <w:pPr>
              <w:spacing w:after="0"/>
              <w:rPr>
                <w:sz w:val="14"/>
                <w:szCs w:val="14"/>
                <w:color w:val="auto"/>
              </w:rPr>
            </w:pP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ANN</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UNSW-NB15</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PGD, DeepFool</w:t>
            </w:r>
          </w:p>
        </w:tc>
        <w:tc>
          <w:tcPr>
            <w:tcW w:w="1800" w:type="dxa"/>
            <w:vAlign w:val="bottom"/>
          </w:tcPr>
          <w:p>
            <w:pPr>
              <w:spacing w:after="0"/>
              <w:rPr>
                <w:sz w:val="14"/>
                <w:szCs w:val="14"/>
                <w:color w:val="auto"/>
              </w:rPr>
            </w:pPr>
          </w:p>
        </w:tc>
        <w:tc>
          <w:tcPr>
            <w:tcW w:w="1820" w:type="dxa"/>
            <w:vAlign w:val="bottom"/>
            <w:vMerge w:val="restart"/>
          </w:tcPr>
          <w:p>
            <w:pPr>
              <w:ind w:start="300"/>
              <w:spacing w:after="0"/>
              <w:rPr>
                <w:sz w:val="20"/>
                <w:szCs w:val="20"/>
                <w:color w:val="auto"/>
              </w:rPr>
            </w:pPr>
            <w:r>
              <w:rPr>
                <w:rFonts w:ascii="Arial" w:hAnsi="Arial" w:eastAsia="Arial" w:cs="Arial"/>
                <w:sz w:val="13"/>
                <w:szCs w:val="13"/>
                <w:color w:val="auto"/>
              </w:rPr>
              <w:t xml:space="preserve">Min-max</w:t>
            </w: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DNN</w:t>
            </w:r>
          </w:p>
        </w:tc>
        <w:tc>
          <w:tcPr>
            <w:tcW w:w="1800" w:type="dxa"/>
            <w:vAlign w:val="bottom"/>
            <w:vMerge w:val="continue"/>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FGSM, BGA, BCA</w:t>
            </w: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47</w:t>
            </w:r>
            <w:r>
              <w:rPr>
                <w:rFonts w:ascii="Arial" w:hAnsi="Arial" w:eastAsia="Arial" w:cs="Arial"/>
                <w:sz w:val="13"/>
                <w:szCs w:val="13"/>
                <w:color w:val="auto"/>
              </w:rPr>
              <w:t xml:space="preserve">]</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KitNET [</w:t>
            </w:r>
            <w:r>
              <w:rPr>
                <w:rFonts w:ascii="Arial" w:hAnsi="Arial" w:eastAsia="Arial" w:cs="Arial"/>
                <w:sz w:val="13"/>
                <w:szCs w:val="13"/>
                <w:color w:val="0080AC"/>
              </w:rPr>
              <w:t xml:space="preserve">43</w:t>
            </w:r>
            <w:r>
              <w:rPr>
                <w:rFonts w:ascii="Arial" w:hAnsi="Arial" w:eastAsia="Arial" w:cs="Arial"/>
                <w:sz w:val="13"/>
                <w:szCs w:val="13"/>
                <w:color w:val="auto"/>
              </w:rPr>
              <w:t xml:space="preserve">]</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MIRAI [</w:t>
            </w:r>
            <w:r>
              <w:rPr>
                <w:rFonts w:ascii="Arial" w:hAnsi="Arial" w:eastAsia="Arial" w:cs="Arial"/>
                <w:sz w:val="13"/>
                <w:szCs w:val="13"/>
                <w:color w:val="0080AC"/>
              </w:rPr>
              <w:t xml:space="preserve">59</w:t>
            </w:r>
            <w:r>
              <w:rPr>
                <w:rFonts w:ascii="Arial" w:hAnsi="Arial" w:eastAsia="Arial" w:cs="Arial"/>
                <w:sz w:val="13"/>
                <w:szCs w:val="13"/>
                <w:color w:val="auto"/>
              </w:rPr>
              <w:t xml:space="preserve">]</w:t>
            </w:r>
          </w:p>
        </w:tc>
        <w:tc>
          <w:tcPr>
            <w:tcW w:w="1500" w:type="dxa"/>
            <w:vAlign w:val="bottom"/>
            <w:gridSpan w:val="2"/>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Utilizar el mapa de saliencia</w:t>
            </w:r>
          </w:p>
        </w:tc>
        <w:tc>
          <w:tcPr>
            <w:tcW w:w="1820" w:type="dxa"/>
            <w:vAlign w:val="bottom"/>
          </w:tcPr>
          <w:p>
            <w:pPr>
              <w:ind w:start="3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para identificar</w:t>
            </w: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38"/>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60</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tcPr>
          <w:p>
            <w:pPr>
              <w:spacing w:after="0"/>
              <w:rPr>
                <w:sz w:val="20"/>
                <w:szCs w:val="20"/>
                <w:color w:val="auto"/>
              </w:rPr>
            </w:pP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RNN</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NSL-KDD</w:t>
            </w:r>
          </w:p>
        </w:tc>
        <w:tc>
          <w:tcPr>
            <w:tcW w:w="1500" w:type="dxa"/>
            <w:vAlign w:val="bottom"/>
            <w:gridSpan w:val="2"/>
            <w:vMerge w:val="restart"/>
          </w:tcPr>
          <w:p>
            <w:pPr>
              <w:ind w:start="200"/>
              <w:spacing w:after="0"/>
              <w:rPr>
                <w:sz w:val="20"/>
                <w:szCs w:val="20"/>
                <w:color w:val="auto"/>
              </w:rPr>
            </w:pPr>
            <w:r>
              <w:rPr>
                <w:rFonts w:ascii="Arial" w:hAnsi="Arial" w:eastAsia="Arial" w:cs="Arial"/>
                <w:sz w:val="13"/>
                <w:szCs w:val="13"/>
                <w:color w:val="auto"/>
              </w:rPr>
              <w:t xml:space="preserve">JSMA</w:t>
            </w: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características y perturbarlas</w:t>
            </w:r>
          </w:p>
        </w:tc>
        <w:tc>
          <w:tcPr>
            <w:tcW w:w="18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04"/>
        </w:trPr>
        <w:tc>
          <w:tcPr>
            <w:tcW w:w="640" w:type="dxa"/>
            <w:vAlign w:val="bottom"/>
            <w:vMerge w:val="continue"/>
          </w:tcPr>
          <w:p>
            <w:pPr>
              <w:spacing w:after="0"/>
              <w:rPr>
                <w:sz w:val="9"/>
                <w:szCs w:val="9"/>
                <w:color w:val="auto"/>
              </w:rPr>
            </w:pPr>
          </w:p>
        </w:tc>
        <w:tc>
          <w:tcPr>
            <w:tcW w:w="960" w:type="dxa"/>
            <w:vAlign w:val="bottom"/>
            <w:vMerge w:val="continue"/>
          </w:tcPr>
          <w:p>
            <w:pPr>
              <w:spacing w:after="0"/>
              <w:rPr>
                <w:sz w:val="9"/>
                <w:szCs w:val="9"/>
                <w:color w:val="auto"/>
              </w:rPr>
            </w:pPr>
          </w:p>
        </w:tc>
        <w:tc>
          <w:tcPr>
            <w:tcW w:w="940" w:type="dxa"/>
            <w:vAlign w:val="bottom"/>
          </w:tcPr>
          <w:p>
            <w:pPr>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960" w:type="dxa"/>
            <w:vAlign w:val="bottom"/>
            <w:vMerge w:val="continue"/>
          </w:tcPr>
          <w:p>
            <w:pPr>
              <w:spacing w:after="0"/>
              <w:rPr>
                <w:sz w:val="9"/>
                <w:szCs w:val="9"/>
                <w:color w:val="auto"/>
              </w:rPr>
            </w:pPr>
          </w:p>
        </w:tc>
        <w:tc>
          <w:tcPr>
            <w:tcW w:w="1800" w:type="dxa"/>
            <w:vAlign w:val="bottom"/>
            <w:vMerge w:val="continue"/>
          </w:tcPr>
          <w:p>
            <w:pPr>
              <w:spacing w:after="0"/>
              <w:rPr>
                <w:sz w:val="9"/>
                <w:szCs w:val="9"/>
                <w:color w:val="auto"/>
              </w:rPr>
            </w:pPr>
          </w:p>
        </w:tc>
        <w:tc>
          <w:tcPr>
            <w:tcW w:w="1500" w:type="dxa"/>
            <w:vAlign w:val="bottom"/>
            <w:gridSpan w:val="2"/>
            <w:vMerge w:val="continue"/>
          </w:tcPr>
          <w:p>
            <w:pPr>
              <w:spacing w:after="0"/>
              <w:rPr>
                <w:sz w:val="9"/>
                <w:szCs w:val="9"/>
                <w:color w:val="auto"/>
              </w:rPr>
            </w:pPr>
          </w:p>
        </w:tc>
        <w:tc>
          <w:tcPr>
            <w:tcW w:w="1800" w:type="dxa"/>
            <w:vAlign w:val="bottom"/>
          </w:tcPr>
          <w:p>
            <w:pPr>
              <w:ind w:start="20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1820" w:type="dxa"/>
            <w:vAlign w:val="bottom"/>
          </w:tcPr>
          <w:p>
            <w:pPr>
              <w:ind w:start="30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61</w:t>
            </w:r>
            <w:r>
              <w:rPr>
                <w:rFonts w:ascii="Arial" w:hAnsi="Arial" w:eastAsia="Arial" w:cs="Arial"/>
                <w:sz w:val="13"/>
                <w:szCs w:val="13"/>
                <w:color w:val="auto"/>
              </w:rPr>
              <w:t xml:space="preserve">]</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MLP, CNN</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CICIDS [</w:t>
            </w:r>
            <w:r>
              <w:rPr>
                <w:rFonts w:ascii="Arial" w:hAnsi="Arial" w:eastAsia="Arial" w:cs="Arial"/>
                <w:sz w:val="13"/>
                <w:szCs w:val="13"/>
                <w:color w:val="0080AC"/>
              </w:rPr>
              <w:t xml:space="preserve">39</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tcPr>
          <w:p>
            <w:pPr>
              <w:spacing w:after="0"/>
              <w:rPr>
                <w:sz w:val="20"/>
                <w:szCs w:val="20"/>
                <w:color w:val="auto"/>
              </w:rPr>
            </w:pPr>
            <w:r>
              <w:rPr>
                <w:rFonts w:ascii="Arial" w:hAnsi="Arial" w:eastAsia="Arial" w:cs="Arial"/>
                <w:sz w:val="13"/>
                <w:szCs w:val="13"/>
                <w:color w:val="auto"/>
              </w:rPr>
              <w:t xml:space="preserve">JSMA</w:t>
            </w: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Modelo de votación</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CNN, LSTM</w:t>
            </w:r>
          </w:p>
        </w:tc>
        <w:tc>
          <w:tcPr>
            <w:tcW w:w="18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Ensamblaje</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Ensemble Adversarial</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Formación</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Consulta adversarial</w:t>
            </w: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0080AC"/>
              </w:rPr>
              <w:t xml:space="preserve">[62</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2020</w:t>
            </w:r>
          </w:p>
        </w:tc>
        <w:tc>
          <w:tcPr>
            <w:tcW w:w="940" w:type="dxa"/>
            <w:vAlign w:val="bottom"/>
            <w:vMerge w:val="restart"/>
          </w:tcPr>
          <w:p>
            <w:pPr>
              <w:spacing w:after="0"/>
              <w:rPr>
                <w:sz w:val="20"/>
                <w:szCs w:val="20"/>
                <w:color w:val="auto"/>
              </w:rPr>
            </w:pPr>
            <w:r>
              <w:rPr>
                <w:rFonts w:ascii="Arial" w:hAnsi="Arial" w:eastAsia="Arial" w:cs="Arial"/>
                <w:sz w:val="13"/>
                <w:szCs w:val="13"/>
                <w:color w:val="auto"/>
              </w:rPr>
              <w:t xml:space="preserve">RF</w:t>
            </w: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Ancho</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CTU [</w:t>
            </w:r>
            <w:r>
              <w:rPr>
                <w:rFonts w:ascii="Arial" w:hAnsi="Arial" w:eastAsia="Arial" w:cs="Arial"/>
                <w:sz w:val="13"/>
                <w:szCs w:val="13"/>
                <w:color w:val="0080AC"/>
              </w:rPr>
              <w:t xml:space="preserve">38</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vMerge w:val="restart"/>
          </w:tcPr>
          <w:p>
            <w:pPr>
              <w:ind w:start="200"/>
              <w:spacing w:after="0"/>
              <w:rPr>
                <w:sz w:val="20"/>
                <w:szCs w:val="20"/>
                <w:color w:val="auto"/>
              </w:rPr>
            </w:pPr>
            <w:r>
              <w:rPr>
                <w:rFonts w:ascii="Arial" w:hAnsi="Arial" w:eastAsia="Arial" w:cs="Arial"/>
                <w:sz w:val="13"/>
                <w:szCs w:val="13"/>
                <w:color w:val="auto"/>
              </w:rPr>
              <w:t xml:space="preserve">RL profundo</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Detección</w:t>
            </w: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1800" w:type="dxa"/>
            <w:vAlign w:val="bottom"/>
            <w:vMerge w:val="continue"/>
          </w:tcPr>
          <w:p>
            <w:pPr>
              <w:spacing w:after="0"/>
              <w:rPr>
                <w:sz w:val="14"/>
                <w:szCs w:val="14"/>
                <w:color w:val="auto"/>
              </w:rPr>
            </w:pPr>
          </w:p>
        </w:tc>
        <w:tc>
          <w:tcPr>
            <w:tcW w:w="1500" w:type="dxa"/>
            <w:vAlign w:val="bottom"/>
            <w:gridSpan w:val="2"/>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vMerge w:val="continue"/>
          </w:tcPr>
          <w:p>
            <w:pPr>
              <w:spacing w:after="0"/>
              <w:rPr>
                <w:sz w:val="14"/>
                <w:szCs w:val="14"/>
                <w:color w:val="auto"/>
              </w:rPr>
            </w:pP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Basado en RL profunda</w:t>
            </w:r>
          </w:p>
        </w:tc>
        <w:tc>
          <w:tcPr>
            <w:tcW w:w="0" w:type="dxa"/>
            <w:vAlign w:val="bottom"/>
          </w:tcPr>
          <w:p>
            <w:pPr>
              <w:spacing w:after="0"/>
              <w:rPr>
                <w:sz w:val="1"/>
                <w:szCs w:val="1"/>
                <w:color w:val="auto"/>
              </w:rPr>
            </w:pPr>
          </w:p>
        </w:tc>
      </w:tr>
      <w:tr>
        <w:trPr>
          <w:trHeight w:val="250"/>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63</w:t>
            </w:r>
            <w:r>
              <w:rPr>
                <w:rFonts w:ascii="Arial" w:hAnsi="Arial" w:eastAsia="Arial" w:cs="Arial"/>
                <w:sz w:val="13"/>
                <w:szCs w:val="13"/>
                <w:color w:val="auto"/>
              </w:rPr>
              <w:t xml:space="preserve">]</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2021</w:t>
            </w:r>
          </w:p>
        </w:tc>
        <w:tc>
          <w:tcPr>
            <w:tcW w:w="940" w:type="dxa"/>
            <w:vAlign w:val="bottom"/>
          </w:tcPr>
          <w:p>
            <w:pPr>
              <w:spacing w:after="0"/>
              <w:rPr>
                <w:sz w:val="21"/>
                <w:szCs w:val="21"/>
                <w:color w:val="auto"/>
              </w:rPr>
            </w:pP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y Profundo</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BOTNET [</w:t>
            </w:r>
            <w:r>
              <w:rPr>
                <w:rFonts w:ascii="Arial" w:hAnsi="Arial" w:eastAsia="Arial" w:cs="Arial"/>
                <w:sz w:val="13"/>
                <w:szCs w:val="13"/>
                <w:color w:val="0080AC"/>
              </w:rPr>
              <w:t xml:space="preserve">40</w:t>
            </w:r>
            <w:r>
              <w:rPr>
                <w:rFonts w:ascii="Arial" w:hAnsi="Arial" w:eastAsia="Arial" w:cs="Arial"/>
                <w:sz w:val="13"/>
                <w:szCs w:val="13"/>
                <w:color w:val="auto"/>
              </w:rPr>
              <w:t xml:space="preserve">]</w:t>
            </w:r>
          </w:p>
        </w:tc>
        <w:tc>
          <w:tcPr>
            <w:tcW w:w="20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ataca</w:t>
            </w: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formación contradictoria</w:t>
            </w:r>
          </w:p>
        </w:tc>
        <w:tc>
          <w:tcPr>
            <w:tcW w:w="0" w:type="dxa"/>
            <w:vAlign w:val="bottom"/>
          </w:tcPr>
          <w:p>
            <w:pPr>
              <w:spacing w:after="0"/>
              <w:rPr>
                <w:sz w:val="1"/>
                <w:szCs w:val="1"/>
                <w:color w:val="auto"/>
              </w:rPr>
            </w:pPr>
          </w:p>
        </w:tc>
      </w:tr>
      <w:tr>
        <w:trPr>
          <w:trHeight w:val="159"/>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64</w:t>
            </w:r>
            <w:r>
              <w:rPr>
                <w:rFonts w:ascii="Arial" w:hAnsi="Arial" w:eastAsia="Arial" w:cs="Arial"/>
                <w:sz w:val="13"/>
                <w:szCs w:val="13"/>
                <w:color w:val="auto"/>
              </w:rPr>
              <w:t xml:space="preserve">]</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2021</w:t>
            </w:r>
          </w:p>
        </w:tc>
        <w:tc>
          <w:tcPr>
            <w:tcW w:w="940" w:type="dxa"/>
            <w:vAlign w:val="bottom"/>
          </w:tcPr>
          <w:p>
            <w:pPr>
              <w:spacing w:after="0"/>
              <w:rPr>
                <w:sz w:val="20"/>
                <w:szCs w:val="20"/>
                <w:color w:val="auto"/>
              </w:rPr>
            </w:pPr>
            <w:r>
              <w:rPr>
                <w:rFonts w:ascii="Arial" w:hAnsi="Arial" w:eastAsia="Arial" w:cs="Arial"/>
                <w:sz w:val="13"/>
                <w:szCs w:val="13"/>
                <w:color w:val="auto"/>
              </w:rPr>
              <w:t xml:space="preserve">J48 DT, RF</w:t>
            </w:r>
          </w:p>
        </w:tc>
        <w:tc>
          <w:tcPr>
            <w:tcW w:w="960" w:type="dxa"/>
            <w:vAlign w:val="bottom"/>
          </w:tcPr>
          <w:p>
            <w:pPr>
              <w:ind w:start="16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EclipseIoT [</w:t>
            </w:r>
            <w:r>
              <w:rPr>
                <w:rFonts w:ascii="Arial" w:hAnsi="Arial" w:eastAsia="Arial" w:cs="Arial"/>
                <w:sz w:val="13"/>
                <w:szCs w:val="13"/>
                <w:color w:val="0080AC"/>
              </w:rPr>
              <w:t xml:space="preserve">65</w:t>
            </w:r>
            <w:r>
              <w:rPr>
                <w:rFonts w:ascii="Arial" w:hAnsi="Arial" w:eastAsia="Arial" w:cs="Arial"/>
                <w:sz w:val="13"/>
                <w:szCs w:val="13"/>
                <w:color w:val="auto"/>
              </w:rPr>
              <w:t xml:space="preserve">]</w:t>
            </w:r>
          </w:p>
        </w:tc>
        <w:tc>
          <w:tcPr>
            <w:tcW w:w="1500" w:type="dxa"/>
            <w:vAlign w:val="bottom"/>
            <w:gridSpan w:val="2"/>
          </w:tcPr>
          <w:p>
            <w:pPr>
              <w:ind w:start="20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Alteración de algunos</w:t>
            </w:r>
          </w:p>
        </w:tc>
        <w:tc>
          <w:tcPr>
            <w:tcW w:w="1820" w:type="dxa"/>
            <w:vAlign w:val="bottom"/>
          </w:tcPr>
          <w:p>
            <w:pPr>
              <w:ind w:start="36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66</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2021</w:t>
            </w:r>
          </w:p>
        </w:tc>
        <w:tc>
          <w:tcPr>
            <w:tcW w:w="940" w:type="dxa"/>
            <w:vAlign w:val="bottom"/>
          </w:tcPr>
          <w:p>
            <w:pPr>
              <w:spacing w:after="0"/>
              <w:rPr>
                <w:sz w:val="20"/>
                <w:szCs w:val="20"/>
                <w:color w:val="auto"/>
              </w:rPr>
            </w:pPr>
            <w:r>
              <w:rPr>
                <w:rFonts w:ascii="Arial" w:hAnsi="Arial" w:eastAsia="Arial" w:cs="Arial"/>
                <w:sz w:val="13"/>
                <w:szCs w:val="13"/>
                <w:color w:val="auto"/>
              </w:rPr>
              <w:t xml:space="preserve">NB, SVM</w:t>
            </w:r>
          </w:p>
        </w:tc>
        <w:tc>
          <w:tcPr>
            <w:tcW w:w="960" w:type="dxa"/>
            <w:vAlign w:val="bottom"/>
          </w:tcPr>
          <w:p>
            <w:pPr>
              <w:spacing w:after="0"/>
              <w:rPr>
                <w:sz w:val="14"/>
                <w:szCs w:val="14"/>
                <w:color w:val="auto"/>
              </w:rPr>
            </w:pP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CSE-CIC-IDS2018 [</w:t>
            </w:r>
            <w:r>
              <w:rPr>
                <w:rFonts w:ascii="Arial" w:hAnsi="Arial" w:eastAsia="Arial" w:cs="Arial"/>
                <w:sz w:val="13"/>
                <w:szCs w:val="13"/>
                <w:color w:val="0080AC"/>
              </w:rPr>
              <w:t xml:space="preserve">67</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vMerge w:val="restart"/>
          </w:tcPr>
          <w:p>
            <w:pPr>
              <w:ind w:start="60"/>
              <w:spacing w:after="0"/>
              <w:rPr>
                <w:sz w:val="20"/>
                <w:szCs w:val="20"/>
                <w:color w:val="auto"/>
              </w:rPr>
            </w:pPr>
            <w:r>
              <w:rPr>
                <w:rFonts w:ascii="Arial" w:hAnsi="Arial" w:eastAsia="Arial" w:cs="Arial"/>
                <w:sz w:val="13"/>
                <w:szCs w:val="13"/>
                <w:color w:val="auto"/>
              </w:rPr>
              <w:t xml:space="preserve">FGSM</w:t>
            </w: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características seleccionadas</w:t>
            </w: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LSTM, CNN,</w:t>
            </w:r>
          </w:p>
        </w:tc>
        <w:tc>
          <w:tcPr>
            <w:tcW w:w="960" w:type="dxa"/>
            <w:vAlign w:val="bottom"/>
          </w:tcPr>
          <w:p>
            <w:pPr>
              <w:ind w:start="16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vMerge w:val="continue"/>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vMerge w:val="continue"/>
          </w:tcPr>
          <w:p>
            <w:pPr>
              <w:spacing w:after="0"/>
              <w:rPr>
                <w:sz w:val="14"/>
                <w:szCs w:val="14"/>
                <w:color w:val="auto"/>
              </w:rPr>
            </w:pP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tcPr>
          <w:p>
            <w:pPr>
              <w:ind w:start="36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238"/>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68</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2021</w:t>
            </w:r>
          </w:p>
        </w:tc>
        <w:tc>
          <w:tcPr>
            <w:tcW w:w="940" w:type="dxa"/>
            <w:vAlign w:val="bottom"/>
          </w:tcPr>
          <w:p>
            <w:pPr>
              <w:spacing w:after="0"/>
              <w:rPr>
                <w:sz w:val="20"/>
                <w:szCs w:val="20"/>
                <w:color w:val="auto"/>
              </w:rPr>
            </w:pPr>
            <w:r>
              <w:rPr>
                <w:rFonts w:ascii="Arial" w:hAnsi="Arial" w:eastAsia="Arial" w:cs="Arial"/>
                <w:sz w:val="13"/>
                <w:szCs w:val="13"/>
                <w:color w:val="auto"/>
              </w:rPr>
              <w:t xml:space="preserve">GRU</w:t>
            </w: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LSTM, CNN,</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CSE-CIC-IDS2018 [</w:t>
            </w:r>
            <w:r>
              <w:rPr>
                <w:rFonts w:ascii="Arial" w:hAnsi="Arial" w:eastAsia="Arial" w:cs="Arial"/>
                <w:sz w:val="13"/>
                <w:szCs w:val="13"/>
                <w:color w:val="0080AC"/>
              </w:rPr>
              <w:t xml:space="preserve">67</w:t>
            </w:r>
            <w:r>
              <w:rPr>
                <w:rFonts w:ascii="Arial" w:hAnsi="Arial" w:eastAsia="Arial" w:cs="Arial"/>
                <w:sz w:val="13"/>
                <w:szCs w:val="13"/>
                <w:color w:val="auto"/>
              </w:rPr>
              <w:t xml:space="preserve">]</w:t>
            </w:r>
          </w:p>
        </w:tc>
        <w:tc>
          <w:tcPr>
            <w:tcW w:w="200" w:type="dxa"/>
            <w:vAlign w:val="bottom"/>
          </w:tcPr>
          <w:p>
            <w:pPr>
              <w:spacing w:after="0"/>
              <w:rPr>
                <w:sz w:val="20"/>
                <w:szCs w:val="20"/>
                <w:color w:val="auto"/>
              </w:rPr>
            </w:pPr>
          </w:p>
        </w:tc>
        <w:tc>
          <w:tcPr>
            <w:tcW w:w="1300" w:type="dxa"/>
            <w:vAlign w:val="bottom"/>
            <w:vMerge w:val="restart"/>
          </w:tcPr>
          <w:p>
            <w:pPr>
              <w:ind w:start="60"/>
              <w:spacing w:after="0"/>
              <w:rPr>
                <w:sz w:val="20"/>
                <w:szCs w:val="20"/>
                <w:color w:val="auto"/>
              </w:rPr>
            </w:pPr>
            <w:r>
              <w:rPr>
                <w:rFonts w:ascii="Arial" w:hAnsi="Arial" w:eastAsia="Arial" w:cs="Arial"/>
                <w:sz w:val="13"/>
                <w:szCs w:val="13"/>
                <w:color w:val="auto"/>
              </w:rPr>
              <w:t xml:space="preserve">FGSM</w:t>
            </w:r>
          </w:p>
        </w:tc>
        <w:tc>
          <w:tcPr>
            <w:tcW w:w="1800" w:type="dxa"/>
            <w:vAlign w:val="bottom"/>
          </w:tcPr>
          <w:p>
            <w:pPr>
              <w:spacing w:after="0"/>
              <w:rPr>
                <w:sz w:val="20"/>
                <w:szCs w:val="20"/>
                <w:color w:val="auto"/>
              </w:rPr>
            </w:pPr>
          </w:p>
        </w:tc>
        <w:tc>
          <w:tcPr>
            <w:tcW w:w="18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04"/>
        </w:trPr>
        <w:tc>
          <w:tcPr>
            <w:tcW w:w="640" w:type="dxa"/>
            <w:vAlign w:val="bottom"/>
            <w:vMerge w:val="continue"/>
          </w:tcPr>
          <w:p>
            <w:pPr>
              <w:spacing w:after="0"/>
              <w:rPr>
                <w:sz w:val="9"/>
                <w:szCs w:val="9"/>
                <w:color w:val="auto"/>
              </w:rPr>
            </w:pPr>
          </w:p>
        </w:tc>
        <w:tc>
          <w:tcPr>
            <w:tcW w:w="960" w:type="dxa"/>
            <w:vAlign w:val="bottom"/>
            <w:vMerge w:val="continue"/>
          </w:tcPr>
          <w:p>
            <w:pPr>
              <w:spacing w:after="0"/>
              <w:rPr>
                <w:sz w:val="9"/>
                <w:szCs w:val="9"/>
                <w:color w:val="auto"/>
              </w:rPr>
            </w:pPr>
          </w:p>
        </w:tc>
        <w:tc>
          <w:tcPr>
            <w:tcW w:w="940" w:type="dxa"/>
            <w:vAlign w:val="bottom"/>
          </w:tcPr>
          <w:p>
            <w:pPr>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960" w:type="dxa"/>
            <w:vAlign w:val="bottom"/>
            <w:vMerge w:val="continue"/>
          </w:tcPr>
          <w:p>
            <w:pPr>
              <w:spacing w:after="0"/>
              <w:rPr>
                <w:sz w:val="9"/>
                <w:szCs w:val="9"/>
                <w:color w:val="auto"/>
              </w:rPr>
            </w:pPr>
          </w:p>
        </w:tc>
        <w:tc>
          <w:tcPr>
            <w:tcW w:w="1800" w:type="dxa"/>
            <w:vAlign w:val="bottom"/>
            <w:vMerge w:val="continue"/>
          </w:tcPr>
          <w:p>
            <w:pPr>
              <w:spacing w:after="0"/>
              <w:rPr>
                <w:sz w:val="9"/>
                <w:szCs w:val="9"/>
                <w:color w:val="auto"/>
              </w:rPr>
            </w:pPr>
          </w:p>
        </w:tc>
        <w:tc>
          <w:tcPr>
            <w:tcW w:w="200" w:type="dxa"/>
            <w:vAlign w:val="bottom"/>
          </w:tcPr>
          <w:p>
            <w:pPr>
              <w:spacing w:after="0"/>
              <w:rPr>
                <w:sz w:val="9"/>
                <w:szCs w:val="9"/>
                <w:color w:val="auto"/>
              </w:rPr>
            </w:pPr>
          </w:p>
        </w:tc>
        <w:tc>
          <w:tcPr>
            <w:tcW w:w="1300" w:type="dxa"/>
            <w:vAlign w:val="bottom"/>
            <w:vMerge w:val="continue"/>
          </w:tcPr>
          <w:p>
            <w:pPr>
              <w:spacing w:after="0"/>
              <w:rPr>
                <w:sz w:val="9"/>
                <w:szCs w:val="9"/>
                <w:color w:val="auto"/>
              </w:rPr>
            </w:pPr>
          </w:p>
        </w:tc>
        <w:tc>
          <w:tcPr>
            <w:tcW w:w="1800" w:type="dxa"/>
            <w:vAlign w:val="bottom"/>
          </w:tcPr>
          <w:p>
            <w:pPr>
              <w:ind w:start="20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1820" w:type="dxa"/>
            <w:vAlign w:val="bottom"/>
          </w:tcPr>
          <w:p>
            <w:pPr>
              <w:ind w:start="36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69</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2021</w:t>
            </w:r>
          </w:p>
        </w:tc>
        <w:tc>
          <w:tcPr>
            <w:tcW w:w="940" w:type="dxa"/>
            <w:vAlign w:val="bottom"/>
          </w:tcPr>
          <w:p>
            <w:pPr>
              <w:spacing w:after="0"/>
              <w:rPr>
                <w:sz w:val="14"/>
                <w:szCs w:val="14"/>
                <w:color w:val="auto"/>
              </w:rPr>
            </w:pP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GRU</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CSE-CIC-IDS2018 [</w:t>
            </w:r>
            <w:r>
              <w:rPr>
                <w:rFonts w:ascii="Arial" w:hAnsi="Arial" w:eastAsia="Arial" w:cs="Arial"/>
                <w:sz w:val="13"/>
                <w:szCs w:val="13"/>
                <w:color w:val="0080AC"/>
              </w:rPr>
              <w:t xml:space="preserve">67</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vMerge w:val="restart"/>
          </w:tcPr>
          <w:p>
            <w:pPr>
              <w:ind w:start="60"/>
              <w:spacing w:after="0"/>
              <w:rPr>
                <w:sz w:val="20"/>
                <w:szCs w:val="20"/>
                <w:color w:val="auto"/>
              </w:rPr>
            </w:pPr>
            <w:r>
              <w:rPr>
                <w:rFonts w:ascii="Arial" w:hAnsi="Arial" w:eastAsia="Arial" w:cs="Arial"/>
                <w:sz w:val="13"/>
                <w:szCs w:val="13"/>
                <w:color w:val="auto"/>
              </w:rPr>
              <w:t xml:space="preserve">FGSM, BIM</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DNN</w:t>
            </w:r>
          </w:p>
        </w:tc>
        <w:tc>
          <w:tcPr>
            <w:tcW w:w="1800" w:type="dxa"/>
            <w:vAlign w:val="bottom"/>
            <w:vMerge w:val="continue"/>
          </w:tcPr>
          <w:p>
            <w:pPr>
              <w:spacing w:after="0"/>
              <w:rPr>
                <w:sz w:val="14"/>
                <w:szCs w:val="14"/>
                <w:color w:val="auto"/>
              </w:rPr>
            </w:pPr>
          </w:p>
        </w:tc>
        <w:tc>
          <w:tcPr>
            <w:tcW w:w="200" w:type="dxa"/>
            <w:vAlign w:val="bottom"/>
          </w:tcPr>
          <w:p>
            <w:pPr>
              <w:spacing w:after="0"/>
              <w:rPr>
                <w:sz w:val="14"/>
                <w:szCs w:val="14"/>
                <w:color w:val="auto"/>
              </w:rPr>
            </w:pPr>
          </w:p>
        </w:tc>
        <w:tc>
          <w:tcPr>
            <w:tcW w:w="1300" w:type="dxa"/>
            <w:vAlign w:val="bottom"/>
            <w:vMerge w:val="continue"/>
          </w:tcPr>
          <w:p>
            <w:pPr>
              <w:spacing w:after="0"/>
              <w:rPr>
                <w:sz w:val="14"/>
                <w:szCs w:val="14"/>
                <w:color w:val="auto"/>
              </w:rPr>
            </w:pPr>
          </w:p>
        </w:tc>
        <w:tc>
          <w:tcPr>
            <w:tcW w:w="1800" w:type="dxa"/>
            <w:vAlign w:val="bottom"/>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tcPr>
          <w:p>
            <w:pPr>
              <w:ind w:start="36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250"/>
        </w:trPr>
        <w:tc>
          <w:tcPr>
            <w:tcW w:w="64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1800" w:type="dxa"/>
            <w:vAlign w:val="bottom"/>
          </w:tcPr>
          <w:p>
            <w:pPr>
              <w:spacing w:after="0"/>
              <w:rPr>
                <w:sz w:val="21"/>
                <w:szCs w:val="21"/>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JSMA, DeepFool</w:t>
            </w:r>
          </w:p>
        </w:tc>
        <w:tc>
          <w:tcPr>
            <w:tcW w:w="1800" w:type="dxa"/>
            <w:vAlign w:val="bottom"/>
          </w:tcPr>
          <w:p>
            <w:pPr>
              <w:spacing w:after="0"/>
              <w:rPr>
                <w:sz w:val="21"/>
                <w:szCs w:val="21"/>
                <w:color w:val="auto"/>
              </w:rPr>
            </w:pPr>
          </w:p>
        </w:tc>
        <w:tc>
          <w:tcPr>
            <w:tcW w:w="18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9"/>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70</w:t>
            </w:r>
            <w:r>
              <w:rPr>
                <w:rFonts w:ascii="Arial" w:hAnsi="Arial" w:eastAsia="Arial" w:cs="Arial"/>
                <w:sz w:val="13"/>
                <w:szCs w:val="13"/>
                <w:color w:val="auto"/>
              </w:rPr>
              <w:t xml:space="preserve">]</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2022</w:t>
            </w:r>
          </w:p>
        </w:tc>
        <w:tc>
          <w:tcPr>
            <w:tcW w:w="940" w:type="dxa"/>
            <w:vAlign w:val="bottom"/>
          </w:tcPr>
          <w:p>
            <w:pPr>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MPL, LSTM,</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CSE-CIC-IDS2018 [</w:t>
            </w:r>
            <w:r>
              <w:rPr>
                <w:rFonts w:ascii="Arial" w:hAnsi="Arial" w:eastAsia="Arial" w:cs="Arial"/>
                <w:sz w:val="13"/>
                <w:szCs w:val="13"/>
                <w:color w:val="0080AC"/>
              </w:rPr>
              <w:t xml:space="preserve">67</w:t>
            </w:r>
            <w:r>
              <w:rPr>
                <w:rFonts w:ascii="Arial" w:hAnsi="Arial" w:eastAsia="Arial" w:cs="Arial"/>
                <w:sz w:val="13"/>
                <w:szCs w:val="13"/>
                <w:color w:val="auto"/>
              </w:rPr>
              <w:t xml:space="preserve">]</w:t>
            </w:r>
          </w:p>
        </w:tc>
        <w:tc>
          <w:tcPr>
            <w:tcW w:w="200" w:type="dxa"/>
            <w:vAlign w:val="bottom"/>
          </w:tcPr>
          <w:p>
            <w:pPr>
              <w:spacing w:after="0"/>
              <w:rPr>
                <w:sz w:val="13"/>
                <w:szCs w:val="13"/>
                <w:color w:val="auto"/>
              </w:rPr>
            </w:pPr>
          </w:p>
        </w:tc>
        <w:tc>
          <w:tcPr>
            <w:tcW w:w="1300" w:type="dxa"/>
            <w:vAlign w:val="bottom"/>
          </w:tcPr>
          <w:p>
            <w:pPr>
              <w:spacing w:after="0"/>
              <w:rPr>
                <w:sz w:val="20"/>
                <w:szCs w:val="20"/>
                <w:color w:val="auto"/>
              </w:rPr>
            </w:pPr>
            <w:r>
              <w:rPr>
                <w:rFonts w:ascii="Arial" w:hAnsi="Arial" w:eastAsia="Arial" w:cs="Arial"/>
                <w:sz w:val="13"/>
                <w:szCs w:val="13"/>
                <w:color w:val="auto"/>
              </w:rPr>
              <w:t xml:space="preserve">Nes, Límite</w:t>
            </w:r>
          </w:p>
        </w:tc>
        <w:tc>
          <w:tcPr>
            <w:tcW w:w="1800" w:type="dxa"/>
            <w:vAlign w:val="bottom"/>
          </w:tcPr>
          <w:p>
            <w:pPr>
              <w:ind w:start="20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tcPr>
          <w:p>
            <w:pPr>
              <w:ind w:start="30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CNN</w:t>
            </w:r>
          </w:p>
        </w:tc>
        <w:tc>
          <w:tcPr>
            <w:tcW w:w="1800" w:type="dxa"/>
            <w:vAlign w:val="bottom"/>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HopSkipJump,</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puntualmente,</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38"/>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71</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2022</w:t>
            </w:r>
          </w:p>
        </w:tc>
        <w:tc>
          <w:tcPr>
            <w:tcW w:w="940" w:type="dxa"/>
            <w:vAlign w:val="bottom"/>
            <w:vMerge w:val="restart"/>
          </w:tcPr>
          <w:p>
            <w:pPr>
              <w:spacing w:after="0"/>
              <w:rPr>
                <w:sz w:val="20"/>
                <w:szCs w:val="20"/>
                <w:color w:val="auto"/>
              </w:rPr>
            </w:pPr>
            <w:r>
              <w:rPr>
                <w:rFonts w:ascii="Arial" w:hAnsi="Arial" w:eastAsia="Arial" w:cs="Arial"/>
                <w:sz w:val="13"/>
                <w:szCs w:val="13"/>
                <w:color w:val="auto"/>
              </w:rPr>
              <w:t xml:space="preserve">RF</w:t>
            </w: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MLP</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CIC-IDS2017 [</w:t>
            </w:r>
            <w:r>
              <w:rPr>
                <w:rFonts w:ascii="Arial" w:hAnsi="Arial" w:eastAsia="Arial" w:cs="Arial"/>
                <w:sz w:val="13"/>
                <w:szCs w:val="13"/>
                <w:color w:val="0080AC"/>
              </w:rPr>
              <w:t xml:space="preserve">67</w:t>
            </w:r>
            <w:r>
              <w:rPr>
                <w:rFonts w:ascii="Arial" w:hAnsi="Arial" w:eastAsia="Arial" w:cs="Arial"/>
                <w:sz w:val="13"/>
                <w:szCs w:val="13"/>
                <w:color w:val="auto"/>
              </w:rPr>
              <w:t xml:space="preserve">],</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Opt-attack</w:t>
            </w:r>
          </w:p>
        </w:tc>
        <w:tc>
          <w:tcPr>
            <w:tcW w:w="1800" w:type="dxa"/>
            <w:vAlign w:val="bottom"/>
            <w:vMerge w:val="restart"/>
          </w:tcPr>
          <w:p>
            <w:pPr>
              <w:ind w:start="200"/>
              <w:spacing w:after="0"/>
              <w:rPr>
                <w:sz w:val="20"/>
                <w:szCs w:val="20"/>
                <w:color w:val="auto"/>
              </w:rPr>
            </w:pPr>
            <w:r>
              <w:rPr>
                <w:rFonts w:ascii="Arial" w:hAnsi="Arial" w:eastAsia="Arial" w:cs="Arial"/>
                <w:sz w:val="13"/>
                <w:szCs w:val="13"/>
                <w:color w:val="auto"/>
              </w:rPr>
              <w:t xml:space="preserve">Adaptativo</w:t>
            </w:r>
          </w:p>
        </w:tc>
        <w:tc>
          <w:tcPr>
            <w:tcW w:w="18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04"/>
        </w:trPr>
        <w:tc>
          <w:tcPr>
            <w:tcW w:w="640" w:type="dxa"/>
            <w:vAlign w:val="bottom"/>
            <w:vMerge w:val="continue"/>
          </w:tcPr>
          <w:p>
            <w:pPr>
              <w:spacing w:after="0"/>
              <w:rPr>
                <w:sz w:val="9"/>
                <w:szCs w:val="9"/>
                <w:color w:val="auto"/>
              </w:rPr>
            </w:pPr>
          </w:p>
        </w:tc>
        <w:tc>
          <w:tcPr>
            <w:tcW w:w="960" w:type="dxa"/>
            <w:vAlign w:val="bottom"/>
            <w:vMerge w:val="continue"/>
          </w:tcPr>
          <w:p>
            <w:pPr>
              <w:spacing w:after="0"/>
              <w:rPr>
                <w:sz w:val="9"/>
                <w:szCs w:val="9"/>
                <w:color w:val="auto"/>
              </w:rPr>
            </w:pPr>
          </w:p>
        </w:tc>
        <w:tc>
          <w:tcPr>
            <w:tcW w:w="940" w:type="dxa"/>
            <w:vAlign w:val="bottom"/>
            <w:vMerge w:val="continue"/>
          </w:tcPr>
          <w:p>
            <w:pPr>
              <w:spacing w:after="0"/>
              <w:rPr>
                <w:sz w:val="9"/>
                <w:szCs w:val="9"/>
                <w:color w:val="auto"/>
              </w:rPr>
            </w:pPr>
          </w:p>
        </w:tc>
        <w:tc>
          <w:tcPr>
            <w:tcW w:w="960" w:type="dxa"/>
            <w:vAlign w:val="bottom"/>
            <w:vMerge w:val="continue"/>
          </w:tcPr>
          <w:p>
            <w:pPr>
              <w:spacing w:after="0"/>
              <w:rPr>
                <w:sz w:val="9"/>
                <w:szCs w:val="9"/>
                <w:color w:val="auto"/>
              </w:rPr>
            </w:pPr>
          </w:p>
        </w:tc>
        <w:tc>
          <w:tcPr>
            <w:tcW w:w="1800" w:type="dxa"/>
            <w:vAlign w:val="bottom"/>
            <w:vMerge w:val="continue"/>
          </w:tcPr>
          <w:p>
            <w:pPr>
              <w:spacing w:after="0"/>
              <w:rPr>
                <w:sz w:val="9"/>
                <w:szCs w:val="9"/>
                <w:color w:val="auto"/>
              </w:rPr>
            </w:pPr>
          </w:p>
        </w:tc>
        <w:tc>
          <w:tcPr>
            <w:tcW w:w="1500" w:type="dxa"/>
            <w:vAlign w:val="bottom"/>
            <w:gridSpan w:val="2"/>
          </w:tcPr>
          <w:p>
            <w:pPr>
              <w:ind w:start="20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1800" w:type="dxa"/>
            <w:vAlign w:val="bottom"/>
            <w:vMerge w:val="continue"/>
          </w:tcPr>
          <w:p>
            <w:pPr>
              <w:spacing w:after="0"/>
              <w:rPr>
                <w:sz w:val="9"/>
                <w:szCs w:val="9"/>
                <w:color w:val="auto"/>
              </w:rPr>
            </w:pPr>
          </w:p>
        </w:tc>
        <w:tc>
          <w:tcPr>
            <w:tcW w:w="1820" w:type="dxa"/>
            <w:vAlign w:val="bottom"/>
          </w:tcPr>
          <w:p>
            <w:pPr>
              <w:ind w:start="360"/>
              <w:spacing w:after="0" w:line="104" w:lineRule="exact"/>
              <w:rPr>
                <w:sz w:val="20"/>
                <w:szCs w:val="20"/>
                <w:color w:val="auto"/>
              </w:rPr>
            </w:pPr>
            <w:r>
              <w:rPr>
                <w:rFonts w:ascii="Arial Unicode MS" w:hAnsi="Arial Unicode MS" w:eastAsia="Arial Unicode MS" w:cs="Arial Unicode MS"/>
                <w:sz w:val="10"/>
                <w:szCs w:val="10"/>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IoT-23 [</w:t>
            </w:r>
            <w:r>
              <w:rPr>
                <w:rFonts w:ascii="Arial" w:hAnsi="Arial" w:eastAsia="Arial" w:cs="Arial"/>
                <w:sz w:val="13"/>
                <w:szCs w:val="13"/>
                <w:color w:val="0080AC"/>
              </w:rPr>
              <w:t xml:space="preserve">72</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perturbación</w:t>
            </w: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restart"/>
          </w:tcPr>
          <w:p>
            <w:pPr>
              <w:ind w:start="8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73</w:t>
            </w:r>
            <w:r>
              <w:rPr>
                <w:rFonts w:ascii="Arial" w:hAnsi="Arial" w:eastAsia="Arial" w:cs="Arial"/>
                <w:sz w:val="13"/>
                <w:szCs w:val="13"/>
                <w:color w:val="auto"/>
              </w:rPr>
              <w:t xml:space="preserve">]</w:t>
            </w:r>
          </w:p>
        </w:tc>
        <w:tc>
          <w:tcPr>
            <w:tcW w:w="960" w:type="dxa"/>
            <w:vAlign w:val="bottom"/>
            <w:vMerge w:val="restart"/>
          </w:tcPr>
          <w:p>
            <w:pPr>
              <w:ind w:start="240"/>
              <w:spacing w:after="0"/>
              <w:rPr>
                <w:sz w:val="20"/>
                <w:szCs w:val="20"/>
                <w:color w:val="auto"/>
              </w:rPr>
            </w:pPr>
            <w:r>
              <w:rPr>
                <w:rFonts w:ascii="Arial" w:hAnsi="Arial" w:eastAsia="Arial" w:cs="Arial"/>
                <w:sz w:val="13"/>
                <w:szCs w:val="13"/>
                <w:color w:val="auto"/>
              </w:rPr>
              <w:t xml:space="preserve">2022</w:t>
            </w:r>
          </w:p>
        </w:tc>
        <w:tc>
          <w:tcPr>
            <w:tcW w:w="940" w:type="dxa"/>
            <w:vAlign w:val="bottom"/>
          </w:tcPr>
          <w:p>
            <w:pPr>
              <w:spacing w:after="0"/>
              <w:rPr>
                <w:sz w:val="14"/>
                <w:szCs w:val="14"/>
                <w:color w:val="auto"/>
              </w:rPr>
            </w:pPr>
          </w:p>
        </w:tc>
        <w:tc>
          <w:tcPr>
            <w:tcW w:w="960" w:type="dxa"/>
            <w:vAlign w:val="bottom"/>
            <w:vMerge w:val="restart"/>
          </w:tcPr>
          <w:p>
            <w:pPr>
              <w:ind w:start="160"/>
              <w:spacing w:after="0"/>
              <w:rPr>
                <w:sz w:val="20"/>
                <w:szCs w:val="20"/>
                <w:color w:val="auto"/>
              </w:rPr>
            </w:pPr>
            <w:r>
              <w:rPr>
                <w:rFonts w:ascii="Arial" w:hAnsi="Arial" w:eastAsia="Arial" w:cs="Arial"/>
                <w:sz w:val="13"/>
                <w:szCs w:val="13"/>
                <w:color w:val="auto"/>
              </w:rPr>
              <w:t xml:space="preserve">LSTM, RNN</w:t>
            </w:r>
          </w:p>
        </w:tc>
        <w:tc>
          <w:tcPr>
            <w:tcW w:w="1800" w:type="dxa"/>
            <w:vAlign w:val="bottom"/>
            <w:vMerge w:val="restart"/>
          </w:tcPr>
          <w:p>
            <w:pPr>
              <w:ind w:start="300"/>
              <w:spacing w:after="0"/>
              <w:rPr>
                <w:sz w:val="20"/>
                <w:szCs w:val="20"/>
                <w:color w:val="auto"/>
              </w:rPr>
            </w:pPr>
            <w:r>
              <w:rPr>
                <w:rFonts w:ascii="Arial" w:hAnsi="Arial" w:eastAsia="Arial" w:cs="Arial"/>
                <w:sz w:val="13"/>
                <w:szCs w:val="13"/>
                <w:color w:val="auto"/>
              </w:rPr>
              <w:t xml:space="preserve">MedBIoT [</w:t>
            </w:r>
            <w:r>
              <w:rPr>
                <w:rFonts w:ascii="Arial" w:hAnsi="Arial" w:eastAsia="Arial" w:cs="Arial"/>
                <w:sz w:val="13"/>
                <w:szCs w:val="13"/>
                <w:color w:val="0080AC"/>
              </w:rPr>
              <w:t xml:space="preserve">74</w:t>
            </w:r>
            <w:r>
              <w:rPr>
                <w:rFonts w:ascii="Arial" w:hAnsi="Arial" w:eastAsia="Arial" w:cs="Arial"/>
                <w:sz w:val="13"/>
                <w:szCs w:val="13"/>
                <w:color w:val="auto"/>
              </w:rPr>
              <w:t xml:space="preserve">] y</w:t>
            </w: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método del patrón</w:t>
            </w: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vMerge w:val="continue"/>
          </w:tcPr>
          <w:p>
            <w:pPr>
              <w:spacing w:after="0"/>
              <w:rPr>
                <w:sz w:val="14"/>
                <w:szCs w:val="14"/>
                <w:color w:val="auto"/>
              </w:rPr>
            </w:pPr>
          </w:p>
        </w:tc>
        <w:tc>
          <w:tcPr>
            <w:tcW w:w="960" w:type="dxa"/>
            <w:vAlign w:val="bottom"/>
            <w:vMerge w:val="continue"/>
          </w:tcPr>
          <w:p>
            <w:pPr>
              <w:spacing w:after="0"/>
              <w:rPr>
                <w:sz w:val="14"/>
                <w:szCs w:val="14"/>
                <w:color w:val="auto"/>
              </w:rPr>
            </w:pPr>
          </w:p>
        </w:tc>
        <w:tc>
          <w:tcPr>
            <w:tcW w:w="940" w:type="dxa"/>
            <w:vAlign w:val="bottom"/>
          </w:tcPr>
          <w:p>
            <w:pPr>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960" w:type="dxa"/>
            <w:vAlign w:val="bottom"/>
            <w:vMerge w:val="continue"/>
          </w:tcPr>
          <w:p>
            <w:pPr>
              <w:spacing w:after="0"/>
              <w:rPr>
                <w:sz w:val="14"/>
                <w:szCs w:val="14"/>
                <w:color w:val="auto"/>
              </w:rPr>
            </w:pPr>
          </w:p>
        </w:tc>
        <w:tc>
          <w:tcPr>
            <w:tcW w:w="1800" w:type="dxa"/>
            <w:vAlign w:val="bottom"/>
            <w:vMerge w:val="continue"/>
          </w:tcPr>
          <w:p>
            <w:pPr>
              <w:spacing w:after="0"/>
              <w:rPr>
                <w:sz w:val="14"/>
                <w:szCs w:val="14"/>
                <w:color w:val="auto"/>
              </w:rPr>
            </w:pPr>
          </w:p>
        </w:tc>
        <w:tc>
          <w:tcPr>
            <w:tcW w:w="1500" w:type="dxa"/>
            <w:vAlign w:val="bottom"/>
            <w:gridSpan w:val="2"/>
          </w:tcPr>
          <w:p>
            <w:pPr>
              <w:ind w:start="20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Alterar</w:t>
            </w:r>
          </w:p>
        </w:tc>
        <w:tc>
          <w:tcPr>
            <w:tcW w:w="1820" w:type="dxa"/>
            <w:vAlign w:val="bottom"/>
          </w:tcPr>
          <w:p>
            <w:pPr>
              <w:ind w:start="360"/>
              <w:spacing w:after="0" w:line="172" w:lineRule="exact"/>
              <w:rPr>
                <w:sz w:val="20"/>
                <w:szCs w:val="20"/>
                <w:color w:val="auto"/>
              </w:rPr>
            </w:pPr>
            <w:r>
              <w:rPr>
                <w:rFonts w:ascii="Arial Unicode MS" w:hAnsi="Arial Unicode MS" w:eastAsia="Arial Unicode MS" w:cs="Arial Unicode MS"/>
                <w:sz w:val="13"/>
                <w:szCs w:val="13"/>
                <w:color w:val="auto"/>
              </w:rPr>
              <w:t xml:space="preserve">✗</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Conjunto de datos </w:t>
            </w:r>
            <w:r>
              <w:rPr>
                <w:rFonts w:ascii="Arial" w:hAnsi="Arial" w:eastAsia="Arial" w:cs="Arial"/>
                <w:sz w:val="13"/>
                <w:szCs w:val="13"/>
                <w:color w:val="auto"/>
              </w:rPr>
              <w:t xml:space="preserve">IoTID [</w:t>
            </w:r>
            <w:r>
              <w:rPr>
                <w:rFonts w:ascii="Arial" w:hAnsi="Arial" w:eastAsia="Arial" w:cs="Arial"/>
                <w:sz w:val="13"/>
                <w:szCs w:val="13"/>
                <w:color w:val="0080AC"/>
              </w:rPr>
              <w:t xml:space="preserve">75</w:t>
            </w:r>
            <w:r>
              <w:rPr>
                <w:rFonts w:ascii="Arial" w:hAnsi="Arial" w:eastAsia="Arial" w:cs="Arial"/>
                <w:sz w:val="13"/>
                <w:szCs w:val="13"/>
                <w:color w:val="auto"/>
              </w:rPr>
              <w:t xml:space="preserve">])</w:t>
            </w:r>
          </w:p>
        </w:tc>
        <w:tc>
          <w:tcPr>
            <w:tcW w:w="200" w:type="dxa"/>
            <w:vAlign w:val="bottom"/>
          </w:tcPr>
          <w:p>
            <w:pPr>
              <w:spacing w:after="0"/>
              <w:rPr>
                <w:sz w:val="14"/>
                <w:szCs w:val="14"/>
                <w:color w:val="auto"/>
              </w:rPr>
            </w:pPr>
          </w:p>
        </w:tc>
        <w:tc>
          <w:tcPr>
            <w:tcW w:w="1300" w:type="dxa"/>
            <w:vAlign w:val="bottom"/>
          </w:tcPr>
          <w:p>
            <w:pPr>
              <w:spacing w:after="0"/>
              <w:rPr>
                <w:sz w:val="14"/>
                <w:szCs w:val="14"/>
                <w:color w:val="auto"/>
              </w:rPr>
            </w:pPr>
          </w:p>
        </w:tc>
        <w:tc>
          <w:tcPr>
            <w:tcW w:w="1800" w:type="dxa"/>
            <w:vAlign w:val="bottom"/>
          </w:tcPr>
          <w:p>
            <w:pPr>
              <w:ind w:start="200"/>
              <w:spacing w:after="0"/>
              <w:rPr>
                <w:sz w:val="20"/>
                <w:szCs w:val="20"/>
                <w:color w:val="auto"/>
              </w:rPr>
            </w:pPr>
            <w:r>
              <w:rPr>
                <w:rFonts w:ascii="Arial" w:hAnsi="Arial" w:eastAsia="Arial" w:cs="Arial"/>
                <w:sz w:val="13"/>
                <w:szCs w:val="13"/>
                <w:color w:val="auto"/>
              </w:rPr>
              <w:t xml:space="preserve">características</w:t>
            </w: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50"/>
        </w:trPr>
        <w:tc>
          <w:tcPr>
            <w:tcW w:w="64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w:t>
            </w:r>
            <w:r>
              <w:rPr>
                <w:rFonts w:ascii="Arial" w:hAnsi="Arial" w:eastAsia="Arial" w:cs="Arial"/>
                <w:sz w:val="13"/>
                <w:szCs w:val="13"/>
                <w:color w:val="0080AC"/>
              </w:rPr>
              <w:t xml:space="preserve">75</w:t>
            </w:r>
            <w:r>
              <w:rPr>
                <w:rFonts w:ascii="Arial" w:hAnsi="Arial" w:eastAsia="Arial" w:cs="Arial"/>
                <w:sz w:val="13"/>
                <w:szCs w:val="13"/>
                <w:color w:val="auto"/>
              </w:rPr>
              <w:t xml:space="preserve">].</w:t>
            </w:r>
          </w:p>
        </w:tc>
        <w:tc>
          <w:tcPr>
            <w:tcW w:w="20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1800" w:type="dxa"/>
            <w:vAlign w:val="bottom"/>
          </w:tcPr>
          <w:p>
            <w:pPr>
              <w:spacing w:after="0"/>
              <w:rPr>
                <w:sz w:val="21"/>
                <w:szCs w:val="21"/>
                <w:color w:val="auto"/>
              </w:rPr>
            </w:pPr>
          </w:p>
        </w:tc>
        <w:tc>
          <w:tcPr>
            <w:tcW w:w="1820" w:type="dxa"/>
            <w:vAlign w:val="bottom"/>
            <w:vMerge w:val="restart"/>
          </w:tcPr>
          <w:p>
            <w:pPr>
              <w:ind w:start="300"/>
              <w:spacing w:after="0"/>
              <w:rPr>
                <w:sz w:val="20"/>
                <w:szCs w:val="20"/>
                <w:color w:val="auto"/>
              </w:rPr>
            </w:pPr>
            <w:r>
              <w:rPr>
                <w:rFonts w:ascii="Arial" w:hAnsi="Arial" w:eastAsia="Arial" w:cs="Arial"/>
                <w:sz w:val="13"/>
                <w:szCs w:val="13"/>
                <w:color w:val="auto"/>
              </w:rPr>
              <w:t xml:space="preserve">Datos gaussianos</w:t>
            </w:r>
          </w:p>
        </w:tc>
        <w:tc>
          <w:tcPr>
            <w:tcW w:w="0" w:type="dxa"/>
            <w:vAlign w:val="bottom"/>
          </w:tcPr>
          <w:p>
            <w:pPr>
              <w:spacing w:after="0"/>
              <w:rPr>
                <w:sz w:val="1"/>
                <w:szCs w:val="1"/>
                <w:color w:val="auto"/>
              </w:rPr>
            </w:pPr>
          </w:p>
        </w:tc>
      </w:tr>
      <w:tr>
        <w:trPr>
          <w:trHeight w:val="159"/>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Este</w:t>
            </w:r>
          </w:p>
        </w:tc>
        <w:tc>
          <w:tcPr>
            <w:tcW w:w="960" w:type="dxa"/>
            <w:vAlign w:val="bottom"/>
          </w:tcPr>
          <w:p>
            <w:pPr>
              <w:ind w:start="240"/>
              <w:spacing w:after="0"/>
              <w:rPr>
                <w:sz w:val="20"/>
                <w:szCs w:val="20"/>
                <w:color w:val="auto"/>
              </w:rPr>
            </w:pPr>
            <w:r>
              <w:rPr>
                <w:rFonts w:ascii="Arial" w:hAnsi="Arial" w:eastAsia="Arial" w:cs="Arial"/>
                <w:sz w:val="13"/>
                <w:szCs w:val="13"/>
                <w:color w:val="auto"/>
              </w:rPr>
              <w:t xml:space="preserve">-</w:t>
            </w:r>
          </w:p>
        </w:tc>
        <w:tc>
          <w:tcPr>
            <w:tcW w:w="940" w:type="dxa"/>
            <w:vAlign w:val="bottom"/>
          </w:tcPr>
          <w:p>
            <w:pPr>
              <w:spacing w:after="0"/>
              <w:rPr>
                <w:sz w:val="20"/>
                <w:szCs w:val="20"/>
                <w:color w:val="auto"/>
              </w:rPr>
            </w:pPr>
            <w:r>
              <w:rPr>
                <w:rFonts w:ascii="Arial" w:hAnsi="Arial" w:eastAsia="Arial" w:cs="Arial"/>
                <w:sz w:val="13"/>
                <w:szCs w:val="13"/>
                <w:color w:val="auto"/>
              </w:rPr>
              <w:t xml:space="preserve">Adaboost</w:t>
            </w:r>
          </w:p>
        </w:tc>
        <w:tc>
          <w:tcPr>
            <w:tcW w:w="960" w:type="dxa"/>
            <w:vAlign w:val="bottom"/>
          </w:tcPr>
          <w:p>
            <w:pPr>
              <w:ind w:start="160"/>
              <w:spacing w:after="0"/>
              <w:rPr>
                <w:sz w:val="20"/>
                <w:szCs w:val="20"/>
                <w:color w:val="auto"/>
              </w:rPr>
            </w:pPr>
            <w:r>
              <w:rPr>
                <w:rFonts w:ascii="Arial" w:hAnsi="Arial" w:eastAsia="Arial" w:cs="Arial"/>
                <w:sz w:val="13"/>
                <w:szCs w:val="13"/>
                <w:color w:val="auto"/>
              </w:rPr>
              <w:t xml:space="preserve">DNN</w:t>
            </w: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NSL-KDD</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GN,ZOO,BIM</w:t>
            </w:r>
          </w:p>
        </w:tc>
        <w:tc>
          <w:tcPr>
            <w:tcW w:w="1800" w:type="dxa"/>
            <w:vAlign w:val="bottom"/>
          </w:tcPr>
          <w:p>
            <w:pPr>
              <w:ind w:start="200"/>
              <w:spacing w:after="0" w:line="159" w:lineRule="exact"/>
              <w:rPr>
                <w:sz w:val="20"/>
                <w:szCs w:val="20"/>
                <w:color w:val="auto"/>
              </w:rPr>
            </w:pPr>
            <w:r>
              <w:rPr>
                <w:rFonts w:ascii="Arial Unicode MS" w:hAnsi="Arial Unicode MS" w:eastAsia="Arial Unicode MS" w:cs="Arial Unicode MS"/>
                <w:sz w:val="13"/>
                <w:szCs w:val="13"/>
                <w:color w:val="auto"/>
              </w:rPr>
              <w:t xml:space="preserve">✗</w:t>
            </w:r>
          </w:p>
        </w:tc>
        <w:tc>
          <w:tcPr>
            <w:tcW w:w="18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71"/>
        </w:trPr>
        <w:tc>
          <w:tcPr>
            <w:tcW w:w="640" w:type="dxa"/>
            <w:vAlign w:val="bottom"/>
          </w:tcPr>
          <w:p>
            <w:pPr>
              <w:ind w:start="80"/>
              <w:spacing w:after="0"/>
              <w:rPr>
                <w:sz w:val="20"/>
                <w:szCs w:val="20"/>
                <w:color w:val="auto"/>
              </w:rPr>
            </w:pPr>
            <w:r>
              <w:rPr>
                <w:rFonts w:ascii="Arial" w:hAnsi="Arial" w:eastAsia="Arial" w:cs="Arial"/>
                <w:sz w:val="13"/>
                <w:szCs w:val="13"/>
                <w:color w:val="auto"/>
              </w:rPr>
              <w:t xml:space="preserve">papel</w:t>
            </w:r>
          </w:p>
        </w:tc>
        <w:tc>
          <w:tcPr>
            <w:tcW w:w="960" w:type="dxa"/>
            <w:vAlign w:val="bottom"/>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Embolsado</w:t>
            </w:r>
          </w:p>
        </w:tc>
        <w:tc>
          <w:tcPr>
            <w:tcW w:w="960" w:type="dxa"/>
            <w:vAlign w:val="bottom"/>
          </w:tcPr>
          <w:p>
            <w:pPr>
              <w:spacing w:after="0"/>
              <w:rPr>
                <w:sz w:val="14"/>
                <w:szCs w:val="14"/>
                <w:color w:val="auto"/>
              </w:rPr>
            </w:pPr>
          </w:p>
        </w:tc>
        <w:tc>
          <w:tcPr>
            <w:tcW w:w="1800" w:type="dxa"/>
            <w:vAlign w:val="bottom"/>
          </w:tcPr>
          <w:p>
            <w:pPr>
              <w:ind w:start="300"/>
              <w:spacing w:after="0"/>
              <w:rPr>
                <w:sz w:val="20"/>
                <w:szCs w:val="20"/>
                <w:color w:val="auto"/>
              </w:rPr>
            </w:pPr>
            <w:r>
              <w:rPr>
                <w:rFonts w:ascii="Arial" w:hAnsi="Arial" w:eastAsia="Arial" w:cs="Arial"/>
                <w:sz w:val="13"/>
                <w:szCs w:val="13"/>
                <w:color w:val="auto"/>
              </w:rPr>
              <w:t xml:space="preserve">UNSW-NB15</w:t>
            </w: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FGSM, JSMA,</w:t>
            </w:r>
          </w:p>
        </w:tc>
        <w:tc>
          <w:tcPr>
            <w:tcW w:w="1800" w:type="dxa"/>
            <w:vAlign w:val="bottom"/>
          </w:tcPr>
          <w:p>
            <w:pPr>
              <w:spacing w:after="0"/>
              <w:rPr>
                <w:sz w:val="14"/>
                <w:szCs w:val="14"/>
                <w:color w:val="auto"/>
              </w:rPr>
            </w:pPr>
          </w:p>
        </w:tc>
        <w:tc>
          <w:tcPr>
            <w:tcW w:w="1820" w:type="dxa"/>
            <w:vAlign w:val="bottom"/>
          </w:tcPr>
          <w:p>
            <w:pPr>
              <w:ind w:start="300"/>
              <w:spacing w:after="0"/>
              <w:rPr>
                <w:sz w:val="20"/>
                <w:szCs w:val="20"/>
                <w:color w:val="auto"/>
              </w:rPr>
            </w:pPr>
            <w:r>
              <w:rPr>
                <w:rFonts w:ascii="Arial" w:hAnsi="Arial" w:eastAsia="Arial" w:cs="Arial"/>
                <w:sz w:val="13"/>
                <w:szCs w:val="13"/>
                <w:color w:val="auto"/>
              </w:rPr>
              <w:t xml:space="preserve">aumento</w:t>
            </w: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DT, GB</w:t>
            </w: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C&amp;W, PGD</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6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940" w:type="dxa"/>
            <w:vAlign w:val="bottom"/>
          </w:tcPr>
          <w:p>
            <w:pPr>
              <w:spacing w:after="0"/>
              <w:rPr>
                <w:sz w:val="20"/>
                <w:szCs w:val="20"/>
                <w:color w:val="auto"/>
              </w:rPr>
            </w:pPr>
            <w:r>
              <w:rPr>
                <w:rFonts w:ascii="Arial" w:hAnsi="Arial" w:eastAsia="Arial" w:cs="Arial"/>
                <w:sz w:val="13"/>
                <w:szCs w:val="13"/>
                <w:color w:val="auto"/>
              </w:rPr>
              <w:t xml:space="preserve">LR, RF</w:t>
            </w:r>
          </w:p>
        </w:tc>
        <w:tc>
          <w:tcPr>
            <w:tcW w:w="96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500" w:type="dxa"/>
            <w:vAlign w:val="bottom"/>
            <w:gridSpan w:val="2"/>
          </w:tcPr>
          <w:p>
            <w:pPr>
              <w:ind w:start="200"/>
              <w:spacing w:after="0"/>
              <w:rPr>
                <w:sz w:val="20"/>
                <w:szCs w:val="20"/>
                <w:color w:val="auto"/>
              </w:rPr>
            </w:pPr>
            <w:r>
              <w:rPr>
                <w:rFonts w:ascii="Arial" w:hAnsi="Arial" w:eastAsia="Arial" w:cs="Arial"/>
                <w:sz w:val="13"/>
                <w:szCs w:val="13"/>
                <w:color w:val="auto"/>
              </w:rPr>
              <w:t xml:space="preserve">BA, HSJ</w:t>
            </w:r>
          </w:p>
        </w:tc>
        <w:tc>
          <w:tcPr>
            <w:tcW w:w="18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50"/>
        </w:trPr>
        <w:tc>
          <w:tcPr>
            <w:tcW w:w="640" w:type="dxa"/>
            <w:vAlign w:val="bottom"/>
            <w:tcBorders>
              <w:bottom w:val="single" w:color="auto" w:sz="8"/>
            </w:tcBorders>
          </w:tcPr>
          <w:p>
            <w:pPr>
              <w:spacing w:after="0"/>
              <w:rPr>
                <w:sz w:val="21"/>
                <w:szCs w:val="21"/>
                <w:color w:val="auto"/>
              </w:rPr>
            </w:pPr>
          </w:p>
        </w:tc>
        <w:tc>
          <w:tcPr>
            <w:tcW w:w="960" w:type="dxa"/>
            <w:vAlign w:val="bottom"/>
            <w:tcBorders>
              <w:bottom w:val="single" w:color="auto" w:sz="8"/>
            </w:tcBorders>
          </w:tcPr>
          <w:p>
            <w:pPr>
              <w:spacing w:after="0"/>
              <w:rPr>
                <w:sz w:val="21"/>
                <w:szCs w:val="21"/>
                <w:color w:val="auto"/>
              </w:rPr>
            </w:pPr>
          </w:p>
        </w:tc>
        <w:tc>
          <w:tcPr>
            <w:tcW w:w="940" w:type="dxa"/>
            <w:vAlign w:val="bottom"/>
            <w:tcBorders>
              <w:bottom w:val="single" w:color="auto" w:sz="8"/>
            </w:tcBorders>
          </w:tcPr>
          <w:p>
            <w:pPr>
              <w:spacing w:after="0"/>
              <w:rPr>
                <w:sz w:val="20"/>
                <w:szCs w:val="20"/>
                <w:color w:val="auto"/>
              </w:rPr>
            </w:pPr>
            <w:r>
              <w:rPr>
                <w:rFonts w:ascii="Arial" w:hAnsi="Arial" w:eastAsia="Arial" w:cs="Arial"/>
                <w:sz w:val="13"/>
                <w:szCs w:val="13"/>
                <w:color w:val="auto"/>
              </w:rPr>
              <w:t xml:space="preserve">VPC</w:t>
            </w:r>
          </w:p>
        </w:tc>
        <w:tc>
          <w:tcPr>
            <w:tcW w:w="960" w:type="dxa"/>
            <w:vAlign w:val="bottom"/>
            <w:tcBorders>
              <w:bottom w:val="single" w:color="auto" w:sz="8"/>
            </w:tcBorders>
          </w:tcPr>
          <w:p>
            <w:pPr>
              <w:spacing w:after="0"/>
              <w:rPr>
                <w:sz w:val="21"/>
                <w:szCs w:val="21"/>
                <w:color w:val="auto"/>
              </w:rPr>
            </w:pPr>
          </w:p>
        </w:tc>
        <w:tc>
          <w:tcPr>
            <w:tcW w:w="1800" w:type="dxa"/>
            <w:vAlign w:val="bottom"/>
            <w:tcBorders>
              <w:bottom w:val="single" w:color="auto" w:sz="8"/>
            </w:tcBorders>
          </w:tcPr>
          <w:p>
            <w:pPr>
              <w:spacing w:after="0"/>
              <w:rPr>
                <w:sz w:val="21"/>
                <w:szCs w:val="21"/>
                <w:color w:val="auto"/>
              </w:rPr>
            </w:pPr>
          </w:p>
        </w:tc>
        <w:tc>
          <w:tcPr>
            <w:tcW w:w="200" w:type="dxa"/>
            <w:vAlign w:val="bottom"/>
            <w:tcBorders>
              <w:bottom w:val="single" w:color="auto" w:sz="8"/>
            </w:tcBorders>
          </w:tcPr>
          <w:p>
            <w:pPr>
              <w:spacing w:after="0"/>
              <w:rPr>
                <w:sz w:val="21"/>
                <w:szCs w:val="21"/>
                <w:color w:val="auto"/>
              </w:rPr>
            </w:pPr>
          </w:p>
        </w:tc>
        <w:tc>
          <w:tcPr>
            <w:tcW w:w="1300" w:type="dxa"/>
            <w:vAlign w:val="bottom"/>
            <w:tcBorders>
              <w:bottom w:val="single" w:color="auto" w:sz="8"/>
            </w:tcBorders>
          </w:tcPr>
          <w:p>
            <w:pPr>
              <w:spacing w:after="0"/>
              <w:rPr>
                <w:sz w:val="21"/>
                <w:szCs w:val="21"/>
                <w:color w:val="auto"/>
              </w:rPr>
            </w:pPr>
          </w:p>
        </w:tc>
        <w:tc>
          <w:tcPr>
            <w:tcW w:w="1800" w:type="dxa"/>
            <w:vAlign w:val="bottom"/>
            <w:tcBorders>
              <w:bottom w:val="single" w:color="auto" w:sz="8"/>
            </w:tcBorders>
          </w:tcPr>
          <w:p>
            <w:pPr>
              <w:spacing w:after="0"/>
              <w:rPr>
                <w:sz w:val="21"/>
                <w:szCs w:val="21"/>
                <w:color w:val="auto"/>
              </w:rPr>
            </w:pPr>
          </w:p>
        </w:tc>
        <w:tc>
          <w:tcPr>
            <w:tcW w:w="1820" w:type="dxa"/>
            <w:vAlign w:val="bottom"/>
            <w:tcBorders>
              <w:bottom w:val="single" w:color="auto" w:sz="8"/>
            </w:tcBorders>
          </w:tcPr>
          <w:p>
            <w:pPr>
              <w:spacing w:after="0"/>
              <w:rPr>
                <w:sz w:val="21"/>
                <w:szCs w:val="2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1011555</wp:posOffset>
                </wp:positionH>
                <wp:positionV relativeFrom="paragraph">
                  <wp:posOffset>-8022590</wp:posOffset>
                </wp:positionV>
                <wp:extent cx="120713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7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9" o:allowincell="f" strokecolor="#000000" strokeweight="0.398pt" from="79.65pt,-631.6999pt" to="174.7pt,-631.6999pt"/>
            </w:pict>
          </mc:Fallback>
        </mc:AlternateContent>
        <mc:AlternateContent>
          <mc:Choice Requires="wps">
            <w:drawing>
              <wp:anchor simplePos="0" relativeHeight="251657728" behindDoc="1" locked="0" layoutInCell="0" allowOverlap="1">
                <wp:simplePos x="0" y="0"/>
                <wp:positionH relativeFrom="column">
                  <wp:posOffset>3495040</wp:posOffset>
                </wp:positionH>
                <wp:positionV relativeFrom="paragraph">
                  <wp:posOffset>-8022590</wp:posOffset>
                </wp:positionV>
                <wp:extent cx="196659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65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0" o:allowincell="f" strokecolor="#000000" strokeweight="0.398pt" from="275.2pt,-631.6999pt" to="430.05pt,-631.6999pt"/>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-7762875</wp:posOffset>
                </wp:positionV>
                <wp:extent cx="660463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1" o:allowincell="f" strokecolor="#000000" strokeweight="0.398pt" from="-0.3999pt,-611.2499pt" to="519.65pt,-611.2499pt"/>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-7176770</wp:posOffset>
                </wp:positionV>
                <wp:extent cx="660463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2" o:allowincell="f" strokecolor="#000000" strokeweight="0.398pt" from="-0.3999pt,-565.0999pt" to="519.65pt,-565.0999pt"/>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-5393690</wp:posOffset>
                </wp:positionV>
                <wp:extent cx="660463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3" o:allowincell="f" strokecolor="#000000" strokeweight="0.398pt" from="-0.3999pt,-424.6999pt" to="519.65pt,-424.6999pt"/>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-2631440</wp:posOffset>
                </wp:positionV>
                <wp:extent cx="660463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4" o:allowincell="f" strokecolor="#000000" strokeweight="0.398pt" from="-0.3999pt,-207.1999pt" to="519.65pt,-207.1999pt"/>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-1718310</wp:posOffset>
                </wp:positionV>
                <wp:extent cx="660463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5" o:allowincell="f" strokecolor="#000000" strokeweight="0.398pt" from="-0.3999pt,-135.2999pt" to="519.65pt,-135.2999pt"/>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-588645</wp:posOffset>
                </wp:positionV>
                <wp:extent cx="660463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6" o:allowincell="f" strokecolor="#000000" strokeweight="0.398pt" from="-0.3999pt,-46.3499pt" to="519.65pt,-46.3499pt"/>
            </w:pict>
          </mc:Fallback>
        </mc:AlternateContent>
      </w:r>
    </w:p>
    <w:p>
      <w:pPr>
        <w:sectPr>
          <w:pgSz w:w="11900" w:h="15874" w:orient="portrait"/>
          <w:cols w:equalWidth="0" w:num="1">
            <w:col w:w="10400"/>
          </w:cols>
          <w:pgMar w:top="492" w:right="746" w:bottom="85" w:left="760" w:header="0" w:footer="0" w:gutter="0"/>
        </w:sect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center"/>
        <w:spacing w:after="0"/>
        <w:rPr>
          <w:sz w:val="20"/>
          <w:szCs w:val="20"/>
          <w:color w:val="auto"/>
        </w:rPr>
      </w:pPr>
      <w:r>
        <w:rPr>
          <w:rFonts w:ascii="Arial" w:hAnsi="Arial" w:eastAsia="Arial" w:cs="Arial"/>
          <w:sz w:val="13"/>
          <w:szCs w:val="13"/>
          <w:color w:val="auto"/>
        </w:rPr>
        <w:t xml:space="preserve">6</w:t>
      </w:r>
    </w:p>
    <w:p>
      <w:pPr>
        <w:sectPr>
          <w:pgSz w:w="11900" w:h="15874" w:orient="portrait"/>
          <w:cols w:equalWidth="0" w:num="1">
            <w:col w:w="10400"/>
          </w:cols>
          <w:pgMar w:top="492" w:right="746" w:bottom="85" w:left="760" w:header="0" w:footer="0" w:gutter="0"/>
          <w:type w:val="continuous"/>
        </w:sectPr>
      </w:pPr>
    </w:p>
    <w:bookmarkStart w:name="page7" w:id="6"/>
    <w:bookmarkEnd w:id="6"/>
    <w:p>
      <w:pPr>
        <w:jc w:val="center"/>
        <w:spacing w:after="0"/>
        <w:framePr w:w="193" w:h="80" w:wrap="auto" w:hAnchor="page" w:vAnchor="page" w:x="2234" w:y="7913"/>
        <w:rPr>
          <w:sz w:val="20"/>
          <w:szCs w:val="20"/>
          <w:color w:val="auto"/>
        </w:rPr>
      </w:pPr>
    </w:p>
    <w:p>
      <w:pPr>
        <w:spacing w:after="0" w:line="216" w:lineRule="auto"/>
        <w:framePr w:w="180" w:h="83" w:wrap="auto" w:hAnchor="page" w:vAnchor="page" w:x="2260" w:y="8063"/>
        <w:rPr>
          <w:rFonts w:ascii="Arial" w:hAnsi="Arial" w:eastAsia="Arial" w:cs="Arial"/>
          <w:sz w:val="8"/>
          <w:szCs w:val="8"/>
          <w:color w:val="auto"/>
        </w:rPr>
      </w:pPr>
      <w:r>
        <w:rPr>
          <w:rFonts w:ascii="Arial" w:hAnsi="Arial" w:eastAsia="Arial" w:cs="Arial"/>
          <w:sz w:val="8"/>
          <w:szCs w:val="8"/>
          <w:color w:val="auto"/>
        </w:rPr>
        <w:t xml:space="preserve">+</w:t>
      </w:r>
    </w:p>
    <w:p>
      <w:pPr>
        <w:spacing w:after="0"/>
        <w:tabs>
          <w:tab w:val="left" w:leader="none" w:pos="8200"/>
        </w:tabs>
        <w:rPr>
          <w:sz w:val="20"/>
          <w:szCs w:val="20"/>
          <w:color w:val="auto"/>
        </w:rPr>
      </w:pPr>
      <w:r>
        <w:rPr>
          <w:rFonts w:ascii="Arial" w:hAnsi="Arial" w:eastAsia="Arial" w:cs="Arial"/>
          <w:sz w:val="13"/>
          <w:szCs w:val="13"/>
          <w:i w:val="1"/>
          <w:iCs w:val="1"/>
          <w:color w:val="auto"/>
        </w:rPr>
        <w:t xml:space="preserve">H. Jmila y M.I. Khedher</w:t>
      </w:r>
      <w:r>
        <w:rPr>
          <w:sz w:val="20"/>
          <w:szCs w:val="20"/>
          <w:color w:val="auto"/>
        </w:rPr>
        <w:tab/>
      </w:r>
      <w:r>
        <w:rPr>
          <w:rFonts w:ascii="Arial" w:hAnsi="Arial" w:eastAsia="Arial" w:cs="Arial"/>
          <w:sz w:val="12"/>
          <w:szCs w:val="12"/>
          <w:i w:val="1"/>
          <w:iCs w:val="1"/>
          <w:color w:val="auto"/>
        </w:rPr>
        <w:t xml:space="preserve">Redes informáticas 214 (2022) 109073</w:t>
      </w:r>
    </w:p>
    <w:p>
      <w:pPr>
        <w:spacing w:after="0" w:line="20" w:lineRule="exact"/>
        <w:rPr>
          <w:rFonts w:ascii="Arial" w:hAnsi="Arial" w:eastAsia="Arial" w:cs="Arial"/>
          <w:sz w:val="8"/>
          <w:szCs w:val="8"/>
          <w:color w:val="auto"/>
        </w:rPr>
      </w:pPr>
      <w:r>
        <w:rPr>
          <w:rFonts w:ascii="Arial" w:hAnsi="Arial" w:eastAsia="Arial" w:cs="Arial"/>
          <w:sz w:val="8"/>
          <w:szCs w:val="8"/>
          <w:color w:val="auto"/>
        </w:rPr>
        <w:drawing>
          <wp:anchor simplePos="0" relativeHeight="251657728" behindDoc="1" locked="0" layoutInCell="0" allowOverlap="1">
            <wp:simplePos x="0" y="0"/>
            <wp:positionH relativeFrom="column">
              <wp:posOffset>644525</wp:posOffset>
            </wp:positionH>
            <wp:positionV relativeFrom="paragraph">
              <wp:posOffset>300355</wp:posOffset>
            </wp:positionV>
            <wp:extent cx="5304790" cy="36461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extLst>
                    </a:blip>
                    <a:srcRect/>
                    <a:stretch>
                      <a:fillRect/>
                    </a:stretch>
                  </pic:blipFill>
                  <pic:spPr bwMode="auto">
                    <a:xfrm>
                      <a:off x="0" y="0"/>
                      <a:ext cx="5304790" cy="3646170"/>
                    </a:xfrm>
                    <a:prstGeom prst="rect">
                      <a:avLst/>
                    </a:prstGeom>
                    <a:noFill/>
                  </pic:spPr>
                </pic:pic>
              </a:graphicData>
            </a:graphic>
          </wp:anchor>
        </w:drawing>
      </w: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0" w:lineRule="exact"/>
        <w:rPr>
          <w:rFonts w:ascii="Arial" w:hAnsi="Arial" w:eastAsia="Arial" w:cs="Arial"/>
          <w:sz w:val="8"/>
          <w:szCs w:val="8"/>
          <w:color w:val="auto"/>
        </w:rPr>
      </w:pPr>
    </w:p>
    <w:p>
      <w:pPr>
        <w:spacing w:after="0" w:line="203" w:lineRule="exact"/>
        <w:rPr>
          <w:rFonts w:ascii="Arial" w:hAnsi="Arial" w:eastAsia="Arial" w:cs="Arial"/>
          <w:sz w:val="8"/>
          <w:szCs w:val="8"/>
          <w:color w:val="auto"/>
        </w:rPr>
      </w:pPr>
    </w:p>
    <w:p>
      <w:pPr>
        <w:jc w:val="center"/>
        <w:spacing w:after="0"/>
        <w:rPr>
          <w:sz w:val="20"/>
          <w:szCs w:val="20"/>
          <w:color w:val="auto"/>
        </w:rPr>
      </w:pPr>
      <w:r>
        <w:rPr>
          <w:rFonts w:ascii="Arial" w:hAnsi="Arial" w:eastAsia="Arial" w:cs="Arial"/>
          <w:sz w:val="13"/>
          <w:szCs w:val="13"/>
          <w:b w:val="1"/>
          <w:bCs w:val="1"/>
          <w:color w:val="auto"/>
        </w:rPr>
        <w:t xml:space="preserve">Fig. 4.</w:t>
      </w:r>
      <w:r>
        <w:rPr>
          <w:rFonts w:ascii="Arial" w:hAnsi="Arial" w:eastAsia="Arial" w:cs="Arial"/>
          <w:sz w:val="13"/>
          <w:szCs w:val="13"/>
          <w:color w:val="auto"/>
        </w:rPr>
        <w:t xml:space="preserve"> Protocolo de evaluación.</w:t>
      </w:r>
    </w:p>
    <w:p>
      <w:pPr>
        <w:sectPr>
          <w:pgSz w:w="11900" w:h="15874" w:orient="portrait"/>
          <w:cols w:equalWidth="0" w:num="1">
            <w:col w:w="10400"/>
          </w:cols>
          <w:pgMar w:top="492" w:right="746" w:bottom="85" w:left="760" w:header="0" w:footer="0" w:gutter="0"/>
        </w:sectPr>
      </w:pPr>
    </w:p>
    <w:p>
      <w:pPr>
        <w:spacing w:after="0" w:line="319" w:lineRule="exact"/>
        <w:rPr>
          <w:rFonts w:ascii="Arial" w:hAnsi="Arial" w:eastAsia="Arial" w:cs="Arial"/>
          <w:sz w:val="8"/>
          <w:szCs w:val="8"/>
          <w:color w:val="auto"/>
        </w:rPr>
      </w:pPr>
    </w:p>
    <w:p>
      <w:pPr>
        <w:jc w:val="both"/>
        <w:ind w:start="400" w:hanging="137"/>
        <w:spacing w:after="0" w:line="433" w:lineRule="auto"/>
        <w:tabs>
          <w:tab w:val="left" w:leader="none" w:pos="400"/>
        </w:tabs>
        <w:numPr>
          <w:ilvl w:val="0"/>
          <w:numId w:val="14"/>
        </w:numPr>
        <w:rPr>
          <w:rFonts w:ascii="Arial" w:hAnsi="Arial" w:eastAsia="Arial" w:cs="Arial"/>
          <w:sz w:val="15"/>
          <w:szCs w:val="15"/>
          <w:b w:val="1"/>
          <w:bCs w:val="1"/>
          <w:color w:val="auto"/>
        </w:rPr>
      </w:pPr>
      <w:r>
        <w:rPr>
          <w:rFonts w:ascii="Arial" w:hAnsi="Arial" w:eastAsia="Arial" w:cs="Arial"/>
          <w:sz w:val="15"/>
          <w:szCs w:val="15"/>
          <w:b w:val="1"/>
          <w:bCs w:val="1"/>
          <w:color w:val="auto"/>
        </w:rPr>
        <w:t xml:space="preserve">Tasa de falsos negativos</w:t>
      </w:r>
      <w:r>
        <w:rPr>
          <w:rFonts w:ascii="Arial" w:hAnsi="Arial" w:eastAsia="Arial" w:cs="Arial"/>
          <w:sz w:val="15"/>
          <w:szCs w:val="15"/>
          <w:color w:val="auto"/>
        </w:rPr>
        <w:t xml:space="preserve">: es un indicador más específico que destaca el porcentaje de tráfico malicioso que ha superado con éxito el</w:t>
      </w:r>
    </w:p>
    <w:p>
      <w:pPr>
        <w:ind w:start="400"/>
        <w:spacing w:after="0" w:line="217" w:lineRule="auto"/>
        <w:tabs>
          <w:tab w:val="left" w:leader="none" w:pos="1140"/>
        </w:tabs>
        <w:rPr>
          <w:sz w:val="20"/>
          <w:szCs w:val="20"/>
          <w:color w:val="auto"/>
        </w:rPr>
      </w:pPr>
      <w:r>
        <w:rPr>
          <w:rFonts w:ascii="Arial" w:hAnsi="Arial" w:eastAsia="Arial" w:cs="Arial"/>
          <w:sz w:val="16"/>
          <w:szCs w:val="16"/>
          <w:color w:val="auto"/>
        </w:rPr>
        <w:t xml:space="preserve">IDS.</w:t>
      </w:r>
      <w:r>
        <w:rPr>
          <w:sz w:val="20"/>
          <w:szCs w:val="20"/>
          <w:color w:val="auto"/>
        </w:rPr>
        <w:tab/>
      </w:r>
      <w:r>
        <w:rPr>
          <w:rFonts w:ascii="Arial" w:hAnsi="Arial" w:eastAsia="Arial" w:cs="Arial"/>
          <w:sz w:val="16"/>
          <w:szCs w:val="16"/>
          <w:color w:val="auto"/>
        </w:rPr>
        <w:t xml:space="preserve">=</w:t>
      </w:r>
    </w:p>
    <w:p>
      <w:pPr>
        <w:spacing w:after="0" w:line="20" w:lineRule="exact"/>
        <w:rPr>
          <w:rFonts w:ascii="Arial" w:hAnsi="Arial" w:eastAsia="Arial" w:cs="Arial"/>
          <w:sz w:val="8"/>
          <w:szCs w:val="8"/>
          <w:color w:val="auto"/>
        </w:rPr>
      </w:pPr>
      <w:r>
        <w:rPr>
          <w:rFonts w:ascii="Arial" w:hAnsi="Arial" w:eastAsia="Arial" w:cs="Arial"/>
          <w:sz w:val="8"/>
          <w:szCs w:val="8"/>
          <w:color w:val="auto"/>
        </w:rPr>
        <mc:AlternateContent>
          <mc:Choice Requires="wps">
            <w:drawing>
              <wp:anchor simplePos="0" relativeHeight="251657728" behindDoc="1" locked="0" layoutInCell="0" allowOverlap="1">
                <wp:simplePos x="0" y="0"/>
                <wp:positionH relativeFrom="column">
                  <wp:posOffset>854075</wp:posOffset>
                </wp:positionH>
                <wp:positionV relativeFrom="paragraph">
                  <wp:posOffset>-70485</wp:posOffset>
                </wp:positionV>
                <wp:extent cx="2921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2100" cy="4763"/>
                        </a:xfrm>
                        <a:prstGeom prst="line">
                          <a:avLst/>
                        </a:prstGeom>
                        <a:solidFill>
                          <a:srgbClr val="FFFFFF"/>
                        </a:solidFill>
                        <a:ln w="6680">
                          <a:solidFill>
                            <a:srgbClr val="000000"/>
                          </a:solidFill>
                          <a:miter lim="800000"/>
                          <a:headEnd/>
                          <a:tailEnd/>
                        </a:ln>
                      </wps:spPr>
                      <wps:bodyPr/>
                    </wps:wsp>
                  </a:graphicData>
                </a:graphic>
              </wp:anchor>
            </w:drawing>
          </mc:Choice>
          <mc:Fallback>
            <w:pict>
              <v:line id="Shape 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8" o:allowincell="f" strokecolor="#000000" strokeweight="0.526pt" from="67.25pt,-5.5499pt" to="90.25pt,-5.5499pt"/>
            </w:pict>
          </mc:Fallback>
        </mc:AlternateContent>
      </w:r>
    </w:p>
    <w:p>
      <w:pPr>
        <w:spacing w:after="0" w:line="82" w:lineRule="exact"/>
        <w:rPr>
          <w:rFonts w:ascii="Arial" w:hAnsi="Arial" w:eastAsia="Arial" w:cs="Arial"/>
          <w:sz w:val="8"/>
          <w:szCs w:val="8"/>
          <w:color w:val="auto"/>
        </w:rPr>
      </w:pPr>
    </w:p>
    <w:p>
      <w:pPr>
        <w:jc w:val="both"/>
        <w:spacing w:after="0" w:line="282" w:lineRule="auto"/>
        <w:rPr>
          <w:sz w:val="20"/>
          <w:szCs w:val="20"/>
          <w:color w:val="auto"/>
        </w:rPr>
      </w:pPr>
      <w:r>
        <w:rPr>
          <w:rFonts w:ascii="Arial" w:hAnsi="Arial" w:eastAsia="Arial" w:cs="Arial"/>
          <w:sz w:val="16"/>
          <w:szCs w:val="16"/>
          <w:color w:val="auto"/>
        </w:rPr>
        <w:t xml:space="preserve">Donde </w:t>
      </w:r>
      <w:r>
        <w:rPr>
          <w:rFonts w:ascii="Arial" w:hAnsi="Arial" w:eastAsia="Arial" w:cs="Arial"/>
          <w:sz w:val="16"/>
          <w:szCs w:val="16"/>
          <w:b w:val="1"/>
          <w:bCs w:val="1"/>
          <w:color w:val="auto"/>
        </w:rPr>
        <w:t xml:space="preserve">TP son </w:t>
      </w:r>
      <w:r>
        <w:rPr>
          <w:rFonts w:ascii="Arial" w:hAnsi="Arial" w:eastAsia="Arial" w:cs="Arial"/>
          <w:sz w:val="16"/>
          <w:szCs w:val="16"/>
          <w:color w:val="auto"/>
        </w:rPr>
        <w:t xml:space="preserve">los Verdaderos Positivos y representan el número de registros anómalos que se identifican correctamente como anomalías. Los </w:t>
      </w:r>
      <w:r>
        <w:rPr>
          <w:rFonts w:ascii="Arial" w:hAnsi="Arial" w:eastAsia="Arial" w:cs="Arial"/>
          <w:sz w:val="16"/>
          <w:szCs w:val="16"/>
          <w:b w:val="1"/>
          <w:bCs w:val="1"/>
          <w:color w:val="auto"/>
        </w:rPr>
        <w:t xml:space="preserve">TN son los Verdaderos Negativos </w:t>
      </w:r>
      <w:r>
        <w:rPr>
          <w:rFonts w:ascii="Arial" w:hAnsi="Arial" w:eastAsia="Arial" w:cs="Arial"/>
          <w:sz w:val="16"/>
          <w:szCs w:val="16"/>
          <w:color w:val="auto"/>
        </w:rPr>
        <w:t xml:space="preserve">y calculan el número de registros normales que se identifican correctamente como normales. Los </w:t>
      </w:r>
      <w:r>
        <w:rPr>
          <w:rFonts w:ascii="Arial" w:hAnsi="Arial" w:eastAsia="Arial" w:cs="Arial"/>
          <w:sz w:val="16"/>
          <w:szCs w:val="16"/>
          <w:b w:val="1"/>
          <w:bCs w:val="1"/>
          <w:color w:val="auto"/>
        </w:rPr>
        <w:t xml:space="preserve">FP son los </w:t>
      </w:r>
      <w:r>
        <w:rPr>
          <w:rFonts w:ascii="Arial" w:hAnsi="Arial" w:eastAsia="Arial" w:cs="Arial"/>
          <w:sz w:val="16"/>
          <w:szCs w:val="16"/>
          <w:color w:val="auto"/>
        </w:rPr>
        <w:t xml:space="preserve">Falsos Positivos y representan el número de registros normales clasificados erróneamente como anómalos. Los </w:t>
      </w:r>
      <w:r>
        <w:rPr>
          <w:rFonts w:ascii="Arial" w:hAnsi="Arial" w:eastAsia="Arial" w:cs="Arial"/>
          <w:sz w:val="16"/>
          <w:szCs w:val="16"/>
          <w:b w:val="1"/>
          <w:bCs w:val="1"/>
          <w:color w:val="auto"/>
        </w:rPr>
        <w:t xml:space="preserve">TN son los Verdaderos Negativos y representan el número de </w:t>
      </w:r>
      <w:r>
        <w:rPr>
          <w:rFonts w:ascii="Arial" w:hAnsi="Arial" w:eastAsia="Arial" w:cs="Arial"/>
          <w:sz w:val="16"/>
          <w:szCs w:val="16"/>
          <w:b w:val="1"/>
          <w:bCs w:val="1"/>
          <w:color w:val="auto"/>
        </w:rPr>
        <w:t xml:space="preserve">registros </w:t>
      </w:r>
      <w:r>
        <w:rPr>
          <w:rFonts w:ascii="Arial" w:hAnsi="Arial" w:eastAsia="Arial" w:cs="Arial"/>
          <w:sz w:val="16"/>
          <w:szCs w:val="16"/>
          <w:color w:val="auto"/>
        </w:rPr>
        <w:t xml:space="preserve">anómalos que se identifican como normales</w:t>
      </w:r>
      <w:r>
        <w:rPr>
          <w:rFonts w:ascii="Arial" w:hAnsi="Arial" w:eastAsia="Arial" w:cs="Arial"/>
          <w:sz w:val="16"/>
          <w:szCs w:val="16"/>
          <w:color w:val="auto"/>
        </w:rPr>
        <w:t xml:space="preserve">.</w:t>
      </w:r>
    </w:p>
    <w:p>
      <w:pPr>
        <w:spacing w:after="0" w:line="1" w:lineRule="exact"/>
        <w:rPr>
          <w:rFonts w:ascii="Arial" w:hAnsi="Arial" w:eastAsia="Arial" w:cs="Arial"/>
          <w:sz w:val="8"/>
          <w:szCs w:val="8"/>
          <w:color w:val="auto"/>
        </w:rPr>
      </w:pPr>
    </w:p>
    <w:p>
      <w:pPr>
        <w:jc w:val="both"/>
        <w:ind w:firstLine="239"/>
        <w:spacing w:after="0" w:line="323" w:lineRule="auto"/>
        <w:rPr>
          <w:sz w:val="20"/>
          <w:szCs w:val="20"/>
          <w:color w:val="auto"/>
        </w:rPr>
      </w:pPr>
      <w:r>
        <w:rPr>
          <w:rFonts w:ascii="Arial" w:hAnsi="Arial" w:eastAsia="Arial" w:cs="Arial"/>
          <w:sz w:val="16"/>
          <w:szCs w:val="16"/>
          <w:color w:val="auto"/>
        </w:rPr>
        <w:t xml:space="preserve">Un buen clasificador es aquel que tiene una </w:t>
      </w:r>
      <w:r>
        <w:rPr>
          <w:rFonts w:ascii="Arial" w:hAnsi="Arial" w:eastAsia="Arial" w:cs="Arial"/>
          <w:sz w:val="16"/>
          <w:szCs w:val="16"/>
          <w:i w:val="1"/>
          <w:iCs w:val="1"/>
          <w:color w:val="auto"/>
        </w:rPr>
        <w:t xml:space="preserve">alta precisión y una baja tasa de falsos negativos.</w:t>
      </w:r>
    </w:p>
    <w:p>
      <w:pPr>
        <w:spacing w:after="0" w:line="1"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i w:val="1"/>
          <w:iCs w:val="1"/>
          <w:color w:val="auto"/>
        </w:rPr>
        <w:t xml:space="preserve">4.4. Protocolo de evaluación</w:t>
      </w:r>
    </w:p>
    <w:p>
      <w:pPr>
        <w:spacing w:after="0" w:line="243"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i w:val="1"/>
          <w:iCs w:val="1"/>
          <w:color w:val="auto"/>
        </w:rPr>
        <w:t xml:space="preserve">4.4.1. </w:t>
      </w:r>
      <w:r>
        <w:rPr>
          <w:rFonts w:ascii="Arial" w:hAnsi="Arial" w:eastAsia="Arial" w:cs="Arial"/>
          <w:sz w:val="16"/>
          <w:szCs w:val="16"/>
          <w:b w:val="1"/>
          <w:bCs w:val="1"/>
          <w:i w:val="1"/>
          <w:iCs w:val="1"/>
          <w:color w:val="auto"/>
        </w:rPr>
        <w:t xml:space="preserve">Evaluación inicial de la robustez</w:t>
      </w:r>
    </w:p>
    <w:p>
      <w:pPr>
        <w:spacing w:after="0" w:line="165" w:lineRule="exact"/>
        <w:rPr>
          <w:rFonts w:ascii="Arial" w:hAnsi="Arial" w:eastAsia="Arial" w:cs="Arial"/>
          <w:sz w:val="8"/>
          <w:szCs w:val="8"/>
          <w:color w:val="auto"/>
        </w:rPr>
      </w:pPr>
    </w:p>
    <w:p>
      <w:pPr>
        <w:jc w:val="both"/>
        <w:ind w:firstLine="239"/>
        <w:spacing w:after="0" w:line="274" w:lineRule="auto"/>
        <w:rPr>
          <w:sz w:val="20"/>
          <w:szCs w:val="20"/>
          <w:color w:val="auto"/>
        </w:rPr>
      </w:pPr>
      <w:r>
        <w:rPr>
          <w:rFonts w:ascii="Arial" w:hAnsi="Arial" w:eastAsia="Arial" w:cs="Arial"/>
          <w:sz w:val="16"/>
          <w:szCs w:val="16"/>
          <w:color w:val="auto"/>
        </w:rPr>
        <w:t xml:space="preserve">Este escenario (véase </w:t>
      </w:r>
      <w:r>
        <w:rPr>
          <w:rFonts w:ascii="Arial" w:hAnsi="Arial" w:eastAsia="Arial" w:cs="Arial"/>
          <w:sz w:val="16"/>
          <w:szCs w:val="16"/>
          <w:color w:val="0080AC"/>
        </w:rPr>
        <w:t xml:space="preserve">la Fig. 4(a)</w:t>
      </w:r>
      <w:r>
        <w:rPr>
          <w:rFonts w:ascii="Arial" w:hAnsi="Arial" w:eastAsia="Arial" w:cs="Arial"/>
          <w:sz w:val="16"/>
          <w:szCs w:val="16"/>
          <w:color w:val="auto"/>
        </w:rPr>
        <w:t xml:space="preserve">) evalúa el rendimiento de los clasificadores frente a ataques de adversarios.</w:t>
      </w:r>
    </w:p>
    <w:p>
      <w:pPr>
        <w:spacing w:after="0" w:line="1" w:lineRule="exact"/>
        <w:rPr>
          <w:rFonts w:ascii="Arial" w:hAnsi="Arial" w:eastAsia="Arial" w:cs="Arial"/>
          <w:sz w:val="8"/>
          <w:szCs w:val="8"/>
          <w:color w:val="auto"/>
        </w:rPr>
      </w:pPr>
    </w:p>
    <w:p>
      <w:pPr>
        <w:jc w:val="both"/>
        <w:ind w:firstLine="239"/>
        <w:spacing w:after="0" w:line="261" w:lineRule="auto"/>
        <w:rPr>
          <w:sz w:val="20"/>
          <w:szCs w:val="20"/>
          <w:color w:val="auto"/>
        </w:rPr>
      </w:pPr>
      <w:r>
        <w:rPr>
          <w:rFonts w:ascii="Arial" w:hAnsi="Arial" w:eastAsia="Arial" w:cs="Arial"/>
          <w:sz w:val="15"/>
          <w:szCs w:val="15"/>
          <w:color w:val="auto"/>
        </w:rPr>
        <w:t xml:space="preserve">Para generar muestras adversarias utilizando ataques de </w:t>
      </w:r>
      <w:r>
        <w:rPr>
          <w:rFonts w:ascii="Arial" w:hAnsi="Arial" w:eastAsia="Arial" w:cs="Arial"/>
          <w:sz w:val="15"/>
          <w:szCs w:val="15"/>
          <w:color w:val="auto"/>
        </w:rPr>
        <w:t xml:space="preserve">caja </w:t>
      </w:r>
      <w:r>
        <w:rPr>
          <w:rFonts w:ascii="Arial" w:hAnsi="Arial" w:eastAsia="Arial" w:cs="Arial"/>
          <w:sz w:val="15"/>
          <w:szCs w:val="15"/>
          <w:color w:val="auto"/>
        </w:rPr>
        <w:t xml:space="preserve">blanca, las muestras de los conjuntos de datos de prueba (NSL-KDD Test</w:t>
      </w:r>
      <w:r>
        <w:rPr>
          <w:rFonts w:ascii="Arial" w:hAnsi="Arial" w:eastAsia="Arial" w:cs="Arial"/>
          <w:sz w:val="22"/>
          <w:szCs w:val="22"/>
          <w:color w:val="auto"/>
          <w:vertAlign w:val="superscript"/>
        </w:rPr>
        <w:t xml:space="preserve">+</w:t>
      </w:r>
      <w:r>
        <w:rPr>
          <w:rFonts w:ascii="Arial" w:hAnsi="Arial" w:eastAsia="Arial" w:cs="Arial"/>
          <w:sz w:val="15"/>
          <w:szCs w:val="15"/>
          <w:color w:val="auto"/>
        </w:rPr>
        <w:t xml:space="preserve"> y UNSW_NB15_testing-set) se perturban utilizando ataques de caja gris/negra aplicados </w:t>
      </w:r>
      <w:r>
        <w:rPr>
          <w:rFonts w:ascii="Arial" w:hAnsi="Arial" w:eastAsia="Arial" w:cs="Arial"/>
          <w:sz w:val="15"/>
          <w:szCs w:val="15"/>
          <w:i w:val="1"/>
          <w:iCs w:val="1"/>
          <w:color w:val="auto"/>
        </w:rPr>
        <w:t xml:space="preserve">directamente al clasificador </w:t>
      </w:r>
      <w:r>
        <w:rPr>
          <w:rFonts w:ascii="Arial" w:hAnsi="Arial" w:eastAsia="Arial" w:cs="Arial"/>
          <w:sz w:val="15"/>
          <w:szCs w:val="15"/>
          <w:color w:val="auto"/>
        </w:rPr>
        <w:t xml:space="preserve">y ataques de caja blanca aplicados </w:t>
      </w:r>
      <w:r>
        <w:rPr>
          <w:rFonts w:ascii="Arial" w:hAnsi="Arial" w:eastAsia="Arial" w:cs="Arial"/>
          <w:sz w:val="15"/>
          <w:szCs w:val="15"/>
          <w:i w:val="1"/>
          <w:iCs w:val="1"/>
          <w:color w:val="auto"/>
        </w:rPr>
        <w:t xml:space="preserve">al modelo ''Generador''</w:t>
      </w:r>
      <w:r>
        <w:rPr>
          <w:rFonts w:ascii="Arial" w:hAnsi="Arial" w:eastAsia="Arial" w:cs="Arial"/>
          <w:sz w:val="15"/>
          <w:szCs w:val="15"/>
          <w:color w:val="auto"/>
        </w:rPr>
        <w:t xml:space="preserve">. </w:t>
      </w:r>
      <w:r>
        <w:rPr>
          <w:rFonts w:ascii="Arial" w:hAnsi="Arial" w:eastAsia="Arial" w:cs="Arial"/>
          <w:sz w:val="15"/>
          <w:szCs w:val="15"/>
          <w:color w:val="auto"/>
        </w:rPr>
        <w:t xml:space="preserve">Las muestras adversarias generadas forman nuevos conjuntos de datos de prueba, que denominamos '</w:t>
      </w:r>
      <w:r>
        <w:rPr>
          <w:rFonts w:ascii="Arial" w:hAnsi="Arial" w:eastAsia="Arial" w:cs="Arial"/>
          <w:sz w:val="15"/>
          <w:szCs w:val="15"/>
          <w:b w:val="1"/>
          <w:bCs w:val="1"/>
          <w:color w:val="auto"/>
        </w:rPr>
        <w:t xml:space="preserve">'Conjuntos de datos </w:t>
      </w:r>
      <w:r>
        <w:rPr>
          <w:rFonts w:ascii="Arial" w:hAnsi="Arial" w:eastAsia="Arial" w:cs="Arial"/>
          <w:sz w:val="15"/>
          <w:szCs w:val="15"/>
          <w:color w:val="auto"/>
        </w:rPr>
        <w:t xml:space="preserve">adversarios</w:t>
      </w:r>
      <w:r>
        <w:rPr>
          <w:rFonts w:ascii="Arial" w:hAnsi="Arial" w:eastAsia="Arial" w:cs="Arial"/>
          <w:sz w:val="15"/>
          <w:szCs w:val="15"/>
          <w:b w:val="1"/>
          <w:bCs w:val="1"/>
          <w:color w:val="auto"/>
        </w:rPr>
        <w:t xml:space="preserve">''</w:t>
      </w:r>
      <w:r>
        <w:rPr>
          <w:rFonts w:ascii="Arial" w:hAnsi="Arial" w:eastAsia="Arial" w:cs="Arial"/>
          <w:sz w:val="15"/>
          <w:szCs w:val="15"/>
          <w:color w:val="auto"/>
        </w:rPr>
        <w:t xml:space="preserve"> (un conjunto de datos adversarios generado a partir de NSL-KDD Test</w:t>
      </w:r>
      <w:r>
        <w:rPr>
          <w:rFonts w:ascii="Arial" w:hAnsi="Arial" w:eastAsia="Arial" w:cs="Arial"/>
          <w:sz w:val="22"/>
          <w:szCs w:val="22"/>
          <w:color w:val="auto"/>
          <w:vertAlign w:val="superscript"/>
        </w:rPr>
        <w:t xml:space="preserve">+</w:t>
      </w:r>
      <w:r>
        <w:rPr>
          <w:rFonts w:ascii="Arial" w:hAnsi="Arial" w:eastAsia="Arial" w:cs="Arial"/>
          <w:sz w:val="15"/>
          <w:szCs w:val="15"/>
          <w:color w:val="auto"/>
        </w:rPr>
        <w:t xml:space="preserve"> y otro generado a partir de UNSW_NB15_testing-set). El rendimiento de los clasificadores se evalúa en los siguientes escenarios:</w:t>
      </w:r>
    </w:p>
    <w:p>
      <w:pPr>
        <w:spacing w:after="0" w:line="2" w:lineRule="exact"/>
        <w:rPr>
          <w:rFonts w:ascii="Arial" w:hAnsi="Arial" w:eastAsia="Arial" w:cs="Arial"/>
          <w:sz w:val="8"/>
          <w:szCs w:val="8"/>
          <w:color w:val="auto"/>
        </w:rPr>
      </w:pPr>
    </w:p>
    <w:p>
      <w:pPr>
        <w:ind w:start="400" w:hanging="137"/>
        <w:spacing w:after="0"/>
        <w:tabs>
          <w:tab w:val="left" w:leader="none" w:pos="400"/>
        </w:tabs>
        <w:numPr>
          <w:ilvl w:val="0"/>
          <w:numId w:val="15"/>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Hipótesis 1: medición de los resultados en la hipótesis de referencia</w:t>
      </w:r>
    </w:p>
    <w:p>
      <w:pPr>
        <w:spacing w:after="0" w:line="230" w:lineRule="exact"/>
        <w:rPr>
          <w:rFonts w:ascii="Arial" w:hAnsi="Arial" w:eastAsia="Arial" w:cs="Arial"/>
          <w:sz w:val="16"/>
          <w:szCs w:val="16"/>
          <w:b w:val="1"/>
          <w:bCs w:val="1"/>
          <w:color w:val="auto"/>
        </w:rPr>
      </w:pPr>
    </w:p>
    <w:p>
      <w:pPr>
        <w:ind w:start="620"/>
        <w:spacing w:after="0" w:line="239" w:lineRule="auto"/>
        <w:rPr>
          <w:rFonts w:ascii="Arial" w:hAnsi="Arial" w:eastAsia="Arial" w:cs="Arial"/>
          <w:sz w:val="16"/>
          <w:szCs w:val="16"/>
          <w:b w:val="1"/>
          <w:bCs w:val="1"/>
          <w:color w:val="auto"/>
        </w:rPr>
      </w:pPr>
      <w:r>
        <w:rPr>
          <w:rFonts w:ascii="Arial" w:hAnsi="Arial" w:eastAsia="Arial" w:cs="Arial"/>
          <w:sz w:val="16"/>
          <w:szCs w:val="16"/>
          <w:b w:val="1"/>
          <w:bCs w:val="1"/>
          <w:color w:val="auto"/>
        </w:rPr>
        <w:t xml:space="preserve">- Tren: </w:t>
      </w:r>
      <w:r>
        <w:rPr>
          <w:rFonts w:ascii="Arial" w:hAnsi="Arial" w:eastAsia="Arial" w:cs="Arial"/>
          <w:sz w:val="16"/>
          <w:szCs w:val="16"/>
          <w:color w:val="auto"/>
        </w:rPr>
        <w:t xml:space="preserve">NSL-KDD Tren</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 UNSW_NB15_training-set</w:t>
      </w:r>
    </w:p>
    <w:p>
      <w:pPr>
        <w:ind w:start="620"/>
        <w:spacing w:after="0"/>
        <w:rPr>
          <w:rFonts w:ascii="Arial" w:hAnsi="Arial" w:eastAsia="Arial" w:cs="Arial"/>
          <w:sz w:val="16"/>
          <w:szCs w:val="16"/>
          <w:b w:val="1"/>
          <w:bCs w:val="1"/>
          <w:color w:val="auto"/>
        </w:rPr>
      </w:pPr>
      <w:r>
        <w:rPr>
          <w:rFonts w:ascii="Arial" w:hAnsi="Arial" w:eastAsia="Arial" w:cs="Arial"/>
          <w:sz w:val="16"/>
          <w:szCs w:val="16"/>
          <w:b w:val="1"/>
          <w:bCs w:val="1"/>
          <w:color w:val="auto"/>
        </w:rPr>
        <w:t xml:space="preserve">- Test: </w:t>
      </w:r>
      <w:r>
        <w:rPr>
          <w:rFonts w:ascii="Arial" w:hAnsi="Arial" w:eastAsia="Arial" w:cs="Arial"/>
          <w:sz w:val="16"/>
          <w:szCs w:val="16"/>
          <w:color w:val="auto"/>
        </w:rPr>
        <w:t xml:space="preserve">Prueba NSL-KDD</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 UNSW_NB15_testing-set</w:t>
      </w:r>
    </w:p>
    <w:p>
      <w:pPr>
        <w:spacing w:after="0" w:line="22" w:lineRule="exact"/>
        <w:rPr>
          <w:rFonts w:ascii="Arial" w:hAnsi="Arial" w:eastAsia="Arial" w:cs="Arial"/>
          <w:sz w:val="16"/>
          <w:szCs w:val="16"/>
          <w:b w:val="1"/>
          <w:bCs w:val="1"/>
          <w:color w:val="auto"/>
        </w:rPr>
      </w:pPr>
    </w:p>
    <w:p>
      <w:pPr>
        <w:ind w:start="400" w:hanging="137"/>
        <w:spacing w:after="0"/>
        <w:tabs>
          <w:tab w:val="left" w:leader="none" w:pos="400"/>
        </w:tabs>
        <w:numPr>
          <w:ilvl w:val="0"/>
          <w:numId w:val="15"/>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Escenario 2: medir el rendimiento en un entorno adverso</w:t>
      </w:r>
    </w:p>
    <w:p>
      <w:pPr>
        <w:spacing w:after="0" w:line="151" w:lineRule="exact"/>
        <w:rPr>
          <w:rFonts w:ascii="Arial" w:hAnsi="Arial" w:eastAsia="Arial" w:cs="Arial"/>
          <w:sz w:val="16"/>
          <w:szCs w:val="16"/>
          <w:b w:val="1"/>
          <w:bCs w:val="1"/>
          <w:color w:val="auto"/>
        </w:rPr>
      </w:pPr>
    </w:p>
    <w:p>
      <w:pPr>
        <w:ind w:start="620"/>
        <w:spacing w:after="0" w:line="239" w:lineRule="auto"/>
        <w:rPr>
          <w:rFonts w:ascii="Arial" w:hAnsi="Arial" w:eastAsia="Arial" w:cs="Arial"/>
          <w:sz w:val="16"/>
          <w:szCs w:val="16"/>
          <w:b w:val="1"/>
          <w:bCs w:val="1"/>
          <w:color w:val="auto"/>
        </w:rPr>
      </w:pPr>
      <w:r>
        <w:rPr>
          <w:rFonts w:ascii="Arial" w:hAnsi="Arial" w:eastAsia="Arial" w:cs="Arial"/>
          <w:sz w:val="16"/>
          <w:szCs w:val="16"/>
          <w:b w:val="1"/>
          <w:bCs w:val="1"/>
          <w:color w:val="auto"/>
        </w:rPr>
        <w:t xml:space="preserve">- Tren</w:t>
      </w:r>
      <w:r>
        <w:rPr>
          <w:rFonts w:ascii="Arial" w:hAnsi="Arial" w:eastAsia="Arial" w:cs="Arial"/>
          <w:sz w:val="16"/>
          <w:szCs w:val="16"/>
          <w:color w:val="auto"/>
        </w:rPr>
        <w:t xml:space="preserve">: </w:t>
      </w:r>
      <w:r>
        <w:rPr>
          <w:rFonts w:ascii="Arial" w:hAnsi="Arial" w:eastAsia="Arial" w:cs="Arial"/>
          <w:sz w:val="16"/>
          <w:szCs w:val="16"/>
          <w:color w:val="auto"/>
        </w:rPr>
        <w:t xml:space="preserve">NSL-KDD Tren</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 UNSW_NB15_training-set</w:t>
      </w:r>
    </w:p>
    <w:p>
      <w:pPr>
        <w:ind w:start="620"/>
        <w:spacing w:after="0"/>
        <w:rPr>
          <w:rFonts w:ascii="Arial" w:hAnsi="Arial" w:eastAsia="Arial" w:cs="Arial"/>
          <w:sz w:val="16"/>
          <w:szCs w:val="16"/>
          <w:b w:val="1"/>
          <w:bCs w:val="1"/>
          <w:color w:val="auto"/>
        </w:rPr>
      </w:pPr>
      <w:r>
        <w:rPr>
          <w:rFonts w:ascii="Arial" w:hAnsi="Arial" w:eastAsia="Arial" w:cs="Arial"/>
          <w:sz w:val="16"/>
          <w:szCs w:val="16"/>
          <w:b w:val="1"/>
          <w:bCs w:val="1"/>
          <w:color w:val="auto"/>
        </w:rPr>
        <w:t xml:space="preserve">- Test:</w:t>
      </w:r>
      <w:r>
        <w:rPr>
          <w:rFonts w:ascii="Arial" w:hAnsi="Arial" w:eastAsia="Arial" w:cs="Arial"/>
          <w:sz w:val="16"/>
          <w:szCs w:val="16"/>
          <w:color w:val="auto"/>
        </w:rPr>
        <w:t xml:space="preserve"> Conjuntos de datos adversarios</w:t>
      </w:r>
    </w:p>
    <w:p>
      <w:pPr>
        <w:spacing w:after="0" w:line="20" w:lineRule="exact"/>
        <w:rPr>
          <w:rFonts w:ascii="Arial" w:hAnsi="Arial" w:eastAsia="Arial" w:cs="Arial"/>
          <w:sz w:val="8"/>
          <w:szCs w:val="8"/>
          <w:color w:val="auto"/>
        </w:rPr>
      </w:pPr>
      <w:r>
        <w:rPr>
          <w:rFonts w:ascii="Arial" w:hAnsi="Arial" w:eastAsia="Arial" w:cs="Arial"/>
          <w:sz w:val="8"/>
          <w:szCs w:val="8"/>
          <w:color w:val="auto"/>
        </w:rPr>
        <w:br w:type="column"/>
      </w:r>
    </w:p>
    <w:p>
      <w:pPr>
        <w:spacing w:after="0" w:line="299" w:lineRule="exact"/>
        <w:rPr>
          <w:rFonts w:ascii="Arial" w:hAnsi="Arial" w:eastAsia="Arial" w:cs="Arial"/>
          <w:sz w:val="8"/>
          <w:szCs w:val="8"/>
          <w:color w:val="auto"/>
        </w:rPr>
      </w:pPr>
    </w:p>
    <w:p>
      <w:pPr>
        <w:jc w:val="both"/>
        <w:spacing w:after="0" w:line="410" w:lineRule="auto"/>
        <w:rPr>
          <w:sz w:val="20"/>
          <w:szCs w:val="20"/>
          <w:color w:val="auto"/>
        </w:rPr>
      </w:pPr>
      <w:r>
        <w:rPr>
          <w:rFonts w:ascii="Arial" w:hAnsi="Arial" w:eastAsia="Arial" w:cs="Arial"/>
          <w:sz w:val="16"/>
          <w:szCs w:val="16"/>
          <w:color w:val="auto"/>
        </w:rPr>
        <w:t xml:space="preserve">Las primeras sub-tablas de </w:t>
      </w:r>
      <w:r>
        <w:rPr>
          <w:rFonts w:ascii="Arial" w:hAnsi="Arial" w:eastAsia="Arial" w:cs="Arial"/>
          <w:sz w:val="16"/>
          <w:szCs w:val="16"/>
          <w:color w:val="0080AC"/>
        </w:rPr>
        <w:t xml:space="preserve">las Tablas 4 </w:t>
      </w:r>
      <w:r>
        <w:rPr>
          <w:rFonts w:ascii="Arial" w:hAnsi="Arial" w:eastAsia="Arial" w:cs="Arial"/>
          <w:sz w:val="16"/>
          <w:szCs w:val="16"/>
          <w:color w:val="auto"/>
        </w:rPr>
        <w:t xml:space="preserve">y </w:t>
      </w:r>
      <w:r>
        <w:rPr>
          <w:rFonts w:ascii="Arial" w:hAnsi="Arial" w:eastAsia="Arial" w:cs="Arial"/>
          <w:sz w:val="16"/>
          <w:szCs w:val="16"/>
          <w:color w:val="0080AC"/>
        </w:rPr>
        <w:t xml:space="preserve">5 </w:t>
      </w:r>
      <w:r>
        <w:rPr>
          <w:rFonts w:ascii="Arial" w:hAnsi="Arial" w:eastAsia="Arial" w:cs="Arial"/>
          <w:sz w:val="16"/>
          <w:szCs w:val="16"/>
          <w:color w:val="auto"/>
        </w:rPr>
        <w:t xml:space="preserve">del apéndice muestran los resultados de la </w:t>
      </w:r>
      <w:r>
        <w:rPr>
          <w:rFonts w:ascii="Arial" w:hAnsi="Arial" w:eastAsia="Arial" w:cs="Arial"/>
          <w:sz w:val="16"/>
          <w:szCs w:val="16"/>
          <w:i w:val="1"/>
          <w:iCs w:val="1"/>
          <w:color w:val="auto"/>
        </w:rPr>
        <w:t xml:space="preserve">precisión, </w:t>
      </w:r>
      <w:r>
        <w:rPr>
          <w:rFonts w:ascii="Arial" w:hAnsi="Arial" w:eastAsia="Arial" w:cs="Arial"/>
          <w:sz w:val="16"/>
          <w:szCs w:val="16"/>
          <w:color w:val="auto"/>
        </w:rPr>
        <w:t xml:space="preserve">mientras que las segundas sub-tablas muestran los resultados de la </w:t>
      </w:r>
      <w:r>
        <w:rPr>
          <w:rFonts w:ascii="Arial" w:hAnsi="Arial" w:eastAsia="Arial" w:cs="Arial"/>
          <w:sz w:val="16"/>
          <w:szCs w:val="16"/>
          <w:i w:val="1"/>
          <w:iCs w:val="1"/>
          <w:color w:val="auto"/>
        </w:rPr>
        <w:t xml:space="preserve">Tasa de Falsos Negativos</w:t>
      </w:r>
      <w:r>
        <w:rPr>
          <w:rFonts w:ascii="Arial" w:hAnsi="Arial" w:eastAsia="Arial" w:cs="Arial"/>
          <w:sz w:val="16"/>
          <w:szCs w:val="16"/>
          <w:color w:val="auto"/>
        </w:rPr>
        <w:t xml:space="preserve">.</w:t>
      </w:r>
    </w:p>
    <w:p>
      <w:pPr>
        <w:spacing w:after="0" w:line="1" w:lineRule="exact"/>
        <w:rPr>
          <w:rFonts w:ascii="Arial" w:hAnsi="Arial" w:eastAsia="Arial" w:cs="Arial"/>
          <w:sz w:val="8"/>
          <w:szCs w:val="8"/>
          <w:color w:val="auto"/>
        </w:rPr>
      </w:pPr>
    </w:p>
    <w:p>
      <w:pPr>
        <w:jc w:val="both"/>
        <w:ind w:firstLine="239"/>
        <w:spacing w:after="0" w:line="321" w:lineRule="auto"/>
        <w:rPr>
          <w:sz w:val="20"/>
          <w:szCs w:val="20"/>
          <w:color w:val="auto"/>
        </w:rPr>
      </w:pPr>
      <w:r>
        <w:rPr>
          <w:rFonts w:ascii="Arial" w:hAnsi="Arial" w:eastAsia="Arial" w:cs="Arial"/>
          <w:sz w:val="16"/>
          <w:szCs w:val="16"/>
          <w:color w:val="auto"/>
        </w:rPr>
        <w:t xml:space="preserve">Para cada tabla, la primera fila muestra los resultados del primer escenario, mientras que las demás filas ilustran los resultados del segundo escenario. La diferencia de rendimiento entre el escenario base y el adversario se resalta </w:t>
      </w:r>
      <w:r>
        <w:rPr>
          <w:rFonts w:ascii="Arial" w:hAnsi="Arial" w:eastAsia="Arial" w:cs="Arial"/>
          <w:sz w:val="16"/>
          <w:szCs w:val="16"/>
          <w:b w:val="1"/>
          <w:bCs w:val="1"/>
          <w:color w:val="auto"/>
        </w:rPr>
        <w:t xml:space="preserve">en rojo </w:t>
      </w:r>
      <w:r>
        <w:rPr>
          <w:rFonts w:ascii="Arial" w:hAnsi="Arial" w:eastAsia="Arial" w:cs="Arial"/>
          <w:sz w:val="16"/>
          <w:szCs w:val="16"/>
          <w:color w:val="auto"/>
        </w:rPr>
        <w:t xml:space="preserve">para el aumento y en </w:t>
      </w:r>
      <w:r>
        <w:rPr>
          <w:rFonts w:ascii="Arial" w:hAnsi="Arial" w:eastAsia="Arial" w:cs="Arial"/>
          <w:sz w:val="16"/>
          <w:szCs w:val="16"/>
          <w:b w:val="1"/>
          <w:bCs w:val="1"/>
          <w:color w:val="auto"/>
        </w:rPr>
        <w:t xml:space="preserve">amarillo </w:t>
      </w:r>
      <w:r>
        <w:rPr>
          <w:rFonts w:ascii="Arial" w:hAnsi="Arial" w:eastAsia="Arial" w:cs="Arial"/>
          <w:sz w:val="16"/>
          <w:szCs w:val="16"/>
          <w:color w:val="auto"/>
        </w:rPr>
        <w:t xml:space="preserve">para la disminución, para cada clasificador. Por ejemplo, si la precisión de un clasificador es del 50% en el escenario base, si su rendimiento disminuye al 47% en el escenario adverso, el 3% se resalta en amarillo, si su rendimiento aumenta al 55% en el escenario adverso, el 5% se resalta en rojo.</w:t>
      </w:r>
    </w:p>
    <w:p>
      <w:pPr>
        <w:spacing w:after="0" w:line="89" w:lineRule="exact"/>
        <w:rPr>
          <w:rFonts w:ascii="Arial" w:hAnsi="Arial" w:eastAsia="Arial" w:cs="Arial"/>
          <w:sz w:val="8"/>
          <w:szCs w:val="8"/>
          <w:color w:val="auto"/>
        </w:rPr>
      </w:pPr>
    </w:p>
    <w:p>
      <w:pPr>
        <w:spacing w:after="0"/>
        <w:rPr>
          <w:sz w:val="20"/>
          <w:szCs w:val="20"/>
          <w:color w:val="auto"/>
        </w:rPr>
      </w:pPr>
      <w:r>
        <w:rPr>
          <w:rFonts w:ascii="Arial" w:hAnsi="Arial" w:eastAsia="Arial" w:cs="Arial"/>
          <w:sz w:val="16"/>
          <w:szCs w:val="16"/>
          <w:i w:val="1"/>
          <w:iCs w:val="1"/>
          <w:color w:val="auto"/>
        </w:rPr>
        <w:t xml:space="preserve">4.4.2. </w:t>
      </w:r>
      <w:r>
        <w:rPr>
          <w:rFonts w:ascii="Arial" w:hAnsi="Arial" w:eastAsia="Arial" w:cs="Arial"/>
          <w:sz w:val="16"/>
          <w:szCs w:val="16"/>
          <w:b w:val="1"/>
          <w:bCs w:val="1"/>
          <w:i w:val="1"/>
          <w:iCs w:val="1"/>
          <w:color w:val="auto"/>
        </w:rPr>
        <w:t xml:space="preserve">Aplicación de técnicas de defensa</w:t>
      </w:r>
    </w:p>
    <w:p>
      <w:pPr>
        <w:spacing w:after="0" w:line="395" w:lineRule="exact"/>
        <w:rPr>
          <w:rFonts w:ascii="Arial" w:hAnsi="Arial" w:eastAsia="Arial" w:cs="Arial"/>
          <w:sz w:val="8"/>
          <w:szCs w:val="8"/>
          <w:color w:val="auto"/>
        </w:rPr>
      </w:pPr>
    </w:p>
    <w:p>
      <w:pPr>
        <w:jc w:val="both"/>
        <w:ind w:firstLine="239"/>
        <w:spacing w:after="0" w:line="286" w:lineRule="auto"/>
        <w:rPr>
          <w:sz w:val="20"/>
          <w:szCs w:val="20"/>
          <w:color w:val="auto"/>
        </w:rPr>
      </w:pPr>
      <w:r>
        <w:rPr>
          <w:rFonts w:ascii="Arial" w:hAnsi="Arial" w:eastAsia="Arial" w:cs="Arial"/>
          <w:sz w:val="16"/>
          <w:szCs w:val="16"/>
          <w:color w:val="auto"/>
        </w:rPr>
        <w:t xml:space="preserve">En este escenario (ver </w:t>
      </w:r>
      <w:r>
        <w:rPr>
          <w:rFonts w:ascii="Arial" w:hAnsi="Arial" w:eastAsia="Arial" w:cs="Arial"/>
          <w:sz w:val="16"/>
          <w:szCs w:val="16"/>
          <w:color w:val="0080AC"/>
        </w:rPr>
        <w:t xml:space="preserve">Fig. 4(b))</w:t>
      </w:r>
      <w:r>
        <w:rPr>
          <w:rFonts w:ascii="Arial" w:hAnsi="Arial" w:eastAsia="Arial" w:cs="Arial"/>
          <w:sz w:val="16"/>
          <w:szCs w:val="16"/>
          <w:color w:val="auto"/>
        </w:rPr>
        <w:t xml:space="preserve">, medimos la contribución del aumento de datos gaussianos a la mejora de la robustez de los clasificadores NIDS. Por lo tanto, se generan dos nuevos conjuntos de datos denominados ''conjuntos de datos aumentados'' aplicando el aumento de datos gaussiano en KDD Train</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y UNSW_NB15_training-set. A continuación, se evalúa el rendimiento de los clasificadores en los dos escenarios siguientes:</w:t>
      </w:r>
    </w:p>
    <w:p>
      <w:pPr>
        <w:spacing w:after="0" w:line="1" w:lineRule="exact"/>
        <w:rPr>
          <w:rFonts w:ascii="Arial" w:hAnsi="Arial" w:eastAsia="Arial" w:cs="Arial"/>
          <w:sz w:val="8"/>
          <w:szCs w:val="8"/>
          <w:color w:val="auto"/>
        </w:rPr>
      </w:pPr>
    </w:p>
    <w:p>
      <w:pPr>
        <w:ind w:start="400" w:hanging="137"/>
        <w:spacing w:after="0"/>
        <w:tabs>
          <w:tab w:val="left" w:leader="none" w:pos="400"/>
        </w:tabs>
        <w:numPr>
          <w:ilvl w:val="0"/>
          <w:numId w:val="16"/>
        </w:numPr>
        <w:rPr>
          <w:rFonts w:ascii="Arial" w:hAnsi="Arial" w:eastAsia="Arial" w:cs="Arial"/>
          <w:sz w:val="15"/>
          <w:szCs w:val="15"/>
          <w:b w:val="1"/>
          <w:bCs w:val="1"/>
          <w:color w:val="auto"/>
        </w:rPr>
      </w:pPr>
      <w:r>
        <w:rPr>
          <w:rFonts w:ascii="Arial" w:hAnsi="Arial" w:eastAsia="Arial" w:cs="Arial"/>
          <w:sz w:val="15"/>
          <w:szCs w:val="15"/>
          <w:i w:val="1"/>
          <w:iCs w:val="1"/>
          <w:color w:val="auto"/>
        </w:rPr>
        <w:t xml:space="preserve">Escenario 3: medir el rendimiento en un entorno no adversarial</w:t>
      </w:r>
    </w:p>
    <w:p>
      <w:pPr>
        <w:spacing w:after="0" w:line="187" w:lineRule="exact"/>
        <w:rPr>
          <w:rFonts w:ascii="Arial" w:hAnsi="Arial" w:eastAsia="Arial" w:cs="Arial"/>
          <w:sz w:val="15"/>
          <w:szCs w:val="15"/>
          <w:b w:val="1"/>
          <w:bCs w:val="1"/>
          <w:color w:val="auto"/>
        </w:rPr>
      </w:pPr>
    </w:p>
    <w:p>
      <w:pPr>
        <w:ind w:start="400"/>
        <w:spacing w:after="0" w:line="239" w:lineRule="auto"/>
        <w:rPr>
          <w:rFonts w:ascii="Arial" w:hAnsi="Arial" w:eastAsia="Arial" w:cs="Arial"/>
          <w:sz w:val="15"/>
          <w:szCs w:val="15"/>
          <w:b w:val="1"/>
          <w:bCs w:val="1"/>
          <w:color w:val="auto"/>
        </w:rPr>
      </w:pPr>
      <w:r>
        <w:rPr>
          <w:rFonts w:ascii="Arial" w:hAnsi="Arial" w:eastAsia="Arial" w:cs="Arial"/>
          <w:sz w:val="16"/>
          <w:szCs w:val="16"/>
          <w:i w:val="1"/>
          <w:iCs w:val="1"/>
          <w:color w:val="auto"/>
        </w:rPr>
        <w:t xml:space="preserve">con entrenamiento en datos aumentados </w:t>
      </w:r>
      <w:r>
        <w:rPr>
          <w:rFonts w:ascii="Arial" w:hAnsi="Arial" w:eastAsia="Arial" w:cs="Arial"/>
          <w:sz w:val="16"/>
          <w:szCs w:val="16"/>
          <w:b w:val="1"/>
          <w:bCs w:val="1"/>
          <w:color w:val="auto"/>
        </w:rPr>
        <w:t xml:space="preserve">Train: </w:t>
      </w:r>
      <w:r>
        <w:rPr>
          <w:rFonts w:ascii="Arial" w:hAnsi="Arial" w:eastAsia="Arial" w:cs="Arial"/>
          <w:sz w:val="16"/>
          <w:szCs w:val="16"/>
          <w:color w:val="auto"/>
        </w:rPr>
        <w:t xml:space="preserve">Conjuntos de datos aumentados, Test</w:t>
      </w:r>
      <w:r>
        <w:rPr>
          <w:rFonts w:ascii="Arial" w:hAnsi="Arial" w:eastAsia="Arial" w:cs="Arial"/>
          <w:sz w:val="16"/>
          <w:szCs w:val="16"/>
          <w:b w:val="1"/>
          <w:bCs w:val="1"/>
          <w:color w:val="auto"/>
        </w:rPr>
        <w:t xml:space="preserve">: </w:t>
      </w:r>
      <w:r>
        <w:rPr>
          <w:rFonts w:ascii="Arial" w:hAnsi="Arial" w:eastAsia="Arial" w:cs="Arial"/>
          <w:sz w:val="16"/>
          <w:szCs w:val="16"/>
          <w:color w:val="auto"/>
        </w:rPr>
        <w:t xml:space="preserve">Prueba NSL-KDD</w:t>
      </w:r>
      <w:r>
        <w:rPr>
          <w:rFonts w:ascii="Arial" w:hAnsi="Arial" w:eastAsia="Arial" w:cs="Arial"/>
          <w:sz w:val="23"/>
          <w:szCs w:val="23"/>
          <w:color w:val="auto"/>
          <w:vertAlign w:val="superscript"/>
        </w:rPr>
        <w:t xml:space="preserve">+</w:t>
      </w:r>
      <w:r>
        <w:rPr>
          <w:rFonts w:ascii="Arial" w:hAnsi="Arial" w:eastAsia="Arial" w:cs="Arial"/>
          <w:sz w:val="16"/>
          <w:szCs w:val="16"/>
          <w:color w:val="auto"/>
        </w:rPr>
        <w:t xml:space="preserve"> / UNSW_NB15_testing-set</w:t>
      </w:r>
    </w:p>
    <w:p>
      <w:pPr>
        <w:spacing w:after="0" w:line="1" w:lineRule="exact"/>
        <w:rPr>
          <w:rFonts w:ascii="Arial" w:hAnsi="Arial" w:eastAsia="Arial" w:cs="Arial"/>
          <w:sz w:val="15"/>
          <w:szCs w:val="15"/>
          <w:b w:val="1"/>
          <w:bCs w:val="1"/>
          <w:color w:val="auto"/>
        </w:rPr>
      </w:pPr>
    </w:p>
    <w:p>
      <w:pPr>
        <w:ind w:start="400" w:hanging="137"/>
        <w:spacing w:after="0"/>
        <w:tabs>
          <w:tab w:val="left" w:leader="none" w:pos="400"/>
        </w:tabs>
        <w:numPr>
          <w:ilvl w:val="0"/>
          <w:numId w:val="16"/>
        </w:numPr>
        <w:rPr>
          <w:rFonts w:ascii="Arial" w:hAnsi="Arial" w:eastAsia="Arial" w:cs="Arial"/>
          <w:sz w:val="15"/>
          <w:szCs w:val="15"/>
          <w:b w:val="1"/>
          <w:bCs w:val="1"/>
          <w:color w:val="auto"/>
        </w:rPr>
      </w:pPr>
      <w:r>
        <w:rPr>
          <w:rFonts w:ascii="Arial" w:hAnsi="Arial" w:eastAsia="Arial" w:cs="Arial"/>
          <w:sz w:val="15"/>
          <w:szCs w:val="15"/>
          <w:i w:val="1"/>
          <w:iCs w:val="1"/>
          <w:color w:val="auto"/>
        </w:rPr>
        <w:t xml:space="preserve">Escenario 4: medición del impacto de las técnicas de defensa en adver-</w:t>
      </w:r>
    </w:p>
    <w:p>
      <w:pPr>
        <w:spacing w:after="0" w:line="59" w:lineRule="exact"/>
        <w:rPr>
          <w:rFonts w:ascii="Arial" w:hAnsi="Arial" w:eastAsia="Arial" w:cs="Arial"/>
          <w:sz w:val="15"/>
          <w:szCs w:val="15"/>
          <w:b w:val="1"/>
          <w:bCs w:val="1"/>
          <w:color w:val="auto"/>
        </w:rPr>
      </w:pPr>
    </w:p>
    <w:p>
      <w:pPr>
        <w:ind w:start="400"/>
        <w:spacing w:after="0" w:line="338" w:lineRule="auto"/>
        <w:rPr>
          <w:rFonts w:ascii="Arial" w:hAnsi="Arial" w:eastAsia="Arial" w:cs="Arial"/>
          <w:sz w:val="15"/>
          <w:szCs w:val="15"/>
          <w:b w:val="1"/>
          <w:bCs w:val="1"/>
          <w:color w:val="auto"/>
        </w:rPr>
      </w:pPr>
      <w:r>
        <w:rPr>
          <w:rFonts w:ascii="Arial" w:hAnsi="Arial" w:eastAsia="Arial" w:cs="Arial"/>
          <w:sz w:val="16"/>
          <w:szCs w:val="16"/>
          <w:i w:val="1"/>
          <w:iCs w:val="1"/>
          <w:color w:val="auto"/>
        </w:rPr>
        <w:t xml:space="preserve">sarial </w:t>
      </w:r>
      <w:r>
        <w:rPr>
          <w:rFonts w:ascii="Arial" w:hAnsi="Arial" w:eastAsia="Arial" w:cs="Arial"/>
          <w:sz w:val="16"/>
          <w:szCs w:val="16"/>
          <w:b w:val="1"/>
          <w:bCs w:val="1"/>
          <w:color w:val="auto"/>
        </w:rPr>
        <w:t xml:space="preserve">Train: </w:t>
      </w:r>
      <w:r>
        <w:rPr>
          <w:rFonts w:ascii="Arial" w:hAnsi="Arial" w:eastAsia="Arial" w:cs="Arial"/>
          <w:sz w:val="16"/>
          <w:szCs w:val="16"/>
          <w:color w:val="auto"/>
        </w:rPr>
        <w:t xml:space="preserve">Conjuntos de datos aumentados, </w:t>
      </w:r>
      <w:r>
        <w:rPr>
          <w:rFonts w:ascii="Arial" w:hAnsi="Arial" w:eastAsia="Arial" w:cs="Arial"/>
          <w:sz w:val="16"/>
          <w:szCs w:val="16"/>
          <w:b w:val="1"/>
          <w:bCs w:val="1"/>
          <w:color w:val="auto"/>
        </w:rPr>
        <w:t xml:space="preserve">Test:</w:t>
      </w:r>
      <w:r>
        <w:rPr>
          <w:rFonts w:ascii="Arial" w:hAnsi="Arial" w:eastAsia="Arial" w:cs="Arial"/>
          <w:sz w:val="16"/>
          <w:szCs w:val="16"/>
          <w:color w:val="auto"/>
        </w:rPr>
        <w:t xml:space="preserve"> Conjuntos de datos adversarios</w:t>
      </w:r>
    </w:p>
    <w:p>
      <w:pPr>
        <w:jc w:val="both"/>
        <w:spacing w:after="0" w:line="387" w:lineRule="auto"/>
        <w:rPr>
          <w:sz w:val="20"/>
          <w:szCs w:val="20"/>
          <w:color w:val="auto"/>
        </w:rPr>
      </w:pPr>
      <w:r>
        <w:rPr>
          <w:rFonts w:ascii="Arial" w:hAnsi="Arial" w:eastAsia="Arial" w:cs="Arial"/>
          <w:sz w:val="16"/>
          <w:szCs w:val="16"/>
          <w:color w:val="auto"/>
        </w:rPr>
        <w:t xml:space="preserve">Los resultados obtenidos se describen en la tercera y cuarta subtablas de </w:t>
      </w:r>
      <w:r>
        <w:rPr>
          <w:rFonts w:ascii="Arial" w:hAnsi="Arial" w:eastAsia="Arial" w:cs="Arial"/>
          <w:sz w:val="16"/>
          <w:szCs w:val="16"/>
          <w:color w:val="0080AC"/>
        </w:rPr>
        <w:t xml:space="preserve">las Tablas 4 </w:t>
      </w:r>
      <w:r>
        <w:rPr>
          <w:rFonts w:ascii="Arial" w:hAnsi="Arial" w:eastAsia="Arial" w:cs="Arial"/>
          <w:sz w:val="16"/>
          <w:szCs w:val="16"/>
          <w:color w:val="000000"/>
        </w:rPr>
        <w:t xml:space="preserve">y </w:t>
      </w:r>
      <w:r>
        <w:rPr>
          <w:rFonts w:ascii="Arial" w:hAnsi="Arial" w:eastAsia="Arial" w:cs="Arial"/>
          <w:sz w:val="16"/>
          <w:szCs w:val="16"/>
          <w:color w:val="0080AC"/>
        </w:rPr>
        <w:t xml:space="preserve">5</w:t>
      </w:r>
      <w:r>
        <w:rPr>
          <w:rFonts w:ascii="Arial" w:hAnsi="Arial" w:eastAsia="Arial" w:cs="Arial"/>
          <w:sz w:val="16"/>
          <w:szCs w:val="16"/>
          <w:color w:val="000000"/>
        </w:rPr>
        <w:t xml:space="preserve">, para la precisión y el FNR respectivamente. Para cada subtabla, </w:t>
      </w:r>
      <w:r>
        <w:rPr>
          <w:rFonts w:ascii="Arial" w:hAnsi="Arial" w:eastAsia="Arial" w:cs="Arial"/>
          <w:sz w:val="16"/>
          <w:szCs w:val="16"/>
          <w:color w:val="000000"/>
        </w:rPr>
        <w:t xml:space="preserve">la primera fila muestra los resultados del escenario 3, y las demás filas ilustran los resultados del escenario 4.</w:t>
      </w:r>
    </w:p>
    <w:p>
      <w:pPr>
        <w:spacing w:after="0" w:line="3" w:lineRule="exact"/>
        <w:rPr>
          <w:rFonts w:ascii="Arial" w:hAnsi="Arial" w:eastAsia="Arial" w:cs="Arial"/>
          <w:sz w:val="8"/>
          <w:szCs w:val="8"/>
          <w:color w:val="auto"/>
        </w:rPr>
      </w:pPr>
    </w:p>
    <w:p>
      <w:pPr>
        <w:sectPr>
          <w:pgSz w:w="11900" w:h="15874" w:orient="portrait"/>
          <w:cols w:equalWidth="0" w:num="2">
            <w:col w:w="5020" w:space="360"/>
            <w:col w:w="5020"/>
          </w:cols>
          <w:pgMar w:top="492" w:right="746" w:bottom="85" w:left="760" w:header="0" w:footer="0" w:gutter="0"/>
          <w:type w:val="continuous"/>
        </w:sectPr>
      </w:pPr>
    </w:p>
    <w:p>
      <w:pPr>
        <w:jc w:val="center"/>
        <w:spacing w:after="0"/>
        <w:rPr>
          <w:sz w:val="20"/>
          <w:szCs w:val="20"/>
          <w:color w:val="auto"/>
        </w:rPr>
      </w:pPr>
      <w:r>
        <w:rPr>
          <w:rFonts w:ascii="Arial" w:hAnsi="Arial" w:eastAsia="Arial" w:cs="Arial"/>
          <w:sz w:val="13"/>
          <w:szCs w:val="13"/>
          <w:color w:val="auto"/>
        </w:rPr>
        <w:t xml:space="preserve">7</w:t>
      </w:r>
    </w:p>
    <w:p>
      <w:pPr>
        <w:sectPr>
          <w:pgSz w:w="11900" w:h="15874" w:orient="portrait"/>
          <w:cols w:equalWidth="0" w:num="1">
            <w:col w:w="10400"/>
          </w:cols>
          <w:pgMar w:top="492" w:right="746" w:bottom="85" w:left="760" w:header="0" w:footer="0" w:gutter="0"/>
          <w:type w:val="continuous"/>
        </w:sectPr>
      </w:pPr>
    </w:p>
    <w:bookmarkStart w:name="page8" w:id="7"/>
    <w:bookmarkEnd w:id="7"/>
    <w:p>
      <w:pPr>
        <w:spacing w:after="0"/>
        <w:tabs>
          <w:tab w:val="left" w:leader="none" w:pos="8200"/>
        </w:tabs>
        <w:rPr>
          <w:sz w:val="20"/>
          <w:szCs w:val="20"/>
          <w:color w:val="auto"/>
        </w:rPr>
      </w:pPr>
      <w:r>
        <w:rPr>
          <w:rFonts w:ascii="Arial" w:hAnsi="Arial" w:eastAsia="Arial" w:cs="Arial"/>
          <w:sz w:val="13"/>
          <w:szCs w:val="13"/>
          <w:i w:val="1"/>
          <w:iCs w:val="1"/>
          <w:color w:val="auto"/>
        </w:rPr>
        <w:t xml:space="preserve">H. Jmila y M.I. Khedher</w:t>
      </w:r>
      <w:r>
        <w:rPr>
          <w:sz w:val="20"/>
          <w:szCs w:val="20"/>
          <w:color w:val="auto"/>
        </w:rPr>
        <w:tab/>
      </w:r>
      <w:r>
        <w:rPr>
          <w:rFonts w:ascii="Arial" w:hAnsi="Arial" w:eastAsia="Arial" w:cs="Arial"/>
          <w:sz w:val="12"/>
          <w:szCs w:val="12"/>
          <w:i w:val="1"/>
          <w:iCs w:val="1"/>
          <w:color w:val="auto"/>
        </w:rPr>
        <w:t xml:space="preserve">Redes informáticas 214 (2022) 109073</w:t>
      </w:r>
    </w:p>
    <w:p>
      <w:pPr>
        <w:spacing w:after="0" w:line="318" w:lineRule="exact"/>
        <w:rPr>
          <w:sz w:val="20"/>
          <w:szCs w:val="20"/>
          <w:color w:val="auto"/>
        </w:rPr>
      </w:pPr>
    </w:p>
    <w:p>
      <w:pPr>
        <w:ind w:start="1040"/>
        <w:spacing w:after="0"/>
        <w:rPr>
          <w:sz w:val="20"/>
          <w:szCs w:val="20"/>
          <w:color w:val="auto"/>
        </w:rPr>
      </w:pPr>
      <w:r>
        <w:rPr>
          <w:rFonts w:ascii="Arial" w:hAnsi="Arial" w:eastAsia="Arial" w:cs="Arial"/>
          <w:sz w:val="13"/>
          <w:szCs w:val="13"/>
          <w:b w:val="1"/>
          <w:bCs w:val="1"/>
          <w:color w:val="auto"/>
        </w:rPr>
        <w:t xml:space="preserve">Cuadro 2</w:t>
      </w:r>
    </w:p>
    <w:p>
      <w:pPr>
        <w:spacing w:after="0" w:line="177" w:lineRule="exact"/>
        <w:rPr>
          <w:sz w:val="20"/>
          <w:szCs w:val="20"/>
          <w:color w:val="auto"/>
        </w:rPr>
      </w:pPr>
    </w:p>
    <w:p>
      <w:pPr>
        <w:ind w:start="1040"/>
        <w:spacing w:after="0"/>
        <w:rPr>
          <w:sz w:val="20"/>
          <w:szCs w:val="20"/>
          <w:color w:val="auto"/>
        </w:rPr>
      </w:pPr>
      <w:r>
        <w:rPr>
          <w:rFonts w:ascii="Arial" w:hAnsi="Arial" w:eastAsia="Arial" w:cs="Arial"/>
          <w:sz w:val="13"/>
          <w:szCs w:val="13"/>
          <w:color w:val="auto"/>
        </w:rPr>
        <w:t xml:space="preserve">Resumen de los resultados de la hipótesis de evaluación 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0</wp:posOffset>
                </wp:positionV>
                <wp:extent cx="528447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9" o:allowincell="f" strokecolor="#000000" strokeweight="0.398pt" from="51.55pt,0pt" to="467.65pt,0pt"/>
            </w:pict>
          </mc:Fallback>
        </mc:AlternateContent>
      </w:r>
    </w:p>
    <w:p>
      <w:pPr>
        <w:spacing w:after="0" w:line="46" w:lineRule="exact"/>
        <w:rPr>
          <w:sz w:val="20"/>
          <w:szCs w:val="20"/>
          <w:color w:val="auto"/>
        </w:rPr>
      </w:pPr>
    </w:p>
    <w:p>
      <w:pPr>
        <w:ind w:start="1120"/>
        <w:spacing w:after="0"/>
        <w:rPr>
          <w:sz w:val="20"/>
          <w:szCs w:val="20"/>
          <w:color w:val="auto"/>
        </w:rPr>
      </w:pPr>
      <w:r>
        <w:rPr>
          <w:rFonts w:ascii="Arial" w:hAnsi="Arial" w:eastAsia="Arial" w:cs="Arial"/>
          <w:sz w:val="13"/>
          <w:szCs w:val="13"/>
          <w:color w:val="auto"/>
        </w:rPr>
        <w:t xml:space="preserve">Comportamiento frente a un ataque de ruido gaussiano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14605</wp:posOffset>
                </wp:positionV>
                <wp:extent cx="528447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0" o:allowincell="f" strokecolor="#000000" strokeweight="0.398pt" from="51.55pt,1.15pt" to="467.65pt,1.15pt"/>
            </w:pict>
          </mc:Fallback>
        </mc:AlternateContent>
      </w:r>
    </w:p>
    <w:p>
      <w:pPr>
        <w:spacing w:after="0" w:line="58" w:lineRule="exact"/>
        <w:rPr>
          <w:sz w:val="20"/>
          <w:szCs w:val="20"/>
          <w:color w:val="auto"/>
        </w:rPr>
      </w:pPr>
    </w:p>
    <w:p>
      <w:pPr>
        <w:ind w:start="1220" w:hanging="97"/>
        <w:spacing w:after="0"/>
        <w:tabs>
          <w:tab w:val="left" w:leader="none" w:pos="1220"/>
        </w:tabs>
        <w:numPr>
          <w:ilvl w:val="0"/>
          <w:numId w:val="17"/>
        </w:numPr>
        <w:rPr>
          <w:rFonts w:ascii="Arial" w:hAnsi="Arial" w:eastAsia="Arial" w:cs="Arial"/>
          <w:sz w:val="13"/>
          <w:szCs w:val="13"/>
          <w:color w:val="auto"/>
        </w:rPr>
      </w:pPr>
      <w:r>
        <w:rPr>
          <w:rFonts w:ascii="Arial" w:hAnsi="Arial" w:eastAsia="Arial" w:cs="Arial"/>
          <w:sz w:val="13"/>
          <w:szCs w:val="13"/>
          <w:color w:val="auto"/>
        </w:rPr>
        <w:t xml:space="preserve">DT y GB son muy vulnerables en comparación con otros clasificadores</w:t>
      </w:r>
    </w:p>
    <w:p>
      <w:pPr>
        <w:spacing w:after="0" w:line="31" w:lineRule="exact"/>
        <w:rPr>
          <w:rFonts w:ascii="Arial" w:hAnsi="Arial" w:eastAsia="Arial" w:cs="Arial"/>
          <w:sz w:val="13"/>
          <w:szCs w:val="13"/>
          <w:color w:val="auto"/>
        </w:rPr>
      </w:pPr>
    </w:p>
    <w:p>
      <w:pPr>
        <w:ind w:start="1220" w:hanging="97"/>
        <w:spacing w:after="0"/>
        <w:tabs>
          <w:tab w:val="left" w:leader="none" w:pos="1220"/>
        </w:tabs>
        <w:numPr>
          <w:ilvl w:val="0"/>
          <w:numId w:val="17"/>
        </w:numPr>
        <w:rPr>
          <w:rFonts w:ascii="Arial" w:hAnsi="Arial" w:eastAsia="Arial" w:cs="Arial"/>
          <w:sz w:val="13"/>
          <w:szCs w:val="13"/>
          <w:color w:val="auto"/>
        </w:rPr>
      </w:pPr>
      <w:r>
        <w:rPr>
          <w:rFonts w:ascii="Arial" w:hAnsi="Arial" w:eastAsia="Arial" w:cs="Arial"/>
          <w:sz w:val="13"/>
          <w:szCs w:val="13"/>
          <w:color w:val="auto"/>
        </w:rPr>
        <w:t xml:space="preserve">Para GB, los ataques han provocado un aumento de las falsas alarmas.</w:t>
      </w:r>
    </w:p>
    <w:p>
      <w:pPr>
        <w:spacing w:after="0" w:line="21" w:lineRule="exact"/>
        <w:rPr>
          <w:rFonts w:ascii="Arial" w:hAnsi="Arial" w:eastAsia="Arial" w:cs="Arial"/>
          <w:sz w:val="13"/>
          <w:szCs w:val="13"/>
          <w:color w:val="auto"/>
        </w:rPr>
      </w:pPr>
    </w:p>
    <w:p>
      <w:pPr>
        <w:ind w:start="1220" w:hanging="97"/>
        <w:spacing w:after="0"/>
        <w:tabs>
          <w:tab w:val="left" w:leader="none" w:pos="1220"/>
        </w:tabs>
        <w:numPr>
          <w:ilvl w:val="0"/>
          <w:numId w:val="17"/>
        </w:numPr>
        <w:rPr>
          <w:rFonts w:ascii="Arial" w:hAnsi="Arial" w:eastAsia="Arial" w:cs="Arial"/>
          <w:sz w:val="13"/>
          <w:szCs w:val="13"/>
          <w:color w:val="auto"/>
        </w:rPr>
      </w:pPr>
      <w:r>
        <w:rPr>
          <w:rFonts w:ascii="Arial" w:hAnsi="Arial" w:eastAsia="Arial" w:cs="Arial"/>
          <w:sz w:val="13"/>
          <w:szCs w:val="13"/>
          <w:color w:val="auto"/>
        </w:rPr>
        <w:t xml:space="preserve">Adaboost es el más robusto aunque tiene el peor rendimiento en el escenario de referencia.</w:t>
      </w:r>
    </w:p>
    <w:p>
      <w:pPr>
        <w:spacing w:after="0" w:line="21" w:lineRule="exact"/>
        <w:rPr>
          <w:rFonts w:ascii="Arial" w:hAnsi="Arial" w:eastAsia="Arial" w:cs="Arial"/>
          <w:sz w:val="13"/>
          <w:szCs w:val="13"/>
          <w:color w:val="auto"/>
        </w:rPr>
      </w:pPr>
    </w:p>
    <w:p>
      <w:pPr>
        <w:ind w:start="1120" w:end="1320" w:firstLine="3"/>
        <w:spacing w:after="0" w:line="320" w:lineRule="auto"/>
        <w:tabs>
          <w:tab w:val="left" w:leader="none" w:pos="1218"/>
        </w:tabs>
        <w:numPr>
          <w:ilvl w:val="0"/>
          <w:numId w:val="17"/>
        </w:numPr>
        <w:rPr>
          <w:rFonts w:ascii="Arial" w:hAnsi="Arial" w:eastAsia="Arial" w:cs="Arial"/>
          <w:sz w:val="13"/>
          <w:szCs w:val="13"/>
          <w:color w:val="auto"/>
        </w:rPr>
      </w:pPr>
      <w:r>
        <w:rPr>
          <w:rFonts w:ascii="Arial" w:hAnsi="Arial" w:eastAsia="Arial" w:cs="Arial"/>
          <w:sz w:val="13"/>
          <w:szCs w:val="13"/>
          <w:color w:val="auto"/>
        </w:rPr>
        <w:t xml:space="preserve">Los clasificadores clasifican más tráfico malicioso como legítimo en UNSW-NB15 que en NSL-KDD (altas tasas de falsos negativos), especialmente para Bagging y Random Forest.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-34290</wp:posOffset>
                </wp:positionV>
                <wp:extent cx="528447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1" o:allowincell="f" strokecolor="#000000" strokeweight="0.398pt" from="51.55pt,-2.6999pt" to="467.65pt,-2.6999pt"/>
            </w:pict>
          </mc:Fallback>
        </mc:AlternateContent>
      </w:r>
    </w:p>
    <w:p>
      <w:pPr>
        <w:ind w:start="1120"/>
        <w:spacing w:after="0"/>
        <w:rPr>
          <w:sz w:val="20"/>
          <w:szCs w:val="20"/>
          <w:color w:val="auto"/>
        </w:rPr>
      </w:pPr>
      <w:r>
        <w:rPr>
          <w:rFonts w:ascii="Arial" w:hAnsi="Arial" w:eastAsia="Arial" w:cs="Arial"/>
          <w:sz w:val="13"/>
          <w:szCs w:val="13"/>
          <w:color w:val="auto"/>
        </w:rPr>
        <w:t xml:space="preserve">Comportamiento frente a ataques Gray/black-box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20320</wp:posOffset>
                </wp:positionV>
                <wp:extent cx="528447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2" o:allowincell="f" strokecolor="#000000" strokeweight="0.398pt" from="51.55pt,1.6pt" to="467.65pt,1.6pt"/>
            </w:pict>
          </mc:Fallback>
        </mc:AlternateContent>
      </w:r>
    </w:p>
    <w:p>
      <w:pPr>
        <w:spacing w:after="0" w:line="68" w:lineRule="exact"/>
        <w:rPr>
          <w:sz w:val="20"/>
          <w:szCs w:val="20"/>
          <w:color w:val="auto"/>
        </w:rPr>
      </w:pPr>
    </w:p>
    <w:p>
      <w:pPr>
        <w:ind w:start="1220" w:hanging="97"/>
        <w:spacing w:after="0"/>
        <w:tabs>
          <w:tab w:val="left" w:leader="none" w:pos="1220"/>
        </w:tabs>
        <w:numPr>
          <w:ilvl w:val="0"/>
          <w:numId w:val="18"/>
        </w:numPr>
        <w:rPr>
          <w:rFonts w:ascii="Arial" w:hAnsi="Arial" w:eastAsia="Arial" w:cs="Arial"/>
          <w:sz w:val="13"/>
          <w:szCs w:val="13"/>
          <w:color w:val="auto"/>
        </w:rPr>
      </w:pPr>
      <w:r>
        <w:rPr>
          <w:rFonts w:ascii="Arial" w:hAnsi="Arial" w:eastAsia="Arial" w:cs="Arial"/>
          <w:sz w:val="13"/>
          <w:szCs w:val="13"/>
          <w:color w:val="auto"/>
        </w:rPr>
        <w:t xml:space="preserve">El rendimiento de los clasificadores cae drásticamente ante los ataques HopSkipJump y Boundary</w:t>
      </w:r>
    </w:p>
    <w:p>
      <w:pPr>
        <w:spacing w:after="0" w:line="31" w:lineRule="exact"/>
        <w:rPr>
          <w:rFonts w:ascii="Arial" w:hAnsi="Arial" w:eastAsia="Arial" w:cs="Arial"/>
          <w:sz w:val="13"/>
          <w:szCs w:val="13"/>
          <w:color w:val="auto"/>
        </w:rPr>
      </w:pPr>
    </w:p>
    <w:p>
      <w:pPr>
        <w:ind w:start="1220" w:hanging="97"/>
        <w:spacing w:after="0"/>
        <w:tabs>
          <w:tab w:val="left" w:leader="none" w:pos="1220"/>
        </w:tabs>
        <w:numPr>
          <w:ilvl w:val="0"/>
          <w:numId w:val="18"/>
        </w:numPr>
        <w:rPr>
          <w:rFonts w:ascii="Arial" w:hAnsi="Arial" w:eastAsia="Arial" w:cs="Arial"/>
          <w:sz w:val="13"/>
          <w:szCs w:val="13"/>
          <w:color w:val="auto"/>
        </w:rPr>
      </w:pPr>
      <w:r>
        <w:rPr>
          <w:rFonts w:ascii="Arial" w:hAnsi="Arial" w:eastAsia="Arial" w:cs="Arial"/>
          <w:sz w:val="13"/>
          <w:szCs w:val="13"/>
          <w:color w:val="auto"/>
        </w:rPr>
        <w:t xml:space="preserve">Los clasificadores son bastante robustos al ataque ZOO.</w:t>
      </w:r>
    </w:p>
    <w:p>
      <w:pPr>
        <w:spacing w:after="0" w:line="21" w:lineRule="exact"/>
        <w:rPr>
          <w:rFonts w:ascii="Arial" w:hAnsi="Arial" w:eastAsia="Arial" w:cs="Arial"/>
          <w:sz w:val="13"/>
          <w:szCs w:val="13"/>
          <w:color w:val="auto"/>
        </w:rPr>
      </w:pPr>
    </w:p>
    <w:p>
      <w:pPr>
        <w:ind w:start="1220" w:hanging="97"/>
        <w:spacing w:after="0"/>
        <w:tabs>
          <w:tab w:val="left" w:leader="none" w:pos="1220"/>
        </w:tabs>
        <w:numPr>
          <w:ilvl w:val="0"/>
          <w:numId w:val="18"/>
        </w:numPr>
        <w:rPr>
          <w:rFonts w:ascii="Arial" w:hAnsi="Arial" w:eastAsia="Arial" w:cs="Arial"/>
          <w:sz w:val="13"/>
          <w:szCs w:val="13"/>
          <w:color w:val="auto"/>
        </w:rPr>
      </w:pPr>
      <w:r>
        <w:rPr>
          <w:rFonts w:ascii="Arial" w:hAnsi="Arial" w:eastAsia="Arial" w:cs="Arial"/>
          <w:sz w:val="13"/>
          <w:szCs w:val="13"/>
          <w:color w:val="auto"/>
        </w:rPr>
        <w:t xml:space="preserve">DNN, con el mejor rendimiento de referencia, es el más vulnerable al ataque ZOO.</w:t>
      </w:r>
    </w:p>
    <w:p>
      <w:pPr>
        <w:spacing w:after="0" w:line="21" w:lineRule="exact"/>
        <w:rPr>
          <w:rFonts w:ascii="Arial" w:hAnsi="Arial" w:eastAsia="Arial" w:cs="Arial"/>
          <w:sz w:val="13"/>
          <w:szCs w:val="13"/>
          <w:color w:val="auto"/>
        </w:rPr>
      </w:pPr>
    </w:p>
    <w:p>
      <w:pPr>
        <w:ind w:start="1120" w:end="1420" w:firstLine="3"/>
        <w:spacing w:after="0" w:line="275" w:lineRule="auto"/>
        <w:tabs>
          <w:tab w:val="left" w:leader="none" w:pos="1218"/>
        </w:tabs>
        <w:numPr>
          <w:ilvl w:val="0"/>
          <w:numId w:val="18"/>
        </w:numPr>
        <w:rPr>
          <w:rFonts w:ascii="Arial" w:hAnsi="Arial" w:eastAsia="Arial" w:cs="Arial"/>
          <w:sz w:val="13"/>
          <w:szCs w:val="13"/>
          <w:color w:val="auto"/>
        </w:rPr>
      </w:pPr>
      <w:r>
        <w:rPr>
          <w:rFonts w:ascii="Arial" w:hAnsi="Arial" w:eastAsia="Arial" w:cs="Arial"/>
          <w:sz w:val="13"/>
          <w:szCs w:val="13"/>
          <w:color w:val="auto"/>
        </w:rPr>
        <w:t xml:space="preserve">Adaboost es robusto frente a tres ataques gray/back-box en la NSL-KDD, pero extremadamente sensible a los ataques Boundary y HopSkipJum en la UNSW-NB15.</w:t>
      </w:r>
    </w:p>
    <w:p>
      <w:pPr>
        <w:jc w:val="both"/>
        <w:ind w:start="1120" w:end="1400" w:firstLine="3"/>
        <w:spacing w:after="0" w:line="305" w:lineRule="auto"/>
        <w:tabs>
          <w:tab w:val="left" w:leader="none" w:pos="1218"/>
        </w:tabs>
        <w:numPr>
          <w:ilvl w:val="0"/>
          <w:numId w:val="18"/>
        </w:numPr>
        <w:rPr>
          <w:rFonts w:ascii="Arial" w:hAnsi="Arial" w:eastAsia="Arial" w:cs="Arial"/>
          <w:sz w:val="13"/>
          <w:szCs w:val="13"/>
          <w:color w:val="auto"/>
        </w:rPr>
      </w:pPr>
      <w:r>
        <w:rPr>
          <w:rFonts w:ascii="Arial" w:hAnsi="Arial" w:eastAsia="Arial" w:cs="Arial"/>
          <w:sz w:val="13"/>
          <w:szCs w:val="13"/>
          <w:color w:val="auto"/>
        </w:rPr>
        <w:t xml:space="preserve">Desde el punto de vista de la precisión, los clasificadores tienen el mismo comportamiento frente a los ataques en ambas bases de datos. Sin embargo, el comportamiento de FNR es diferente de una base de datos a otra: aumenta para la mayoría de los clasificadores en la base de datos NSL-KDD, pero sigue siendo muy bajo para algunos clasificadores (DNN, LR, RF SVC) en la base de datos UNSW-NB15.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-34290</wp:posOffset>
                </wp:positionV>
                <wp:extent cx="528447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3" o:allowincell="f" strokecolor="#000000" strokeweight="0.398pt" from="51.55pt,-2.6999pt" to="467.65pt,-2.6999pt"/>
            </w:pict>
          </mc:Fallback>
        </mc:AlternateContent>
      </w:r>
    </w:p>
    <w:p>
      <w:pPr>
        <w:ind w:start="1120"/>
        <w:spacing w:after="0"/>
        <w:rPr>
          <w:sz w:val="20"/>
          <w:szCs w:val="20"/>
          <w:color w:val="auto"/>
        </w:rPr>
      </w:pPr>
      <w:r>
        <w:rPr>
          <w:rFonts w:ascii="Arial" w:hAnsi="Arial" w:eastAsia="Arial" w:cs="Arial"/>
          <w:sz w:val="13"/>
          <w:szCs w:val="13"/>
          <w:color w:val="auto"/>
        </w:rPr>
        <w:t xml:space="preserve">Comportamiento frente a ataques de caja blanca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20320</wp:posOffset>
                </wp:positionV>
                <wp:extent cx="528447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4" o:allowincell="f" strokecolor="#000000" strokeweight="0.398pt" from="51.55pt,1.6pt" to="467.65pt,1.6pt"/>
            </w:pict>
          </mc:Fallback>
        </mc:AlternateContent>
      </w:r>
    </w:p>
    <w:p>
      <w:pPr>
        <w:spacing w:after="0" w:line="68" w:lineRule="exact"/>
        <w:rPr>
          <w:sz w:val="20"/>
          <w:szCs w:val="20"/>
          <w:color w:val="auto"/>
        </w:rPr>
      </w:pPr>
    </w:p>
    <w:p>
      <w:pPr>
        <w:ind w:start="1220" w:hanging="97"/>
        <w:spacing w:after="0"/>
        <w:tabs>
          <w:tab w:val="left" w:leader="none" w:pos="1220"/>
        </w:tabs>
        <w:numPr>
          <w:ilvl w:val="0"/>
          <w:numId w:val="19"/>
        </w:numPr>
        <w:rPr>
          <w:rFonts w:ascii="Arial" w:hAnsi="Arial" w:eastAsia="Arial" w:cs="Arial"/>
          <w:sz w:val="13"/>
          <w:szCs w:val="13"/>
          <w:color w:val="auto"/>
        </w:rPr>
      </w:pPr>
      <w:r>
        <w:rPr>
          <w:rFonts w:ascii="Arial" w:hAnsi="Arial" w:eastAsia="Arial" w:cs="Arial"/>
          <w:sz w:val="13"/>
          <w:szCs w:val="13"/>
          <w:color w:val="auto"/>
        </w:rPr>
        <w:t xml:space="preserve">Los clasificadores son bastante robustos al ataque de FGSM, PGD, BIM y C&amp;W también tiene un efecto muy similar.</w:t>
      </w:r>
    </w:p>
    <w:p>
      <w:pPr>
        <w:spacing w:after="0" w:line="31" w:lineRule="exact"/>
        <w:rPr>
          <w:rFonts w:ascii="Arial" w:hAnsi="Arial" w:eastAsia="Arial" w:cs="Arial"/>
          <w:sz w:val="13"/>
          <w:szCs w:val="13"/>
          <w:color w:val="auto"/>
        </w:rPr>
      </w:pPr>
    </w:p>
    <w:p>
      <w:pPr>
        <w:ind w:start="1220" w:hanging="97"/>
        <w:spacing w:after="0"/>
        <w:tabs>
          <w:tab w:val="left" w:leader="none" w:pos="1220"/>
        </w:tabs>
        <w:numPr>
          <w:ilvl w:val="0"/>
          <w:numId w:val="19"/>
        </w:numPr>
        <w:rPr>
          <w:rFonts w:ascii="Arial" w:hAnsi="Arial" w:eastAsia="Arial" w:cs="Arial"/>
          <w:sz w:val="13"/>
          <w:szCs w:val="13"/>
          <w:color w:val="auto"/>
        </w:rPr>
      </w:pPr>
      <w:r>
        <w:rPr>
          <w:rFonts w:ascii="Arial" w:hAnsi="Arial" w:eastAsia="Arial" w:cs="Arial"/>
          <w:sz w:val="13"/>
          <w:szCs w:val="13"/>
          <w:color w:val="auto"/>
        </w:rPr>
        <w:t xml:space="preserve">JSMA es el ataque más poderoso.</w:t>
      </w:r>
    </w:p>
    <w:p>
      <w:pPr>
        <w:spacing w:after="0" w:line="21" w:lineRule="exact"/>
        <w:rPr>
          <w:rFonts w:ascii="Arial" w:hAnsi="Arial" w:eastAsia="Arial" w:cs="Arial"/>
          <w:sz w:val="13"/>
          <w:szCs w:val="13"/>
          <w:color w:val="auto"/>
        </w:rPr>
      </w:pPr>
    </w:p>
    <w:p>
      <w:pPr>
        <w:ind w:start="1220" w:hanging="97"/>
        <w:spacing w:after="0"/>
        <w:tabs>
          <w:tab w:val="left" w:leader="none" w:pos="1220"/>
        </w:tabs>
        <w:numPr>
          <w:ilvl w:val="0"/>
          <w:numId w:val="19"/>
        </w:numPr>
        <w:rPr>
          <w:rFonts w:ascii="Arial" w:hAnsi="Arial" w:eastAsia="Arial" w:cs="Arial"/>
          <w:sz w:val="13"/>
          <w:szCs w:val="13"/>
          <w:color w:val="auto"/>
        </w:rPr>
      </w:pPr>
      <w:r>
        <w:rPr>
          <w:rFonts w:ascii="Arial" w:hAnsi="Arial" w:eastAsia="Arial" w:cs="Arial"/>
          <w:sz w:val="13"/>
          <w:szCs w:val="13"/>
          <w:color w:val="auto"/>
        </w:rPr>
        <w:t xml:space="preserve">Adaboost y RF son los únicos clasificadores resistentes a todos los ataques de caja blanca.</w:t>
      </w:r>
    </w:p>
    <w:p>
      <w:pPr>
        <w:spacing w:after="0" w:line="21" w:lineRule="exact"/>
        <w:rPr>
          <w:rFonts w:ascii="Arial" w:hAnsi="Arial" w:eastAsia="Arial" w:cs="Arial"/>
          <w:sz w:val="13"/>
          <w:szCs w:val="13"/>
          <w:color w:val="auto"/>
        </w:rPr>
      </w:pPr>
    </w:p>
    <w:p>
      <w:pPr>
        <w:ind w:start="1120" w:end="1680" w:firstLine="3"/>
        <w:spacing w:after="0" w:line="320" w:lineRule="auto"/>
        <w:tabs>
          <w:tab w:val="left" w:leader="none" w:pos="1218"/>
        </w:tabs>
        <w:numPr>
          <w:ilvl w:val="0"/>
          <w:numId w:val="19"/>
        </w:numPr>
        <w:rPr>
          <w:rFonts w:ascii="Arial" w:hAnsi="Arial" w:eastAsia="Arial" w:cs="Arial"/>
          <w:sz w:val="13"/>
          <w:szCs w:val="13"/>
          <w:color w:val="auto"/>
        </w:rPr>
      </w:pPr>
      <w:r>
        <w:rPr>
          <w:rFonts w:ascii="Arial" w:hAnsi="Arial" w:eastAsia="Arial" w:cs="Arial"/>
          <w:sz w:val="13"/>
          <w:szCs w:val="13"/>
          <w:color w:val="auto"/>
        </w:rPr>
        <w:t xml:space="preserve">Los clasificadores fueron más vulnerables a estos ataques en la base de datos UNSW-NB15 que en la base de datos NSL-KDD, tanto para la precisión como para la tasa de falsos negativos.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-34290</wp:posOffset>
                </wp:positionV>
                <wp:extent cx="528447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5" o:allowincell="f" strokecolor="#000000" strokeweight="0.398pt" from="51.55pt,-2.6999pt" to="467.65pt,-2.6999pt"/>
            </w:pict>
          </mc:Fallback>
        </mc:AlternateContent>
      </w:r>
    </w:p>
    <w:p>
      <w:pPr>
        <w:sectPr>
          <w:pgSz w:w="11900" w:h="15874" w:orient="portrait"/>
          <w:cols w:equalWidth="0" w:num="1">
            <w:col w:w="10400"/>
          </w:cols>
          <w:pgMar w:top="492" w:right="746" w:bottom="85" w:left="760" w:header="0" w:footer="0" w:gutter="0"/>
        </w:sectPr>
      </w:pPr>
    </w:p>
    <w:p>
      <w:pPr>
        <w:spacing w:after="0" w:line="1" w:lineRule="exact"/>
        <w:rPr>
          <w:sz w:val="20"/>
          <w:szCs w:val="20"/>
          <w:color w:val="auto"/>
        </w:rPr>
      </w:pPr>
    </w:p>
    <w:p>
      <w:pPr>
        <w:spacing w:after="0"/>
        <w:rPr>
          <w:sz w:val="20"/>
          <w:szCs w:val="20"/>
          <w:color w:val="auto"/>
        </w:rPr>
      </w:pPr>
      <w:r>
        <w:rPr>
          <w:rFonts w:ascii="Arial" w:hAnsi="Arial" w:eastAsia="Arial" w:cs="Arial"/>
          <w:sz w:val="16"/>
          <w:szCs w:val="16"/>
          <w:b w:val="1"/>
          <w:bCs w:val="1"/>
          <w:color w:val="auto"/>
        </w:rPr>
        <w:t xml:space="preserve">5. 5. Resultados experimentales</w:t>
      </w:r>
    </w:p>
    <w:p>
      <w:pPr>
        <w:spacing w:after="0" w:line="363"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5.1. Evaluación inicial de la robustez</w:t>
      </w:r>
    </w:p>
    <w:p>
      <w:pPr>
        <w:spacing w:after="0" w:line="226" w:lineRule="exact"/>
        <w:rPr>
          <w:sz w:val="20"/>
          <w:szCs w:val="20"/>
          <w:color w:val="auto"/>
        </w:rPr>
      </w:pPr>
    </w:p>
    <w:p>
      <w:pPr>
        <w:jc w:val="both"/>
        <w:ind w:start="240" w:hanging="238"/>
        <w:spacing w:after="0" w:line="347" w:lineRule="auto"/>
        <w:rPr>
          <w:sz w:val="20"/>
          <w:szCs w:val="20"/>
          <w:color w:val="auto"/>
        </w:rPr>
      </w:pPr>
      <w:r>
        <w:rPr>
          <w:rFonts w:ascii="Arial" w:hAnsi="Arial" w:eastAsia="Arial" w:cs="Arial"/>
          <w:sz w:val="16"/>
          <w:szCs w:val="16"/>
          <w:i w:val="1"/>
          <w:iCs w:val="1"/>
          <w:color w:val="auto"/>
        </w:rPr>
        <w:t xml:space="preserve">5.1.1. Escenario 1: medición del rendimiento en el escenario de referencia </w:t>
      </w:r>
      <w:r>
        <w:rPr>
          <w:rFonts w:ascii="Arial" w:hAnsi="Arial" w:eastAsia="Arial" w:cs="Arial"/>
          <w:sz w:val="16"/>
          <w:szCs w:val="16"/>
          <w:color w:val="auto"/>
        </w:rPr>
        <w:t xml:space="preserve">Los resultados de las primeras filas de las primeras subtablas muestran que casi</w:t>
      </w:r>
    </w:p>
    <w:p>
      <w:pPr>
        <w:spacing w:after="0" w:line="1" w:lineRule="exact"/>
        <w:rPr>
          <w:sz w:val="20"/>
          <w:szCs w:val="20"/>
          <w:color w:val="auto"/>
        </w:rPr>
      </w:pPr>
    </w:p>
    <w:p>
      <w:pPr>
        <w:jc w:val="both"/>
        <w:spacing w:after="0" w:line="277" w:lineRule="auto"/>
        <w:rPr>
          <w:sz w:val="20"/>
          <w:szCs w:val="20"/>
          <w:color w:val="auto"/>
        </w:rPr>
      </w:pPr>
      <w:r>
        <w:rPr>
          <w:rFonts w:ascii="Arial" w:hAnsi="Arial" w:eastAsia="Arial" w:cs="Arial"/>
          <w:sz w:val="16"/>
          <w:szCs w:val="16"/>
          <w:color w:val="auto"/>
        </w:rPr>
        <w:t xml:space="preserve">Todos los clasificadores funcionan bien, la precisión varía entre el 74% y el 77% en la NSL-KDD, excepto Adaboost, que tiene el peor rendimiento (precisión del 55,13% en la NSL-KDD y del 60,6% en la UNSW-NB15). DNN es el más eficiente con una precisión del 77,68% en NSL-KDD y del 78,56% en UNSW-NB15. En el conjunto de datos NSL-KDD, estos resultados se ven confirmados por las tasas de falsos negativos (primer crudo de la segunda subtabla). En efecto, Adaboost clasifica erróneamente como benigno el 71,35% del tráfico malicioso, mientras que los demás clasificadores tienen un FNR que varía entre el 29,68% y el 39,32%. Sin embargo, todos los clasificadores tienen tasas de falsos negativos extremadamente bajas (por debajo del 6%) en la base de datos UNSW-NB15.</w:t>
      </w:r>
    </w:p>
    <w:p>
      <w:pPr>
        <w:spacing w:after="0" w:line="6" w:lineRule="exact"/>
        <w:rPr>
          <w:sz w:val="20"/>
          <w:szCs w:val="20"/>
          <w:color w:val="auto"/>
        </w:rPr>
      </w:pPr>
    </w:p>
    <w:p>
      <w:pPr>
        <w:jc w:val="right"/>
        <w:spacing w:after="0" w:line="311" w:lineRule="auto"/>
        <w:rPr>
          <w:sz w:val="20"/>
          <w:szCs w:val="20"/>
          <w:color w:val="auto"/>
        </w:rPr>
      </w:pPr>
      <w:r>
        <w:rPr>
          <w:rFonts w:ascii="Arial" w:hAnsi="Arial" w:eastAsia="Arial" w:cs="Arial"/>
          <w:sz w:val="15"/>
          <w:szCs w:val="15"/>
          <w:i w:val="1"/>
          <w:iCs w:val="1"/>
          <w:color w:val="auto"/>
        </w:rPr>
        <w:t xml:space="preserve">5.1.2. Escenario 2: medición del rendimiento en un entorno adverso </w:t>
      </w:r>
      <w:r>
        <w:rPr>
          <w:rFonts w:ascii="Arial" w:hAnsi="Arial" w:eastAsia="Arial" w:cs="Arial"/>
          <w:sz w:val="15"/>
          <w:szCs w:val="15"/>
          <w:color w:val="auto"/>
        </w:rPr>
        <w:t xml:space="preserve">En este escenario interesan dos análisis: (i) medir el impacto de </w:t>
      </w:r>
      <w:r>
        <w:rPr>
          <w:rFonts w:ascii="Arial" w:hAnsi="Arial" w:eastAsia="Arial" w:cs="Arial"/>
          <w:sz w:val="15"/>
          <w:szCs w:val="15"/>
          <w:i w:val="1"/>
          <w:iCs w:val="1"/>
          <w:color w:val="auto"/>
        </w:rPr>
        <w:t xml:space="preserve">cada ataque adverso </w:t>
      </w:r>
      <w:r>
        <w:rPr>
          <w:rFonts w:ascii="Arial" w:hAnsi="Arial" w:eastAsia="Arial" w:cs="Arial"/>
          <w:sz w:val="15"/>
          <w:szCs w:val="15"/>
          <w:color w:val="auto"/>
        </w:rPr>
        <w:t xml:space="preserve">sobre los distintos clasificadores y (ii) medir el rendimiento de </w:t>
      </w:r>
      <w:r>
        <w:rPr>
          <w:rFonts w:ascii="Arial" w:hAnsi="Arial" w:eastAsia="Arial" w:cs="Arial"/>
          <w:sz w:val="15"/>
          <w:szCs w:val="15"/>
          <w:i w:val="1"/>
          <w:iCs w:val="1"/>
          <w:color w:val="auto"/>
        </w:rPr>
        <w:t xml:space="preserve">cada clasificador </w:t>
      </w:r>
      <w:r>
        <w:rPr>
          <w:rFonts w:ascii="Arial" w:hAnsi="Arial" w:eastAsia="Arial" w:cs="Arial"/>
          <w:sz w:val="15"/>
          <w:szCs w:val="15"/>
          <w:color w:val="auto"/>
        </w:rPr>
        <w:t xml:space="preserve">frente a distintos tipos de ataques. El primer análisis identifica el clasificador más/menos vulnerable a un ataque adversario dado, mientras que el segundo encuentra el más/menos potente.</w:t>
      </w:r>
    </w:p>
    <w:p>
      <w:pPr>
        <w:spacing w:after="0" w:line="3" w:lineRule="exact"/>
        <w:rPr>
          <w:sz w:val="20"/>
          <w:szCs w:val="20"/>
          <w:color w:val="auto"/>
        </w:rPr>
      </w:pPr>
    </w:p>
    <w:p>
      <w:pPr>
        <w:spacing w:after="0"/>
        <w:rPr>
          <w:sz w:val="20"/>
          <w:szCs w:val="20"/>
          <w:color w:val="auto"/>
        </w:rPr>
      </w:pPr>
      <w:r>
        <w:rPr>
          <w:rFonts w:ascii="Arial" w:hAnsi="Arial" w:eastAsia="Arial" w:cs="Arial"/>
          <w:sz w:val="16"/>
          <w:szCs w:val="16"/>
          <w:color w:val="auto"/>
        </w:rPr>
        <w:t xml:space="preserve">ataque adversario para cada clasificador.</w:t>
      </w:r>
    </w:p>
    <w:p>
      <w:pPr>
        <w:spacing w:after="0" w:line="102"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5.1.2.1. </w:t>
      </w:r>
      <w:r>
        <w:rPr>
          <w:rFonts w:ascii="Arial" w:hAnsi="Arial" w:eastAsia="Arial" w:cs="Arial"/>
          <w:sz w:val="16"/>
          <w:szCs w:val="16"/>
          <w:b w:val="1"/>
          <w:bCs w:val="1"/>
          <w:i w:val="1"/>
          <w:iCs w:val="1"/>
          <w:color w:val="auto"/>
        </w:rPr>
        <w:t xml:space="preserve">Precisión</w:t>
      </w:r>
      <w:r>
        <w:rPr>
          <w:rFonts w:ascii="Arial" w:hAnsi="Arial" w:eastAsia="Arial" w:cs="Arial"/>
          <w:sz w:val="16"/>
          <w:szCs w:val="16"/>
          <w:i w:val="1"/>
          <w:iCs w:val="1"/>
          <w:color w:val="auto"/>
        </w:rPr>
        <w:t xml:space="preserve">.</w:t>
      </w:r>
    </w:p>
    <w:p>
      <w:pPr>
        <w:spacing w:after="0" w:line="159"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Ataque de ruido gaussiano:</w:t>
      </w:r>
    </w:p>
    <w:p>
      <w:pPr>
        <w:spacing w:after="0" w:line="12" w:lineRule="exact"/>
        <w:rPr>
          <w:sz w:val="20"/>
          <w:szCs w:val="20"/>
          <w:color w:val="auto"/>
        </w:rPr>
      </w:pPr>
    </w:p>
    <w:p>
      <w:pPr>
        <w:jc w:val="both"/>
        <w:ind w:start="400" w:hanging="137"/>
        <w:spacing w:after="0" w:line="297" w:lineRule="auto"/>
        <w:tabs>
          <w:tab w:val="left" w:leader="none" w:pos="400"/>
        </w:tabs>
        <w:numPr>
          <w:ilvl w:val="0"/>
          <w:numId w:val="20"/>
        </w:numPr>
        <w:rPr>
          <w:rFonts w:ascii="Arial" w:hAnsi="Arial" w:eastAsia="Arial" w:cs="Arial"/>
          <w:sz w:val="16"/>
          <w:szCs w:val="16"/>
          <w:b w:val="1"/>
          <w:bCs w:val="1"/>
          <w:color w:val="auto"/>
        </w:rPr>
      </w:pPr>
      <w:r>
        <w:rPr>
          <w:rFonts w:ascii="Arial" w:hAnsi="Arial" w:eastAsia="Arial" w:cs="Arial"/>
          <w:sz w:val="16"/>
          <w:szCs w:val="16"/>
          <w:color w:val="auto"/>
        </w:rPr>
        <w:t xml:space="preserve">Se observan dos comportamientos diferentes; algunos </w:t>
      </w:r>
      <w:r>
        <w:rPr>
          <w:rFonts w:ascii="Arial" w:hAnsi="Arial" w:eastAsia="Arial" w:cs="Arial"/>
          <w:sz w:val="16"/>
          <w:szCs w:val="16"/>
          <w:color w:val="auto"/>
        </w:rPr>
        <w:t xml:space="preserve">clasificadores</w:t>
      </w:r>
      <w:r>
        <w:rPr>
          <w:rFonts w:ascii="Arial" w:hAnsi="Arial" w:eastAsia="Arial" w:cs="Arial"/>
          <w:sz w:val="16"/>
          <w:szCs w:val="16"/>
          <w:color w:val="auto"/>
        </w:rPr>
        <w:t xml:space="preserve"> (DT, GB y bagging en UNSW-NB15) son muy vulnerables al ataque del ruido gaussiano, incluso a baja intensidad ( = 0</w:t>
      </w:r>
      <w:r>
        <w:rPr>
          <w:rFonts w:ascii="Arial" w:hAnsi="Arial" w:eastAsia="Arial" w:cs="Arial"/>
          <w:sz w:val="16"/>
          <w:szCs w:val="16"/>
          <w:i w:val="1"/>
          <w:iCs w:val="1"/>
          <w:color w:val="auto"/>
        </w:rPr>
        <w:t xml:space="preserve">,01</w:t>
      </w:r>
      <w:r>
        <w:rPr>
          <w:rFonts w:ascii="Arial" w:hAnsi="Arial" w:eastAsia="Arial" w:cs="Arial"/>
          <w:sz w:val="16"/>
          <w:szCs w:val="16"/>
          <w:color w:val="auto"/>
        </w:rPr>
        <w:t xml:space="preserve">), mientras que los demás clasificadores son más robustos. En particular, para = 0</w:t>
      </w:r>
      <w:r>
        <w:rPr>
          <w:rFonts w:ascii="Arial" w:hAnsi="Arial" w:eastAsia="Arial" w:cs="Arial"/>
          <w:sz w:val="16"/>
          <w:szCs w:val="16"/>
          <w:i w:val="1"/>
          <w:iCs w:val="1"/>
          <w:color w:val="auto"/>
        </w:rPr>
        <w:t xml:space="preserve">,01, el </w:t>
      </w:r>
      <w:r>
        <w:rPr>
          <w:rFonts w:ascii="Arial" w:hAnsi="Arial" w:eastAsia="Arial" w:cs="Arial"/>
          <w:sz w:val="16"/>
          <w:szCs w:val="16"/>
          <w:color w:val="auto"/>
        </w:rPr>
        <w:t xml:space="preserve">rendimiento de SVC (resp. regresión logística) permanece estable en NSL-KDD, (resp. UNSW-NB15).</w:t>
      </w:r>
    </w:p>
    <w:p>
      <w:pPr>
        <w:jc w:val="both"/>
        <w:ind w:start="400" w:hanging="137"/>
        <w:spacing w:after="0" w:line="267" w:lineRule="auto"/>
        <w:tabs>
          <w:tab w:val="left" w:leader="none" w:pos="400"/>
        </w:tabs>
        <w:numPr>
          <w:ilvl w:val="0"/>
          <w:numId w:val="20"/>
        </w:numPr>
        <w:rPr>
          <w:rFonts w:ascii="Arial" w:hAnsi="Arial" w:eastAsia="Arial" w:cs="Arial"/>
          <w:sz w:val="16"/>
          <w:szCs w:val="16"/>
          <w:b w:val="1"/>
          <w:bCs w:val="1"/>
          <w:color w:val="auto"/>
        </w:rPr>
      </w:pPr>
      <w:r>
        <w:rPr>
          <w:rFonts w:ascii="Arial" w:hAnsi="Arial" w:eastAsia="Arial" w:cs="Arial"/>
          <w:sz w:val="16"/>
          <w:szCs w:val="16"/>
          <w:color w:val="auto"/>
        </w:rPr>
        <w:t xml:space="preserve">Para un ataque de alta intensidad ( = 0</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2), el comportamiento es similar, donde, en el conjunto de datos NSL-KDD, DT pierde casi la mitad de su rendimiento y GB cae a un tercio de su eficacia. Sin embargo, la disminución de la precisión de los demás algoritmos oscila entre el 4,7% de LR y el 11,5% de Bagging. Los resultados son similares en la base de datos UNSW-NB15.</w:t>
      </w:r>
    </w:p>
    <w:p>
      <w:pPr>
        <w:jc w:val="both"/>
        <w:ind w:start="400" w:hanging="137"/>
        <w:spacing w:after="0" w:line="300" w:lineRule="auto"/>
        <w:tabs>
          <w:tab w:val="left" w:leader="none" w:pos="400"/>
        </w:tabs>
        <w:numPr>
          <w:ilvl w:val="0"/>
          <w:numId w:val="20"/>
        </w:numPr>
        <w:rPr>
          <w:rFonts w:ascii="Arial" w:hAnsi="Arial" w:eastAsia="Arial" w:cs="Arial"/>
          <w:sz w:val="16"/>
          <w:szCs w:val="16"/>
          <w:b w:val="1"/>
          <w:bCs w:val="1"/>
          <w:color w:val="auto"/>
        </w:rPr>
      </w:pPr>
      <w:r>
        <w:rPr>
          <w:rFonts w:ascii="Arial" w:hAnsi="Arial" w:eastAsia="Arial" w:cs="Arial"/>
          <w:sz w:val="16"/>
          <w:szCs w:val="16"/>
          <w:color w:val="auto"/>
        </w:rPr>
        <w:t xml:space="preserve">Sorprendentemente, Adaboost, que tiene el peor rendimiento de referencia, es el menos vulnerable a los ataques de ruido gaussiano en el conjunto de datos NSL-KDD, superando a DT y GB cuando todos ellos se enfrentan a este tipo de ataque. Y lo que </w:t>
      </w:r>
      <w:r>
        <w:rPr>
          <w:rFonts w:ascii="Arial" w:hAnsi="Arial" w:eastAsia="Arial" w:cs="Arial"/>
          <w:sz w:val="16"/>
          <w:szCs w:val="16"/>
          <w:color w:val="auto"/>
        </w:rPr>
        <w:t xml:space="preserve">es más sorprendente, una pequeña perturbación de ruido gaussiano incluso </w:t>
      </w:r>
      <w:r>
        <w:rPr>
          <w:rFonts w:ascii="Arial" w:hAnsi="Arial" w:eastAsia="Arial" w:cs="Arial"/>
          <w:sz w:val="16"/>
          <w:szCs w:val="16"/>
          <w:i w:val="1"/>
          <w:iCs w:val="1"/>
          <w:color w:val="auto"/>
        </w:rPr>
        <w:t xml:space="preserve">aumenta el </w:t>
      </w:r>
      <w:r>
        <w:rPr>
          <w:rFonts w:ascii="Arial" w:hAnsi="Arial" w:eastAsia="Arial" w:cs="Arial"/>
          <w:sz w:val="16"/>
          <w:szCs w:val="16"/>
          <w:color w:val="auto"/>
        </w:rPr>
        <w:t xml:space="preserve">rendimiento de Adaboost en un 5,6%.</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hAnsi="Arial" w:eastAsia="Arial" w:cs="Arial"/>
          <w:sz w:val="16"/>
          <w:szCs w:val="16"/>
          <w:i w:val="1"/>
          <w:iCs w:val="1"/>
          <w:color w:val="auto"/>
        </w:rPr>
        <w:t xml:space="preserve">Ataques de caja gris/negra:</w:t>
      </w:r>
    </w:p>
    <w:p>
      <w:pPr>
        <w:spacing w:after="0" w:line="356" w:lineRule="exact"/>
        <w:rPr>
          <w:sz w:val="20"/>
          <w:szCs w:val="20"/>
          <w:color w:val="auto"/>
        </w:rPr>
      </w:pPr>
    </w:p>
    <w:p>
      <w:pPr>
        <w:jc w:val="both"/>
        <w:ind w:start="400" w:hanging="137"/>
        <w:spacing w:after="0" w:line="353" w:lineRule="auto"/>
        <w:tabs>
          <w:tab w:val="left" w:leader="none" w:pos="400"/>
        </w:tabs>
        <w:numPr>
          <w:ilvl w:val="0"/>
          <w:numId w:val="21"/>
        </w:numPr>
        <w:rPr>
          <w:rFonts w:ascii="Arial" w:hAnsi="Arial" w:eastAsia="Arial" w:cs="Arial"/>
          <w:sz w:val="16"/>
          <w:szCs w:val="16"/>
          <w:b w:val="1"/>
          <w:bCs w:val="1"/>
          <w:color w:val="auto"/>
        </w:rPr>
      </w:pPr>
      <w:r>
        <w:rPr>
          <w:rFonts w:ascii="Arial" w:hAnsi="Arial" w:eastAsia="Arial" w:cs="Arial"/>
          <w:sz w:val="16"/>
          <w:szCs w:val="16"/>
          <w:color w:val="auto"/>
        </w:rPr>
        <w:t xml:space="preserve">En comparación con el ataque de ruido gaussiano, todos los clasificadores son bastante robustos al ataque ZOO, con una pérdida de rendimiento que oscila entre el 0,3% de Adaboost y el 5% de DNN en NSL-KDD. Así, el DNN con el mejor rendimiento de referencia es el más vulnerable al ataque ZOO.</w:t>
      </w:r>
    </w:p>
    <w:p>
      <w:pPr>
        <w:spacing w:after="0" w:line="3" w:lineRule="exact"/>
        <w:rPr>
          <w:rFonts w:ascii="Arial" w:hAnsi="Arial" w:eastAsia="Arial" w:cs="Arial"/>
          <w:sz w:val="16"/>
          <w:szCs w:val="16"/>
          <w:b w:val="1"/>
          <w:bCs w:val="1"/>
          <w:color w:val="auto"/>
        </w:rPr>
      </w:pPr>
    </w:p>
    <w:p>
      <w:pPr>
        <w:jc w:val="both"/>
        <w:ind w:start="400" w:hanging="137"/>
        <w:spacing w:after="0" w:line="331" w:lineRule="auto"/>
        <w:tabs>
          <w:tab w:val="left" w:leader="none" w:pos="400"/>
        </w:tabs>
        <w:numPr>
          <w:ilvl w:val="0"/>
          <w:numId w:val="21"/>
        </w:numPr>
        <w:rPr>
          <w:rFonts w:ascii="Arial" w:hAnsi="Arial" w:eastAsia="Arial" w:cs="Arial"/>
          <w:sz w:val="15"/>
          <w:szCs w:val="15"/>
          <w:b w:val="1"/>
          <w:bCs w:val="1"/>
          <w:color w:val="auto"/>
        </w:rPr>
      </w:pPr>
      <w:r>
        <w:rPr>
          <w:rFonts w:ascii="Arial" w:hAnsi="Arial" w:eastAsia="Arial" w:cs="Arial"/>
          <w:sz w:val="15"/>
          <w:szCs w:val="15"/>
          <w:color w:val="auto"/>
        </w:rPr>
        <w:t xml:space="preserve">Los ataques HopSkipJump y Boundary tienen casi el mismo impacto en todos los clasificadores (cuyo rendimiento cae drásticamente). Esto puede explicarse por el hecho de que ambos ataques son de la misma familia, es decir, HopSkipJump es una extensión del ataque Boundary.</w:t>
      </w:r>
    </w:p>
    <w:p>
      <w:pPr>
        <w:spacing w:after="0" w:line="1" w:lineRule="exact"/>
        <w:rPr>
          <w:rFonts w:ascii="Arial" w:hAnsi="Arial" w:eastAsia="Arial" w:cs="Arial"/>
          <w:sz w:val="15"/>
          <w:szCs w:val="15"/>
          <w:b w:val="1"/>
          <w:bCs w:val="1"/>
          <w:color w:val="auto"/>
        </w:rPr>
      </w:pPr>
    </w:p>
    <w:p>
      <w:pPr>
        <w:jc w:val="both"/>
        <w:ind w:start="400" w:hanging="137"/>
        <w:spacing w:after="0" w:line="313" w:lineRule="auto"/>
        <w:tabs>
          <w:tab w:val="left" w:leader="none" w:pos="400"/>
        </w:tabs>
        <w:numPr>
          <w:ilvl w:val="0"/>
          <w:numId w:val="21"/>
        </w:numPr>
        <w:rPr>
          <w:rFonts w:ascii="Arial" w:hAnsi="Arial" w:eastAsia="Arial" w:cs="Arial"/>
          <w:sz w:val="16"/>
          <w:szCs w:val="16"/>
          <w:b w:val="1"/>
          <w:bCs w:val="1"/>
          <w:color w:val="auto"/>
        </w:rPr>
      </w:pPr>
      <w:r>
        <w:rPr>
          <w:rFonts w:ascii="Arial" w:hAnsi="Arial" w:eastAsia="Arial" w:cs="Arial"/>
          <w:sz w:val="16"/>
          <w:szCs w:val="16"/>
          <w:color w:val="auto"/>
        </w:rPr>
        <w:t xml:space="preserve">A excepción de Adaboost, cuya precisión disminuye sólo un 21% en NSL-KDD para ambos ataques, los demás clasificadores son mucho más vulnerables. De hecho, en NSL-KDD, DNN y RF pierden un 71% y un 68% de su rendimiento respectivamente cuando se enfrentan al ataque Boundary. En cuanto al ataque HopSkipJUmp, tanto Bagging como DT pierden casi el 68% de su rendimiento.</w:t>
      </w:r>
    </w:p>
    <w:p>
      <w:pPr>
        <w:spacing w:after="0" w:line="4" w:lineRule="exact"/>
        <w:rPr>
          <w:rFonts w:ascii="Arial" w:hAnsi="Arial" w:eastAsia="Arial" w:cs="Arial"/>
          <w:sz w:val="16"/>
          <w:szCs w:val="16"/>
          <w:b w:val="1"/>
          <w:bCs w:val="1"/>
          <w:color w:val="auto"/>
        </w:rPr>
      </w:pPr>
    </w:p>
    <w:p>
      <w:pPr>
        <w:ind w:start="400" w:hanging="137"/>
        <w:spacing w:after="0" w:line="347" w:lineRule="auto"/>
        <w:tabs>
          <w:tab w:val="left" w:leader="none" w:pos="400"/>
        </w:tabs>
        <w:numPr>
          <w:ilvl w:val="0"/>
          <w:numId w:val="21"/>
        </w:numPr>
        <w:rPr>
          <w:rFonts w:ascii="Arial" w:hAnsi="Arial" w:eastAsia="Arial" w:cs="Arial"/>
          <w:sz w:val="16"/>
          <w:szCs w:val="16"/>
          <w:b w:val="1"/>
          <w:bCs w:val="1"/>
          <w:color w:val="auto"/>
        </w:rPr>
      </w:pPr>
      <w:r>
        <w:rPr>
          <w:rFonts w:ascii="Arial" w:hAnsi="Arial" w:eastAsia="Arial" w:cs="Arial"/>
          <w:sz w:val="16"/>
          <w:szCs w:val="16"/>
          <w:color w:val="auto"/>
        </w:rPr>
        <w:t xml:space="preserve">El comportamiento de la mayoría de los clasificadores frente a estos ataques es similar en ambas bases de datos.</w:t>
      </w:r>
    </w:p>
    <w:p>
      <w:pPr>
        <w:spacing w:after="0"/>
        <w:rPr>
          <w:sz w:val="20"/>
          <w:szCs w:val="20"/>
          <w:color w:val="auto"/>
        </w:rPr>
      </w:pPr>
      <w:r>
        <w:rPr>
          <w:rFonts w:ascii="Arial" w:hAnsi="Arial" w:eastAsia="Arial" w:cs="Arial"/>
          <w:sz w:val="16"/>
          <w:szCs w:val="16"/>
          <w:i w:val="1"/>
          <w:iCs w:val="1"/>
          <w:color w:val="auto"/>
        </w:rPr>
        <w:t xml:space="preserve">Ataques de caja blanca:</w:t>
      </w:r>
    </w:p>
    <w:p>
      <w:pPr>
        <w:spacing w:after="0" w:line="254" w:lineRule="exact"/>
        <w:rPr>
          <w:sz w:val="20"/>
          <w:szCs w:val="20"/>
          <w:color w:val="auto"/>
        </w:rPr>
      </w:pPr>
    </w:p>
    <w:p>
      <w:pPr>
        <w:ind w:start="400" w:hanging="137"/>
        <w:spacing w:after="0" w:line="398" w:lineRule="auto"/>
        <w:tabs>
          <w:tab w:val="left" w:leader="none" w:pos="400"/>
        </w:tabs>
        <w:numPr>
          <w:ilvl w:val="0"/>
          <w:numId w:val="22"/>
        </w:numPr>
        <w:rPr>
          <w:rFonts w:ascii="Arial" w:hAnsi="Arial" w:eastAsia="Arial" w:cs="Arial"/>
          <w:sz w:val="16"/>
          <w:szCs w:val="16"/>
          <w:b w:val="1"/>
          <w:bCs w:val="1"/>
          <w:color w:val="auto"/>
        </w:rPr>
      </w:pPr>
      <w:r>
        <w:rPr>
          <w:rFonts w:ascii="Arial" w:hAnsi="Arial" w:eastAsia="Arial" w:cs="Arial"/>
          <w:sz w:val="16"/>
          <w:szCs w:val="16"/>
          <w:color w:val="auto"/>
        </w:rPr>
        <w:t xml:space="preserve">FGSM, PGD y BIM, que son ataques de la misma familia, tienen casi el mismo impacto en los clasificadores.</w:t>
      </w:r>
    </w:p>
    <w:p>
      <w:pPr>
        <w:spacing w:after="0" w:line="1" w:lineRule="exact"/>
        <w:rPr>
          <w:rFonts w:ascii="Arial" w:hAnsi="Arial" w:eastAsia="Arial" w:cs="Arial"/>
          <w:sz w:val="16"/>
          <w:szCs w:val="16"/>
          <w:b w:val="1"/>
          <w:bCs w:val="1"/>
          <w:color w:val="auto"/>
        </w:rPr>
      </w:pPr>
    </w:p>
    <w:p>
      <w:pPr>
        <w:jc w:val="both"/>
        <w:ind w:start="400" w:hanging="137"/>
        <w:spacing w:after="0" w:line="310" w:lineRule="auto"/>
        <w:tabs>
          <w:tab w:val="left" w:leader="none" w:pos="400"/>
        </w:tabs>
        <w:numPr>
          <w:ilvl w:val="0"/>
          <w:numId w:val="22"/>
        </w:numPr>
        <w:rPr>
          <w:rFonts w:ascii="Arial" w:hAnsi="Arial" w:eastAsia="Arial" w:cs="Arial"/>
          <w:sz w:val="16"/>
          <w:szCs w:val="16"/>
          <w:b w:val="1"/>
          <w:bCs w:val="1"/>
          <w:color w:val="auto"/>
        </w:rPr>
      </w:pPr>
      <w:r>
        <w:rPr>
          <w:rFonts w:ascii="Arial" w:hAnsi="Arial" w:eastAsia="Arial" w:cs="Arial"/>
          <w:sz w:val="16"/>
          <w:szCs w:val="16"/>
          <w:color w:val="auto"/>
        </w:rPr>
        <w:t xml:space="preserve">JSMA es el ataque más potente; en NSL-KDD, la disminución de la precisión alcanza el 36% para GB. C&amp;W es ligeramente más potente que el trío FGSM, PGD, BIM, pero todos ellos son ataques débiles que provocan una caída de la precisión no superior al 4,7%.</w:t>
      </w:r>
    </w:p>
    <w:p>
      <w:pPr>
        <w:spacing w:after="0" w:line="2" w:lineRule="exact"/>
        <w:rPr>
          <w:rFonts w:ascii="Arial" w:hAnsi="Arial" w:eastAsia="Arial" w:cs="Arial"/>
          <w:sz w:val="16"/>
          <w:szCs w:val="16"/>
          <w:b w:val="1"/>
          <w:bCs w:val="1"/>
          <w:color w:val="auto"/>
        </w:rPr>
      </w:pPr>
    </w:p>
    <w:p>
      <w:pPr>
        <w:jc w:val="both"/>
        <w:ind w:start="400" w:hanging="137"/>
        <w:spacing w:after="0" w:line="327" w:lineRule="auto"/>
        <w:tabs>
          <w:tab w:val="left" w:leader="none" w:pos="400"/>
        </w:tabs>
        <w:numPr>
          <w:ilvl w:val="0"/>
          <w:numId w:val="22"/>
        </w:numPr>
        <w:rPr>
          <w:rFonts w:ascii="Arial" w:hAnsi="Arial" w:eastAsia="Arial" w:cs="Arial"/>
          <w:sz w:val="15"/>
          <w:szCs w:val="15"/>
          <w:b w:val="1"/>
          <w:bCs w:val="1"/>
          <w:color w:val="auto"/>
        </w:rPr>
      </w:pPr>
      <w:r>
        <w:rPr>
          <w:rFonts w:ascii="Arial" w:hAnsi="Arial" w:eastAsia="Arial" w:cs="Arial"/>
          <w:sz w:val="15"/>
          <w:szCs w:val="15"/>
          <w:color w:val="auto"/>
        </w:rPr>
        <w:t xml:space="preserve">Adaboost y Random Forest son los únicos clasificadores resistentes a todos los ataques de caja blanca. La disminución de la precisión se limita al 1,4% y al 3,7% para Adaboost y RF respectivamente en NSL-KDD.</w:t>
      </w:r>
    </w:p>
    <w:p>
      <w:pPr>
        <w:spacing w:after="0" w:line="2" w:lineRule="exact"/>
        <w:rPr>
          <w:rFonts w:ascii="Arial" w:hAnsi="Arial" w:eastAsia="Arial" w:cs="Arial"/>
          <w:sz w:val="15"/>
          <w:szCs w:val="15"/>
          <w:b w:val="1"/>
          <w:bCs w:val="1"/>
          <w:color w:val="auto"/>
        </w:rPr>
      </w:pPr>
    </w:p>
    <w:p>
      <w:pPr>
        <w:ind w:start="400" w:hanging="137"/>
        <w:spacing w:after="0" w:line="347" w:lineRule="auto"/>
        <w:tabs>
          <w:tab w:val="left" w:leader="none" w:pos="400"/>
        </w:tabs>
        <w:numPr>
          <w:ilvl w:val="0"/>
          <w:numId w:val="22"/>
        </w:numPr>
        <w:rPr>
          <w:rFonts w:ascii="Arial" w:hAnsi="Arial" w:eastAsia="Arial" w:cs="Arial"/>
          <w:sz w:val="16"/>
          <w:szCs w:val="16"/>
          <w:b w:val="1"/>
          <w:bCs w:val="1"/>
          <w:color w:val="auto"/>
        </w:rPr>
      </w:pPr>
      <w:r>
        <w:rPr>
          <w:rFonts w:ascii="Arial" w:hAnsi="Arial" w:eastAsia="Arial" w:cs="Arial"/>
          <w:sz w:val="16"/>
          <w:szCs w:val="16"/>
          <w:color w:val="auto"/>
        </w:rPr>
        <w:t xml:space="preserve">Los clasificadores son más vulnerables a estos ataques en la base de datos UNSW-NB15 que en la base de datos NSL-KDD.</w:t>
      </w:r>
    </w:p>
    <w:p>
      <w:pPr>
        <w:jc w:val="both"/>
        <w:spacing w:after="0" w:line="422" w:lineRule="auto"/>
        <w:rPr>
          <w:sz w:val="20"/>
          <w:szCs w:val="20"/>
          <w:color w:val="auto"/>
        </w:rPr>
      </w:pPr>
      <w:r>
        <w:rPr>
          <w:rFonts w:ascii="Arial" w:hAnsi="Arial" w:eastAsia="Arial" w:cs="Arial"/>
          <w:sz w:val="15"/>
          <w:szCs w:val="15"/>
          <w:i w:val="1"/>
          <w:iCs w:val="1"/>
          <w:color w:val="auto"/>
        </w:rPr>
        <w:t xml:space="preserve">5.1.2.2. </w:t>
      </w:r>
      <w:r>
        <w:rPr>
          <w:rFonts w:ascii="Arial" w:hAnsi="Arial" w:eastAsia="Arial" w:cs="Arial"/>
          <w:sz w:val="15"/>
          <w:szCs w:val="15"/>
          <w:b w:val="1"/>
          <w:bCs w:val="1"/>
          <w:i w:val="1"/>
          <w:iCs w:val="1"/>
          <w:color w:val="auto"/>
        </w:rPr>
        <w:t xml:space="preserve">Tasa de falsos negativos</w:t>
      </w:r>
      <w:r>
        <w:rPr>
          <w:rFonts w:ascii="Arial" w:hAnsi="Arial" w:eastAsia="Arial" w:cs="Arial"/>
          <w:sz w:val="15"/>
          <w:szCs w:val="15"/>
          <w:i w:val="1"/>
          <w:iCs w:val="1"/>
          <w:color w:val="auto"/>
        </w:rPr>
        <w:t xml:space="preserve">. </w:t>
      </w:r>
      <w:r>
        <w:rPr>
          <w:rFonts w:ascii="Arial" w:hAnsi="Arial" w:eastAsia="Arial" w:cs="Arial"/>
          <w:sz w:val="15"/>
          <w:szCs w:val="15"/>
          <w:color w:val="auto"/>
        </w:rPr>
        <w:t xml:space="preserve">Los resultados se muestran en las segundas subtablas de </w:t>
      </w:r>
      <w:r>
        <w:rPr>
          <w:rFonts w:ascii="Arial" w:hAnsi="Arial" w:eastAsia="Arial" w:cs="Arial"/>
          <w:sz w:val="15"/>
          <w:szCs w:val="15"/>
          <w:color w:val="0080AC"/>
        </w:rPr>
        <w:t xml:space="preserve">las Tablas 4 </w:t>
      </w:r>
      <w:r>
        <w:rPr>
          <w:rFonts w:ascii="Arial" w:hAnsi="Arial" w:eastAsia="Arial" w:cs="Arial"/>
          <w:sz w:val="15"/>
          <w:szCs w:val="15"/>
          <w:color w:val="auto"/>
        </w:rPr>
        <w:t xml:space="preserve">y </w:t>
      </w:r>
      <w:r>
        <w:rPr>
          <w:rFonts w:ascii="Arial" w:hAnsi="Arial" w:eastAsia="Arial" w:cs="Arial"/>
          <w:sz w:val="15"/>
          <w:szCs w:val="15"/>
          <w:color w:val="0080AC"/>
        </w:rPr>
        <w:t xml:space="preserve">5</w:t>
      </w:r>
      <w:r>
        <w:rPr>
          <w:rFonts w:ascii="Arial" w:hAnsi="Arial" w:eastAsia="Arial" w:cs="Arial"/>
          <w:sz w:val="15"/>
          <w:szCs w:val="15"/>
          <w:color w:val="auto"/>
        </w:rPr>
        <w:t xml:space="preserve">. El objetivo de esta evaluación es medir la capacidad de los clasificadores para bloquear el tráfico malicioso. Recordemos que el FNR mide el porcentaje de tráfico malicioso clasificado como legítimo, por lo que cuanto menor sea el FNR, mejor será el rendimiento del clasificador.</w:t>
      </w:r>
    </w:p>
    <w:p>
      <w:pPr>
        <w:spacing w:after="0" w:line="2" w:lineRule="exact"/>
        <w:rPr>
          <w:sz w:val="20"/>
          <w:szCs w:val="20"/>
          <w:color w:val="auto"/>
        </w:rPr>
      </w:pPr>
    </w:p>
    <w:p>
      <w:pPr>
        <w:sectPr>
          <w:pgSz w:w="11900" w:h="15874" w:orient="portrait"/>
          <w:cols w:equalWidth="0" w:num="2">
            <w:col w:w="5020" w:space="360"/>
            <w:col w:w="5020"/>
          </w:cols>
          <w:pgMar w:top="492" w:right="746" w:bottom="85" w:left="760" w:header="0" w:footer="0" w:gutter="0"/>
          <w:type w:val="continuous"/>
        </w:sectPr>
      </w:pPr>
    </w:p>
    <w:p>
      <w:pPr>
        <w:jc w:val="center"/>
        <w:spacing w:after="0"/>
        <w:rPr>
          <w:sz w:val="20"/>
          <w:szCs w:val="20"/>
          <w:color w:val="auto"/>
        </w:rPr>
      </w:pPr>
      <w:r>
        <w:rPr>
          <w:rFonts w:ascii="Arial" w:hAnsi="Arial" w:eastAsia="Arial" w:cs="Arial"/>
          <w:sz w:val="13"/>
          <w:szCs w:val="13"/>
          <w:color w:val="auto"/>
        </w:rPr>
        <w:t xml:space="preserve">8</w:t>
      </w:r>
    </w:p>
    <w:p>
      <w:pPr>
        <w:sectPr>
          <w:pgSz w:w="11900" w:h="15874" w:orient="portrait"/>
          <w:cols w:equalWidth="0" w:num="1">
            <w:col w:w="10400"/>
          </w:cols>
          <w:pgMar w:top="492" w:right="746" w:bottom="85" w:left="760" w:header="0" w:footer="0" w:gutter="0"/>
          <w:type w:val="continuous"/>
        </w:sectPr>
      </w:pPr>
    </w:p>
    <w:bookmarkStart w:name="page9" w:id="8"/>
    <w:bookmarkEnd w:id="8"/>
    <w:p>
      <w:pPr>
        <w:spacing w:after="0"/>
        <w:rPr>
          <w:sz w:val="20"/>
          <w:szCs w:val="20"/>
          <w:color w:val="auto"/>
        </w:rPr>
      </w:pPr>
      <w:r>
        <w:rPr>
          <w:rFonts w:ascii="Arial" w:hAnsi="Arial" w:eastAsia="Arial" w:cs="Arial"/>
          <w:sz w:val="13"/>
          <w:szCs w:val="13"/>
          <w:i w:val="1"/>
          <w:iCs w:val="1"/>
          <w:color w:val="auto"/>
        </w:rPr>
        <w:t xml:space="preserve">H. Jmila y M.I. Khedher</w:t>
      </w:r>
    </w:p>
    <w:p>
      <w:pPr>
        <w:spacing w:after="0" w:line="318" w:lineRule="exact"/>
        <w:rPr>
          <w:sz w:val="20"/>
          <w:szCs w:val="20"/>
          <w:color w:val="auto"/>
        </w:rPr>
      </w:pPr>
    </w:p>
    <w:p>
      <w:pPr>
        <w:ind w:start="240"/>
        <w:spacing w:after="0"/>
        <w:rPr>
          <w:sz w:val="20"/>
          <w:szCs w:val="20"/>
          <w:color w:val="auto"/>
        </w:rPr>
      </w:pPr>
      <w:r>
        <w:rPr>
          <w:rFonts w:ascii="Arial" w:hAnsi="Arial" w:eastAsia="Arial" w:cs="Arial"/>
          <w:sz w:val="16"/>
          <w:szCs w:val="16"/>
          <w:i w:val="1"/>
          <w:iCs w:val="1"/>
          <w:color w:val="auto"/>
        </w:rPr>
        <w:t xml:space="preserve">Ataque de ruido gaussiano:</w:t>
      </w:r>
    </w:p>
    <w:p>
      <w:pPr>
        <w:spacing w:after="0" w:line="175" w:lineRule="exact"/>
        <w:rPr>
          <w:sz w:val="20"/>
          <w:szCs w:val="20"/>
          <w:color w:val="auto"/>
        </w:rPr>
      </w:pPr>
    </w:p>
    <w:p>
      <w:pPr>
        <w:jc w:val="both"/>
        <w:ind w:start="400" w:hanging="137"/>
        <w:spacing w:after="0" w:line="292" w:lineRule="auto"/>
        <w:tabs>
          <w:tab w:val="left" w:leader="none" w:pos="400"/>
        </w:tabs>
        <w:numPr>
          <w:ilvl w:val="0"/>
          <w:numId w:val="23"/>
        </w:numPr>
        <w:rPr>
          <w:rFonts w:ascii="Arial" w:hAnsi="Arial" w:eastAsia="Arial" w:cs="Arial"/>
          <w:sz w:val="16"/>
          <w:szCs w:val="16"/>
          <w:b w:val="1"/>
          <w:bCs w:val="1"/>
          <w:color w:val="auto"/>
        </w:rPr>
      </w:pPr>
      <w:r>
        <w:rPr>
          <w:rFonts w:ascii="Arial" w:hAnsi="Arial" w:eastAsia="Arial" w:cs="Arial"/>
          <w:sz w:val="16"/>
          <w:szCs w:val="16"/>
          <w:color w:val="auto"/>
        </w:rPr>
        <w:t xml:space="preserve">Los resultados muestran que FNR puede disminuir tras la perturbación de los datos, es decir, los datos maliciosos clasificados inicialmente como ilegítimos se clasifican erróneamente como legítimos tras la perturbación por ruido gaussiano. Esto refleja una mejora en el rendimiento del clasificador, como ocurre con Adaboost, GB, LR y SVC en el conjunto de datos NSL-KDD. En </w:t>
      </w:r>
      <w:r>
        <w:rPr>
          <w:rFonts w:ascii="Arial" w:hAnsi="Arial" w:eastAsia="Arial" w:cs="Arial"/>
          <w:sz w:val="16"/>
          <w:szCs w:val="16"/>
          <w:color w:val="auto"/>
        </w:rPr>
        <w:t xml:space="preserve">cuanto a los clasificadores Bagging, DT, DNN y RF, el FNR aumenta un 23%, 13,2%, 22% y 11% para a = 0</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02, lo que refleja la disminución general de la precisión descrita en la primera subtabla de </w:t>
      </w:r>
      <w:r>
        <w:rPr>
          <w:rFonts w:ascii="Arial" w:hAnsi="Arial" w:eastAsia="Arial" w:cs="Arial"/>
          <w:sz w:val="16"/>
          <w:szCs w:val="16"/>
          <w:color w:val="0080AC"/>
        </w:rPr>
        <w:t xml:space="preserve">la Tabla 4</w:t>
      </w:r>
      <w:r>
        <w:rPr>
          <w:rFonts w:ascii="Arial" w:hAnsi="Arial" w:eastAsia="Arial" w:cs="Arial"/>
          <w:sz w:val="16"/>
          <w:szCs w:val="16"/>
          <w:color w:val="auto"/>
        </w:rPr>
        <w:t xml:space="preserve">.</w:t>
      </w:r>
    </w:p>
    <w:p>
      <w:pPr>
        <w:spacing w:after="0" w:line="1" w:lineRule="exact"/>
        <w:rPr>
          <w:rFonts w:ascii="Arial" w:hAnsi="Arial" w:eastAsia="Arial" w:cs="Arial"/>
          <w:sz w:val="16"/>
          <w:szCs w:val="16"/>
          <w:b w:val="1"/>
          <w:bCs w:val="1"/>
          <w:color w:val="auto"/>
        </w:rPr>
      </w:pPr>
    </w:p>
    <w:p>
      <w:pPr>
        <w:jc w:val="both"/>
        <w:ind w:start="400" w:hanging="137"/>
        <w:spacing w:after="0" w:line="269" w:lineRule="auto"/>
        <w:tabs>
          <w:tab w:val="left" w:leader="none" w:pos="400"/>
        </w:tabs>
        <w:numPr>
          <w:ilvl w:val="0"/>
          <w:numId w:val="23"/>
        </w:numPr>
        <w:rPr>
          <w:rFonts w:ascii="Arial" w:hAnsi="Arial" w:eastAsia="Arial" w:cs="Arial"/>
          <w:sz w:val="16"/>
          <w:szCs w:val="16"/>
          <w:b w:val="1"/>
          <w:bCs w:val="1"/>
          <w:color w:val="auto"/>
        </w:rPr>
      </w:pPr>
      <w:r>
        <w:rPr>
          <w:rFonts w:ascii="Arial" w:hAnsi="Arial" w:eastAsia="Arial" w:cs="Arial"/>
          <w:sz w:val="16"/>
          <w:szCs w:val="16"/>
          <w:color w:val="auto"/>
        </w:rPr>
        <w:t xml:space="preserve">El resultado de GB en el conjunto de datos NSL-KDD es especialmente interesante porque el ruido gaussiano tiene un impacto contradictorio en la precisión y el FNR. De </w:t>
      </w:r>
      <w:r>
        <w:rPr>
          <w:rFonts w:ascii="Arial" w:hAnsi="Arial" w:eastAsia="Arial" w:cs="Arial"/>
          <w:sz w:val="16"/>
          <w:szCs w:val="16"/>
          <w:color w:val="auto"/>
        </w:rPr>
        <w:t xml:space="preserve">hecho, el rendimiento general del clasificador se degradó (la precisión disminuyó hasta un 21,68% para = 0</w:t>
      </w:r>
      <w:r>
        <w:rPr>
          <w:rFonts w:ascii="Arial" w:hAnsi="Arial" w:eastAsia="Arial" w:cs="Arial"/>
          <w:sz w:val="16"/>
          <w:szCs w:val="16"/>
          <w:i w:val="1"/>
          <w:iCs w:val="1"/>
          <w:color w:val="auto"/>
        </w:rPr>
        <w:t xml:space="preserve">,2</w:t>
      </w:r>
      <w:r>
        <w:rPr>
          <w:rFonts w:ascii="Arial" w:hAnsi="Arial" w:eastAsia="Arial" w:cs="Arial"/>
          <w:sz w:val="16"/>
          <w:szCs w:val="16"/>
          <w:color w:val="auto"/>
        </w:rPr>
        <w:t xml:space="preserve">), mientras que el FNR también disminuyó (un 25,6% para = 0</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2), lo que significa que se bloqueó más tráfico malicioso. Así pues, la degradación del rendimiento general del clasificador puede deberse a la clasificación errónea del tráfico benigno como ilegítimo, lo que provoca </w:t>
      </w:r>
      <w:r>
        <w:rPr>
          <w:rFonts w:ascii="Arial" w:hAnsi="Arial" w:eastAsia="Arial" w:cs="Arial"/>
          <w:sz w:val="16"/>
          <w:szCs w:val="16"/>
          <w:i w:val="1"/>
          <w:iCs w:val="1"/>
          <w:color w:val="auto"/>
        </w:rPr>
        <w:t xml:space="preserve">falsas alarmas</w:t>
      </w:r>
      <w:r>
        <w:rPr>
          <w:rFonts w:ascii="Arial" w:hAnsi="Arial" w:eastAsia="Arial" w:cs="Arial"/>
          <w:sz w:val="16"/>
          <w:szCs w:val="16"/>
          <w:color w:val="auto"/>
        </w:rPr>
        <w:t xml:space="preserve">.</w:t>
      </w:r>
    </w:p>
    <w:p>
      <w:pPr>
        <w:spacing w:after="0" w:line="5" w:lineRule="exact"/>
        <w:rPr>
          <w:rFonts w:ascii="Arial" w:hAnsi="Arial" w:eastAsia="Arial" w:cs="Arial"/>
          <w:sz w:val="16"/>
          <w:szCs w:val="16"/>
          <w:b w:val="1"/>
          <w:bCs w:val="1"/>
          <w:color w:val="auto"/>
        </w:rPr>
      </w:pPr>
    </w:p>
    <w:p>
      <w:pPr>
        <w:jc w:val="both"/>
        <w:ind w:start="400" w:hanging="137"/>
        <w:spacing w:after="0" w:line="290" w:lineRule="auto"/>
        <w:tabs>
          <w:tab w:val="left" w:leader="none" w:pos="400"/>
        </w:tabs>
        <w:numPr>
          <w:ilvl w:val="0"/>
          <w:numId w:val="23"/>
        </w:numPr>
        <w:rPr>
          <w:rFonts w:ascii="Arial" w:hAnsi="Arial" w:eastAsia="Arial" w:cs="Arial"/>
          <w:sz w:val="16"/>
          <w:szCs w:val="16"/>
          <w:b w:val="1"/>
          <w:bCs w:val="1"/>
          <w:color w:val="auto"/>
        </w:rPr>
      </w:pPr>
      <w:r>
        <w:rPr>
          <w:rFonts w:ascii="Arial" w:hAnsi="Arial" w:eastAsia="Arial" w:cs="Arial"/>
          <w:sz w:val="16"/>
          <w:szCs w:val="16"/>
          <w:color w:val="auto"/>
        </w:rPr>
        <w:t xml:space="preserve">Observamos que en la base de datos UNSW-NB15, en la que todos los clasificadores tenían bajos índices de falsos negativos en ausencia de ataques adversarios, los índices de falsos negativos aumentan significativamente, lo que demuestra su sensibilidad a estos ataques, especialmente en el caso de los clasificadores Bagging y RF.</w:t>
      </w:r>
    </w:p>
    <w:p>
      <w:pPr>
        <w:spacing w:after="0" w:line="2" w:lineRule="exact"/>
        <w:rPr>
          <w:sz w:val="20"/>
          <w:szCs w:val="20"/>
          <w:color w:val="auto"/>
        </w:rPr>
      </w:pPr>
    </w:p>
    <w:p>
      <w:pPr>
        <w:ind w:start="240"/>
        <w:spacing w:after="0"/>
        <w:rPr>
          <w:sz w:val="20"/>
          <w:szCs w:val="20"/>
          <w:color w:val="auto"/>
        </w:rPr>
      </w:pPr>
      <w:r>
        <w:rPr>
          <w:rFonts w:ascii="Arial" w:hAnsi="Arial" w:eastAsia="Arial" w:cs="Arial"/>
          <w:sz w:val="16"/>
          <w:szCs w:val="16"/>
          <w:i w:val="1"/>
          <w:iCs w:val="1"/>
          <w:color w:val="auto"/>
        </w:rPr>
        <w:t xml:space="preserve">Ataques de caja gris/negra:</w:t>
      </w:r>
    </w:p>
    <w:p>
      <w:pPr>
        <w:spacing w:after="0" w:line="98" w:lineRule="exact"/>
        <w:rPr>
          <w:sz w:val="20"/>
          <w:szCs w:val="20"/>
          <w:color w:val="auto"/>
        </w:rPr>
      </w:pPr>
    </w:p>
    <w:p>
      <w:pPr>
        <w:jc w:val="both"/>
        <w:ind w:start="400" w:hanging="137"/>
        <w:spacing w:after="0" w:line="303" w:lineRule="auto"/>
        <w:tabs>
          <w:tab w:val="left" w:leader="none" w:pos="400"/>
        </w:tabs>
        <w:numPr>
          <w:ilvl w:val="0"/>
          <w:numId w:val="24"/>
        </w:numPr>
        <w:rPr>
          <w:rFonts w:ascii="Arial" w:hAnsi="Arial" w:eastAsia="Arial" w:cs="Arial"/>
          <w:sz w:val="16"/>
          <w:szCs w:val="16"/>
          <w:b w:val="1"/>
          <w:bCs w:val="1"/>
          <w:color w:val="auto"/>
        </w:rPr>
      </w:pPr>
      <w:r>
        <w:rPr>
          <w:rFonts w:ascii="Arial" w:hAnsi="Arial" w:eastAsia="Arial" w:cs="Arial"/>
          <w:sz w:val="16"/>
          <w:szCs w:val="16"/>
          <w:color w:val="auto"/>
        </w:rPr>
        <w:t xml:space="preserve">Adaboost es robusto frente a los tres ataques gray/back-box en el conjunto de datos NSL-KDD. Su aumento de FNR no supera el 3,1% (en el caso del ataque HopSkipJump). Sin embargo, en UNSW-NB15, el FNR aumenta exponencialmente contra Boundary y HopSkipJum y alcanza el 98,23%.</w:t>
      </w:r>
    </w:p>
    <w:p>
      <w:pPr>
        <w:spacing w:after="0" w:line="1" w:lineRule="exact"/>
        <w:rPr>
          <w:rFonts w:ascii="Arial" w:hAnsi="Arial" w:eastAsia="Arial" w:cs="Arial"/>
          <w:sz w:val="16"/>
          <w:szCs w:val="16"/>
          <w:b w:val="1"/>
          <w:bCs w:val="1"/>
          <w:color w:val="auto"/>
        </w:rPr>
      </w:pPr>
    </w:p>
    <w:p>
      <w:pPr>
        <w:jc w:val="both"/>
        <w:ind w:start="400" w:hanging="137"/>
        <w:spacing w:after="0" w:line="272" w:lineRule="auto"/>
        <w:tabs>
          <w:tab w:val="left" w:leader="none" w:pos="400"/>
        </w:tabs>
        <w:numPr>
          <w:ilvl w:val="0"/>
          <w:numId w:val="24"/>
        </w:numPr>
        <w:rPr>
          <w:rFonts w:ascii="Arial" w:hAnsi="Arial" w:eastAsia="Arial" w:cs="Arial"/>
          <w:sz w:val="16"/>
          <w:szCs w:val="16"/>
          <w:b w:val="1"/>
          <w:bCs w:val="1"/>
          <w:color w:val="auto"/>
        </w:rPr>
      </w:pPr>
      <w:r>
        <w:rPr>
          <w:rFonts w:ascii="Arial" w:hAnsi="Arial" w:eastAsia="Arial" w:cs="Arial"/>
          <w:sz w:val="16"/>
          <w:szCs w:val="16"/>
          <w:color w:val="auto"/>
        </w:rPr>
        <w:t xml:space="preserve">Los ataques HopSkipJump y Boundary tienen el mismo impacto en los demás clasificadores. De hecho, el FNR alcanza el 100%, lo que significa que el ruido adverso consigue clasificar erróneamente todas las muestras maliciosas en benignas.</w:t>
      </w:r>
    </w:p>
    <w:p>
      <w:pPr>
        <w:spacing w:after="0" w:line="2" w:lineRule="exact"/>
        <w:rPr>
          <w:rFonts w:ascii="Arial" w:hAnsi="Arial" w:eastAsia="Arial" w:cs="Arial"/>
          <w:sz w:val="16"/>
          <w:szCs w:val="16"/>
          <w:b w:val="1"/>
          <w:bCs w:val="1"/>
          <w:color w:val="auto"/>
        </w:rPr>
      </w:pPr>
    </w:p>
    <w:p>
      <w:pPr>
        <w:ind w:start="400" w:hanging="137"/>
        <w:spacing w:after="0" w:line="269" w:lineRule="auto"/>
        <w:tabs>
          <w:tab w:val="left" w:leader="none" w:pos="400"/>
        </w:tabs>
        <w:numPr>
          <w:ilvl w:val="0"/>
          <w:numId w:val="24"/>
        </w:numPr>
        <w:rPr>
          <w:rFonts w:ascii="Arial" w:hAnsi="Arial" w:eastAsia="Arial" w:cs="Arial"/>
          <w:sz w:val="16"/>
          <w:szCs w:val="16"/>
          <w:b w:val="1"/>
          <w:bCs w:val="1"/>
          <w:color w:val="auto"/>
        </w:rPr>
      </w:pPr>
      <w:r>
        <w:rPr>
          <w:rFonts w:ascii="Arial" w:hAnsi="Arial" w:eastAsia="Arial" w:cs="Arial"/>
          <w:sz w:val="16"/>
          <w:szCs w:val="16"/>
          <w:color w:val="auto"/>
        </w:rPr>
        <w:t xml:space="preserve">HopSkipJump y Boundary son más potentes que ZooAttack en la mayoría de los casos.</w:t>
      </w:r>
    </w:p>
    <w:p>
      <w:pPr>
        <w:spacing w:after="0" w:line="1" w:lineRule="exact"/>
        <w:rPr>
          <w:rFonts w:ascii="Arial" w:hAnsi="Arial" w:eastAsia="Arial" w:cs="Arial"/>
          <w:sz w:val="16"/>
          <w:szCs w:val="16"/>
          <w:b w:val="1"/>
          <w:bCs w:val="1"/>
          <w:color w:val="auto"/>
        </w:rPr>
      </w:pPr>
    </w:p>
    <w:p>
      <w:pPr>
        <w:jc w:val="both"/>
        <w:ind w:start="400" w:hanging="137"/>
        <w:spacing w:after="0" w:line="304" w:lineRule="auto"/>
        <w:tabs>
          <w:tab w:val="left" w:leader="none" w:pos="400"/>
        </w:tabs>
        <w:numPr>
          <w:ilvl w:val="0"/>
          <w:numId w:val="24"/>
        </w:numPr>
        <w:rPr>
          <w:rFonts w:ascii="Arial" w:hAnsi="Arial" w:eastAsia="Arial" w:cs="Arial"/>
          <w:sz w:val="16"/>
          <w:szCs w:val="16"/>
          <w:b w:val="1"/>
          <w:bCs w:val="1"/>
          <w:color w:val="auto"/>
        </w:rPr>
      </w:pPr>
      <w:r>
        <w:rPr>
          <w:rFonts w:ascii="Arial" w:hAnsi="Arial" w:eastAsia="Arial" w:cs="Arial"/>
          <w:sz w:val="16"/>
          <w:szCs w:val="16"/>
          <w:color w:val="auto"/>
        </w:rPr>
        <w:t xml:space="preserve">A diferencia de NSL-KDD, algunos algoritmos (DNN, LR, RF, SVC) son muy robustos a estos ataques en el UNSW-NB15 desde el punto de vista del FNR, que no aumenta.</w:t>
      </w:r>
    </w:p>
    <w:p>
      <w:pPr>
        <w:spacing w:after="0" w:line="1" w:lineRule="exact"/>
        <w:rPr>
          <w:sz w:val="20"/>
          <w:szCs w:val="20"/>
          <w:color w:val="auto"/>
        </w:rPr>
      </w:pPr>
    </w:p>
    <w:p>
      <w:pPr>
        <w:ind w:start="240"/>
        <w:spacing w:after="0"/>
        <w:rPr>
          <w:sz w:val="20"/>
          <w:szCs w:val="20"/>
          <w:color w:val="auto"/>
        </w:rPr>
      </w:pPr>
      <w:r>
        <w:rPr>
          <w:rFonts w:ascii="Arial" w:hAnsi="Arial" w:eastAsia="Arial" w:cs="Arial"/>
          <w:sz w:val="16"/>
          <w:szCs w:val="16"/>
          <w:i w:val="1"/>
          <w:iCs w:val="1"/>
          <w:color w:val="auto"/>
        </w:rPr>
        <w:t xml:space="preserve">Ataques de caja blanca:</w:t>
      </w:r>
    </w:p>
    <w:p>
      <w:pPr>
        <w:spacing w:after="0" w:line="125" w:lineRule="exact"/>
        <w:rPr>
          <w:sz w:val="20"/>
          <w:szCs w:val="20"/>
          <w:color w:val="auto"/>
        </w:rPr>
      </w:pPr>
    </w:p>
    <w:p>
      <w:pPr>
        <w:jc w:val="both"/>
        <w:ind w:start="400" w:hanging="137"/>
        <w:spacing w:after="0" w:line="314" w:lineRule="auto"/>
        <w:tabs>
          <w:tab w:val="left" w:leader="none" w:pos="400"/>
        </w:tabs>
        <w:numPr>
          <w:ilvl w:val="0"/>
          <w:numId w:val="25"/>
        </w:numPr>
        <w:rPr>
          <w:rFonts w:ascii="Arial" w:hAnsi="Arial" w:eastAsia="Arial" w:cs="Arial"/>
          <w:sz w:val="16"/>
          <w:szCs w:val="16"/>
          <w:b w:val="1"/>
          <w:bCs w:val="1"/>
          <w:color w:val="auto"/>
        </w:rPr>
      </w:pPr>
      <w:r>
        <w:rPr>
          <w:rFonts w:ascii="Arial" w:hAnsi="Arial" w:eastAsia="Arial" w:cs="Arial"/>
          <w:sz w:val="16"/>
          <w:szCs w:val="16"/>
          <w:color w:val="auto"/>
        </w:rPr>
        <w:t xml:space="preserve">en el conjunto de datos NSL-KDD, JSMA tiene la mayor influencia en la desviación de FNR, ya sea positiva o negativa. Se observa principalmente que el FNR de DT aumenta un 41% para DT y un 41% y un 10% para Adaboost y LG respectivamente.</w:t>
      </w:r>
    </w:p>
    <w:p>
      <w:pPr>
        <w:spacing w:after="0" w:line="1" w:lineRule="exact"/>
        <w:rPr>
          <w:rFonts w:ascii="Arial" w:hAnsi="Arial" w:eastAsia="Arial" w:cs="Arial"/>
          <w:sz w:val="16"/>
          <w:szCs w:val="16"/>
          <w:b w:val="1"/>
          <w:bCs w:val="1"/>
          <w:color w:val="auto"/>
        </w:rPr>
      </w:pPr>
    </w:p>
    <w:p>
      <w:pPr>
        <w:jc w:val="both"/>
        <w:ind w:start="400" w:hanging="137"/>
        <w:spacing w:after="0" w:line="290" w:lineRule="auto"/>
        <w:tabs>
          <w:tab w:val="left" w:leader="none" w:pos="400"/>
        </w:tabs>
        <w:numPr>
          <w:ilvl w:val="0"/>
          <w:numId w:val="25"/>
        </w:numPr>
        <w:rPr>
          <w:rFonts w:ascii="Arial" w:hAnsi="Arial" w:eastAsia="Arial" w:cs="Arial"/>
          <w:sz w:val="15"/>
          <w:szCs w:val="15"/>
          <w:b w:val="1"/>
          <w:bCs w:val="1"/>
          <w:color w:val="auto"/>
        </w:rPr>
      </w:pPr>
      <w:r>
        <w:rPr>
          <w:rFonts w:ascii="Arial" w:hAnsi="Arial" w:eastAsia="Arial" w:cs="Arial"/>
          <w:sz w:val="15"/>
          <w:szCs w:val="15"/>
          <w:color w:val="auto"/>
        </w:rPr>
        <w:t xml:space="preserve">Aunque los resultados no difieren significativamente de los resultados de referencia para FGSM, PDG y BIM en el conjunto de datos NSL-KDD, observamos que DNN es el clasificador más afectado (un aumento del FNR de hasta el 8,7%), mientras que el FNR de Adaboost y Gradient Boosting disminuye ligeramente, lo que refleja una mejor clasificación del tráfico malicioso.</w:t>
      </w:r>
    </w:p>
    <w:p>
      <w:pPr>
        <w:spacing w:after="0" w:line="1" w:lineRule="exact"/>
        <w:rPr>
          <w:rFonts w:ascii="Arial" w:hAnsi="Arial" w:eastAsia="Arial" w:cs="Arial"/>
          <w:sz w:val="15"/>
          <w:szCs w:val="15"/>
          <w:b w:val="1"/>
          <w:bCs w:val="1"/>
          <w:color w:val="auto"/>
        </w:rPr>
      </w:pPr>
    </w:p>
    <w:p>
      <w:pPr>
        <w:jc w:val="both"/>
        <w:ind w:start="400" w:hanging="137"/>
        <w:spacing w:after="0" w:line="295" w:lineRule="auto"/>
        <w:tabs>
          <w:tab w:val="left" w:leader="none" w:pos="400"/>
        </w:tabs>
        <w:numPr>
          <w:ilvl w:val="0"/>
          <w:numId w:val="25"/>
        </w:numPr>
        <w:rPr>
          <w:rFonts w:ascii="Arial" w:hAnsi="Arial" w:eastAsia="Arial" w:cs="Arial"/>
          <w:sz w:val="16"/>
          <w:szCs w:val="16"/>
          <w:b w:val="1"/>
          <w:bCs w:val="1"/>
          <w:color w:val="auto"/>
        </w:rPr>
      </w:pPr>
      <w:r>
        <w:rPr>
          <w:rFonts w:ascii="Arial" w:hAnsi="Arial" w:eastAsia="Arial" w:cs="Arial"/>
          <w:sz w:val="16"/>
          <w:szCs w:val="16"/>
          <w:color w:val="auto"/>
        </w:rPr>
        <w:t xml:space="preserve">El impacto de estos ataques en el FNR de los clasificadores es mucho más notable en el conjunto de datos UNSW-NB15, que aumenta exponencialmente para la mayoría de los clasificadores excepto para Adabooost, que mantiene un FNR bajo.</w:t>
      </w:r>
    </w:p>
    <w:p>
      <w:pPr>
        <w:spacing w:after="0" w:line="2"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5.2. Aplicación de técnicas de defensa</w:t>
      </w:r>
    </w:p>
    <w:p>
      <w:pPr>
        <w:spacing w:after="0" w:line="225" w:lineRule="exact"/>
        <w:rPr>
          <w:sz w:val="20"/>
          <w:szCs w:val="20"/>
          <w:color w:val="auto"/>
        </w:rPr>
      </w:pPr>
    </w:p>
    <w:p>
      <w:pPr>
        <w:jc w:val="both"/>
        <w:spacing w:after="0" w:line="354" w:lineRule="auto"/>
        <w:rPr>
          <w:sz w:val="20"/>
          <w:szCs w:val="20"/>
          <w:color w:val="auto"/>
        </w:rPr>
      </w:pPr>
      <w:r>
        <w:rPr>
          <w:rFonts w:ascii="Arial" w:hAnsi="Arial" w:eastAsia="Arial" w:cs="Arial"/>
          <w:sz w:val="16"/>
          <w:szCs w:val="16"/>
          <w:i w:val="1"/>
          <w:iCs w:val="1"/>
          <w:color w:val="auto"/>
        </w:rPr>
        <w:t xml:space="preserve">5.2.1. Escenario 3: medición del rendimiento en un entorno no adversarial con entrenamiento en datos aumentados</w:t>
      </w:r>
    </w:p>
    <w:p>
      <w:pPr>
        <w:spacing w:after="0" w:line="1" w:lineRule="exact"/>
        <w:rPr>
          <w:sz w:val="20"/>
          <w:szCs w:val="20"/>
          <w:color w:val="auto"/>
        </w:rPr>
      </w:pPr>
    </w:p>
    <w:p>
      <w:pPr>
        <w:jc w:val="both"/>
        <w:ind w:firstLine="239"/>
        <w:spacing w:after="0" w:line="319" w:lineRule="auto"/>
        <w:rPr>
          <w:sz w:val="20"/>
          <w:szCs w:val="20"/>
          <w:color w:val="auto"/>
        </w:rPr>
      </w:pPr>
      <w:r>
        <w:rPr>
          <w:rFonts w:ascii="Arial" w:hAnsi="Arial" w:eastAsia="Arial" w:cs="Arial"/>
          <w:sz w:val="15"/>
          <w:szCs w:val="15"/>
          <w:color w:val="auto"/>
        </w:rPr>
        <w:t xml:space="preserve">Comparando el rendimiento de los clasificadores entrenados en la base de datos aumentada en un entorno no adversarial (primeras filas de </w:t>
      </w:r>
      <w:r>
        <w:rPr>
          <w:rFonts w:ascii="Arial" w:hAnsi="Arial" w:eastAsia="Arial" w:cs="Arial"/>
          <w:sz w:val="15"/>
          <w:szCs w:val="15"/>
          <w:color w:val="0080AC"/>
        </w:rPr>
        <w:t xml:space="preserve">las Tablas 4 </w:t>
      </w:r>
      <w:r>
        <w:rPr>
          <w:rFonts w:ascii="Arial" w:hAnsi="Arial" w:eastAsia="Arial" w:cs="Arial"/>
          <w:sz w:val="15"/>
          <w:szCs w:val="15"/>
          <w:color w:val="auto"/>
        </w:rPr>
        <w:t xml:space="preserve">y </w:t>
      </w:r>
      <w:r>
        <w:rPr>
          <w:rFonts w:ascii="Arial" w:hAnsi="Arial" w:eastAsia="Arial" w:cs="Arial"/>
          <w:sz w:val="15"/>
          <w:szCs w:val="15"/>
          <w:color w:val="0080AC"/>
        </w:rPr>
        <w:t xml:space="preserve">5</w:t>
      </w:r>
      <w:r>
        <w:rPr>
          <w:rFonts w:ascii="Arial" w:hAnsi="Arial" w:eastAsia="Arial" w:cs="Arial"/>
          <w:sz w:val="15"/>
          <w:szCs w:val="15"/>
          <w:color w:val="auto"/>
        </w:rPr>
        <w:t xml:space="preserve">) con su rendimiento cuando se entrenaron en conjuntos de datos de entrenamiento iniciales (primera fila de las subtablas 3), observamos que el rendimiento de la mayoría de ellos (Bagging, DT, DNN, RF) ha permanecido estable en el conjunto de datos NSL-KDD. El rendimiento de Adaboost aumentó del 55,13% al 66,33%,</w:t>
      </w:r>
    </w:p>
    <w:p>
      <w:pPr>
        <w:spacing w:after="0" w:line="20" w:lineRule="exact"/>
        <w:rPr>
          <w:sz w:val="20"/>
          <w:szCs w:val="20"/>
          <w:color w:val="auto"/>
        </w:rPr>
      </w:pPr>
      <w:r>
        <w:rPr>
          <w:sz w:val="20"/>
          <w:szCs w:val="20"/>
          <w:color w:val="auto"/>
        </w:rPr>
        <w:br w:type="column"/>
      </w:r>
    </w:p>
    <w:p>
      <w:pPr>
        <w:spacing w:after="0" w:line="146" w:lineRule="exact"/>
        <w:rPr>
          <w:sz w:val="20"/>
          <w:szCs w:val="20"/>
          <w:color w:val="auto"/>
        </w:rPr>
      </w:pPr>
    </w:p>
    <w:p>
      <w:pPr>
        <w:jc w:val="right"/>
        <w:spacing w:after="0"/>
        <w:rPr>
          <w:sz w:val="20"/>
          <w:szCs w:val="20"/>
          <w:color w:val="auto"/>
        </w:rPr>
      </w:pPr>
      <w:r>
        <w:rPr>
          <w:rFonts w:ascii="Arial" w:hAnsi="Arial" w:eastAsia="Arial" w:cs="Arial"/>
          <w:sz w:val="13"/>
          <w:szCs w:val="13"/>
          <w:i w:val="1"/>
          <w:iCs w:val="1"/>
          <w:color w:val="auto"/>
        </w:rPr>
        <w:t xml:space="preserve">Redes informáticas 214 (2022) 109073</w:t>
      </w:r>
    </w:p>
    <w:p>
      <w:pPr>
        <w:spacing w:after="0" w:line="83" w:lineRule="exact"/>
        <w:rPr>
          <w:sz w:val="20"/>
          <w:szCs w:val="20"/>
          <w:color w:val="auto"/>
        </w:rPr>
      </w:pPr>
    </w:p>
    <w:p>
      <w:pPr>
        <w:jc w:val="both"/>
        <w:spacing w:after="0" w:line="369" w:lineRule="auto"/>
        <w:rPr>
          <w:sz w:val="20"/>
          <w:szCs w:val="20"/>
          <w:color w:val="auto"/>
        </w:rPr>
      </w:pPr>
      <w:r>
        <w:rPr>
          <w:rFonts w:ascii="Arial" w:hAnsi="Arial" w:eastAsia="Arial" w:cs="Arial"/>
          <w:sz w:val="16"/>
          <w:szCs w:val="16"/>
          <w:color w:val="auto"/>
        </w:rPr>
        <w:t xml:space="preserve">pero el rendimiento de LR y SVC disminuyó del 75% al 67,27% y del 74,29% al 65,36%, respectivamente. Los resultados FNR (primera fila de </w:t>
      </w:r>
      <w:r>
        <w:rPr>
          <w:rFonts w:ascii="Arial" w:hAnsi="Arial" w:eastAsia="Arial" w:cs="Arial"/>
          <w:sz w:val="16"/>
          <w:szCs w:val="16"/>
          <w:color w:val="0080AC"/>
        </w:rPr>
        <w:t xml:space="preserve">la Tabla 4</w:t>
      </w:r>
      <w:r>
        <w:rPr>
          <w:rFonts w:ascii="Arial" w:hAnsi="Arial" w:eastAsia="Arial" w:cs="Arial"/>
          <w:sz w:val="16"/>
          <w:szCs w:val="16"/>
          <w:color w:val="000000"/>
        </w:rPr>
        <w:t xml:space="preserve">) reflejan las mismas conclusiones. La </w:t>
      </w:r>
      <w:r>
        <w:rPr>
          <w:rFonts w:ascii="Arial" w:hAnsi="Arial" w:eastAsia="Arial" w:cs="Arial"/>
          <w:sz w:val="16"/>
          <w:szCs w:val="16"/>
          <w:color w:val="000000"/>
        </w:rPr>
        <w:t xml:space="preserve">degradación del rendimiento es </w:t>
      </w:r>
      <w:r>
        <w:rPr>
          <w:rFonts w:ascii="Arial" w:hAnsi="Arial" w:eastAsia="Arial" w:cs="Arial"/>
          <w:sz w:val="16"/>
          <w:szCs w:val="16"/>
          <w:color w:val="000000"/>
        </w:rPr>
        <w:t xml:space="preserve">más notable </w:t>
      </w:r>
      <w:r>
        <w:rPr>
          <w:rFonts w:ascii="Arial" w:hAnsi="Arial" w:eastAsia="Arial" w:cs="Arial"/>
          <w:sz w:val="16"/>
          <w:szCs w:val="16"/>
          <w:color w:val="000000"/>
        </w:rPr>
        <w:t xml:space="preserve">en la base UNSW-NB15.</w:t>
      </w:r>
    </w:p>
    <w:p>
      <w:pPr>
        <w:spacing w:after="0" w:line="3"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5.2.2. Escenario 4: medición del impacto de las técnicas de defensa</w:t>
      </w:r>
    </w:p>
    <w:p>
      <w:pPr>
        <w:spacing w:after="0" w:line="142" w:lineRule="exact"/>
        <w:rPr>
          <w:sz w:val="20"/>
          <w:szCs w:val="20"/>
          <w:color w:val="auto"/>
        </w:rPr>
      </w:pPr>
    </w:p>
    <w:p>
      <w:pPr>
        <w:jc w:val="both"/>
        <w:spacing w:after="0" w:line="269" w:lineRule="auto"/>
        <w:rPr>
          <w:sz w:val="20"/>
          <w:szCs w:val="20"/>
          <w:color w:val="auto"/>
        </w:rPr>
      </w:pPr>
      <w:r>
        <w:rPr>
          <w:rFonts w:ascii="Arial" w:hAnsi="Arial" w:eastAsia="Arial" w:cs="Arial"/>
          <w:sz w:val="16"/>
          <w:szCs w:val="16"/>
          <w:i w:val="1"/>
          <w:iCs w:val="1"/>
          <w:color w:val="auto"/>
        </w:rPr>
        <w:t xml:space="preserve">5.2.2.1. </w:t>
      </w:r>
      <w:r>
        <w:rPr>
          <w:rFonts w:ascii="Arial" w:hAnsi="Arial" w:eastAsia="Arial" w:cs="Arial"/>
          <w:sz w:val="16"/>
          <w:szCs w:val="16"/>
          <w:b w:val="1"/>
          <w:bCs w:val="1"/>
          <w:i w:val="1"/>
          <w:iCs w:val="1"/>
          <w:color w:val="auto"/>
        </w:rPr>
        <w:t xml:space="preserve">Precisión</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 Los resultados se muestran en las terceras sub-tablas y se compararán con los resultados de las primeras sub-tablas, donde se midió la precisión sin aplicar técnicas de defensa.</w:t>
      </w:r>
    </w:p>
    <w:p>
      <w:pPr>
        <w:spacing w:after="0" w:line="2" w:lineRule="exact"/>
        <w:rPr>
          <w:sz w:val="20"/>
          <w:szCs w:val="20"/>
          <w:color w:val="auto"/>
        </w:rPr>
      </w:pPr>
    </w:p>
    <w:p>
      <w:pPr>
        <w:jc w:val="both"/>
        <w:ind w:start="400" w:hanging="137"/>
        <w:spacing w:after="0" w:line="285" w:lineRule="auto"/>
        <w:tabs>
          <w:tab w:val="left" w:leader="none" w:pos="400"/>
        </w:tabs>
        <w:numPr>
          <w:ilvl w:val="0"/>
          <w:numId w:val="26"/>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Ataque de ruido gaussiano:</w:t>
      </w:r>
      <w:r>
        <w:rPr>
          <w:rFonts w:ascii="Arial" w:hAnsi="Arial" w:eastAsia="Arial" w:cs="Arial"/>
          <w:sz w:val="16"/>
          <w:szCs w:val="16"/>
          <w:color w:val="auto"/>
        </w:rPr>
        <w:t xml:space="preserve"> La técnica de defensa ha mejorado la robustez de la mayoría de los clasificadores. La </w:t>
      </w:r>
      <w:r>
        <w:rPr>
          <w:rFonts w:ascii="Arial" w:hAnsi="Arial" w:eastAsia="Arial" w:cs="Arial"/>
          <w:sz w:val="16"/>
          <w:szCs w:val="16"/>
          <w:color w:val="auto"/>
        </w:rPr>
        <w:t xml:space="preserve">mejora es aún más notable para una perturbación gaussiana de alta intensidad ( = 0</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2). La mejora es casi perfecta para SVC y LR que se han vuelto más robustos pero a costa de una degradación en el rendimiento, incluso en condiciones no adversariales. Lo más interesante es que el DNN se ha vuelto más robusto manteniendo casi el mismo rendimiento original en el conjunto de datos NSL-KDD, es el clasificador que tiene la mejor precisión en condiciones normales y adversariales en el conjunto de datos NSL-KDD.</w:t>
      </w:r>
    </w:p>
    <w:p>
      <w:pPr>
        <w:spacing w:after="0" w:line="5" w:lineRule="exact"/>
        <w:rPr>
          <w:rFonts w:ascii="Arial" w:hAnsi="Arial" w:eastAsia="Arial" w:cs="Arial"/>
          <w:sz w:val="16"/>
          <w:szCs w:val="16"/>
          <w:b w:val="1"/>
          <w:bCs w:val="1"/>
          <w:color w:val="auto"/>
        </w:rPr>
      </w:pPr>
    </w:p>
    <w:p>
      <w:pPr>
        <w:jc w:val="both"/>
        <w:ind w:start="400" w:hanging="137"/>
        <w:spacing w:after="0" w:line="286" w:lineRule="auto"/>
        <w:tabs>
          <w:tab w:val="left" w:leader="none" w:pos="400"/>
        </w:tabs>
        <w:numPr>
          <w:ilvl w:val="0"/>
          <w:numId w:val="26"/>
        </w:numPr>
        <w:rPr>
          <w:rFonts w:ascii="Arial" w:hAnsi="Arial" w:eastAsia="Arial" w:cs="Arial"/>
          <w:sz w:val="15"/>
          <w:szCs w:val="15"/>
          <w:b w:val="1"/>
          <w:bCs w:val="1"/>
          <w:color w:val="auto"/>
        </w:rPr>
      </w:pPr>
      <w:r>
        <w:rPr>
          <w:rFonts w:ascii="Arial" w:hAnsi="Arial" w:eastAsia="Arial" w:cs="Arial"/>
          <w:sz w:val="15"/>
          <w:szCs w:val="15"/>
          <w:i w:val="1"/>
          <w:iCs w:val="1"/>
          <w:color w:val="auto"/>
        </w:rPr>
        <w:t xml:space="preserve">Ataques de caja gris/negra:</w:t>
      </w:r>
      <w:r>
        <w:rPr>
          <w:rFonts w:ascii="Arial" w:hAnsi="Arial" w:eastAsia="Arial" w:cs="Arial"/>
          <w:sz w:val="15"/>
          <w:szCs w:val="15"/>
          <w:color w:val="auto"/>
        </w:rPr>
        <w:t xml:space="preserve"> La técnica de defensa tiene efectos diferentes según el clasificador. Por ejemplo, en el conjunto de datos NSL-KDD:</w:t>
      </w:r>
    </w:p>
    <w:p>
      <w:pPr>
        <w:spacing w:after="0" w:line="1" w:lineRule="exact"/>
        <w:rPr>
          <w:rFonts w:ascii="Arial" w:hAnsi="Arial" w:eastAsia="Arial" w:cs="Arial"/>
          <w:sz w:val="15"/>
          <w:szCs w:val="15"/>
          <w:b w:val="1"/>
          <w:bCs w:val="1"/>
          <w:color w:val="auto"/>
        </w:rPr>
      </w:pPr>
    </w:p>
    <w:p>
      <w:pPr>
        <w:jc w:val="both"/>
        <w:ind w:start="400" w:hanging="9"/>
        <w:spacing w:after="0" w:line="287" w:lineRule="auto"/>
        <w:tabs>
          <w:tab w:val="left" w:leader="none" w:pos="627"/>
        </w:tabs>
        <w:numPr>
          <w:ilvl w:val="1"/>
          <w:numId w:val="26"/>
        </w:numPr>
        <w:rPr>
          <w:rFonts w:ascii="Arial" w:hAnsi="Arial" w:eastAsia="Arial" w:cs="Arial"/>
          <w:sz w:val="15"/>
          <w:szCs w:val="15"/>
          <w:color w:val="auto"/>
        </w:rPr>
      </w:pPr>
      <w:r>
        <w:rPr>
          <w:rFonts w:ascii="Arial" w:hAnsi="Arial" w:eastAsia="Arial" w:cs="Arial"/>
          <w:sz w:val="15"/>
          <w:szCs w:val="15"/>
          <w:color w:val="auto"/>
        </w:rPr>
        <w:t xml:space="preserve">contribuye a la mejora de la robustez para algunos clasificadores como para LR y SVC cuya precisión disminuyó, en comparación con el rendimiento de referencia, en sólo un 55,3% y un 53,8% (resp.) cuando se enfrentaron a un ataque Boundary, frente a un 67% y un 66,8% (resp.) de disminución antes de haber aplicado la técnica de defensa.</w:t>
      </w:r>
    </w:p>
    <w:p>
      <w:pPr>
        <w:jc w:val="both"/>
        <w:ind w:start="400" w:hanging="9"/>
        <w:spacing w:after="0" w:line="269" w:lineRule="auto"/>
        <w:tabs>
          <w:tab w:val="left" w:leader="none" w:pos="664"/>
        </w:tabs>
        <w:numPr>
          <w:ilvl w:val="1"/>
          <w:numId w:val="26"/>
        </w:numPr>
        <w:rPr>
          <w:rFonts w:ascii="Arial" w:hAnsi="Arial" w:eastAsia="Arial" w:cs="Arial"/>
          <w:sz w:val="16"/>
          <w:szCs w:val="16"/>
          <w:color w:val="auto"/>
        </w:rPr>
      </w:pPr>
      <w:r>
        <w:rPr>
          <w:rFonts w:ascii="Arial" w:hAnsi="Arial" w:eastAsia="Arial" w:cs="Arial"/>
          <w:sz w:val="16"/>
          <w:szCs w:val="16"/>
          <w:color w:val="auto"/>
        </w:rPr>
        <w:t xml:space="preserve">degrada la robustez de algunos algoritmos como es el caso de Adaboost cuya precisión disminuye un 53% para un ataque Boundary en lugar de un 22% sin defensa. (iii) la técnica de defensa tiene muy poco efecto en los demás clasificadores que mantienen casi el mismo nivel de robustez que antes. El comportamiento de los clasificadores es similar en ambas bases de datos.</w:t>
      </w:r>
    </w:p>
    <w:p>
      <w:pPr>
        <w:jc w:val="both"/>
        <w:ind w:start="400" w:hanging="137"/>
        <w:spacing w:after="0" w:line="289" w:lineRule="auto"/>
        <w:tabs>
          <w:tab w:val="left" w:leader="none" w:pos="400"/>
        </w:tabs>
        <w:numPr>
          <w:ilvl w:val="0"/>
          <w:numId w:val="26"/>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Ataques de caja blanca:</w:t>
      </w:r>
      <w:r>
        <w:rPr>
          <w:rFonts w:ascii="Arial" w:hAnsi="Arial" w:eastAsia="Arial" w:cs="Arial"/>
          <w:sz w:val="16"/>
          <w:szCs w:val="16"/>
          <w:color w:val="auto"/>
        </w:rPr>
        <w:t xml:space="preserve"> La técnica de defensa es eficaz para casi todos los clasificadores frente a FGSM, PGD y BIM. En cuanto a JSMA, la robustez también mejora para todos los clasificadores, y Gradient Boosting tiene el mejor rendimiento. El comportamiento de los clasificadores es similar en ambas bases de datos.</w:t>
      </w:r>
    </w:p>
    <w:p>
      <w:pPr>
        <w:spacing w:after="0" w:line="4" w:lineRule="exact"/>
        <w:rPr>
          <w:sz w:val="20"/>
          <w:szCs w:val="20"/>
          <w:color w:val="auto"/>
        </w:rPr>
      </w:pPr>
    </w:p>
    <w:p>
      <w:pPr>
        <w:jc w:val="both"/>
        <w:spacing w:after="0" w:line="285" w:lineRule="auto"/>
        <w:rPr>
          <w:sz w:val="20"/>
          <w:szCs w:val="20"/>
          <w:color w:val="auto"/>
        </w:rPr>
      </w:pPr>
      <w:r>
        <w:rPr>
          <w:rFonts w:ascii="Arial" w:hAnsi="Arial" w:eastAsia="Arial" w:cs="Arial"/>
          <w:sz w:val="16"/>
          <w:szCs w:val="16"/>
          <w:i w:val="1"/>
          <w:iCs w:val="1"/>
          <w:color w:val="auto"/>
        </w:rPr>
        <w:t xml:space="preserve">5.2.2.2. </w:t>
      </w:r>
      <w:r>
        <w:rPr>
          <w:rFonts w:ascii="Arial" w:hAnsi="Arial" w:eastAsia="Arial" w:cs="Arial"/>
          <w:sz w:val="16"/>
          <w:szCs w:val="16"/>
          <w:b w:val="1"/>
          <w:bCs w:val="1"/>
          <w:i w:val="1"/>
          <w:iCs w:val="1"/>
          <w:color w:val="auto"/>
        </w:rPr>
        <w:t xml:space="preserve">Tasa de falsos negativos </w:t>
      </w:r>
      <w:r>
        <w:rPr>
          <w:rFonts w:ascii="Arial" w:hAnsi="Arial" w:eastAsia="Arial" w:cs="Arial"/>
          <w:sz w:val="16"/>
          <w:szCs w:val="16"/>
          <w:i w:val="1"/>
          <w:iCs w:val="1"/>
          <w:color w:val="auto"/>
        </w:rPr>
        <w:t xml:space="preserve">.</w:t>
      </w:r>
      <w:r>
        <w:rPr>
          <w:rFonts w:ascii="Arial" w:hAnsi="Arial" w:eastAsia="Arial" w:cs="Arial"/>
          <w:sz w:val="16"/>
          <w:szCs w:val="16"/>
          <w:color w:val="auto"/>
        </w:rPr>
        <w:t xml:space="preserve"> Los resultados se muestran en la cuarta subtabla, y se compararán con los de la segunda subtabla, donde se mide el FNR sin técnica de defensa.</w:t>
      </w:r>
    </w:p>
    <w:p>
      <w:pPr>
        <w:spacing w:after="0" w:line="2" w:lineRule="exact"/>
        <w:rPr>
          <w:sz w:val="20"/>
          <w:szCs w:val="20"/>
          <w:color w:val="auto"/>
        </w:rPr>
      </w:pPr>
    </w:p>
    <w:p>
      <w:pPr>
        <w:jc w:val="both"/>
        <w:ind w:start="400" w:hanging="137"/>
        <w:spacing w:after="0" w:line="298" w:lineRule="auto"/>
        <w:tabs>
          <w:tab w:val="left" w:leader="none" w:pos="400"/>
        </w:tabs>
        <w:numPr>
          <w:ilvl w:val="0"/>
          <w:numId w:val="27"/>
        </w:numPr>
        <w:rPr>
          <w:rFonts w:ascii="Arial" w:hAnsi="Arial" w:eastAsia="Arial" w:cs="Arial"/>
          <w:sz w:val="15"/>
          <w:szCs w:val="15"/>
          <w:b w:val="1"/>
          <w:bCs w:val="1"/>
          <w:color w:val="auto"/>
        </w:rPr>
      </w:pPr>
      <w:r>
        <w:rPr>
          <w:rFonts w:ascii="Arial" w:hAnsi="Arial" w:eastAsia="Arial" w:cs="Arial"/>
          <w:sz w:val="15"/>
          <w:szCs w:val="15"/>
          <w:i w:val="1"/>
          <w:iCs w:val="1"/>
          <w:color w:val="auto"/>
        </w:rPr>
        <w:t xml:space="preserve">Ataque de ruido gaussiano:</w:t>
      </w:r>
      <w:r>
        <w:rPr>
          <w:rFonts w:ascii="Arial" w:hAnsi="Arial" w:eastAsia="Arial" w:cs="Arial"/>
          <w:sz w:val="15"/>
          <w:szCs w:val="15"/>
          <w:color w:val="auto"/>
        </w:rPr>
        <w:t xml:space="preserve"> El aumento del FNR es menos importante con la técnica de defensa para la mayoría de los algoritmos, por lo que su robustez ha mejorado. Sin embargo, la capacidad de estos clasificadores para bloquear el tráfico malicioso ha disminuido en general, por ejemplo para SVC, el FNR es del 50% mientras que no superaba el 37,52% sin defensa en NSL-KDD. Además, la técnica de defensa no mejoró el rendimiento de Gradient Boosting y RF en NSL-KDD, ya que su FNR aumentó del 10,2% al 48,51% y del 45,07% al 55,51% respectivamente, por lo que se bloqueó más tráfico malicioso sin defensa. DNN tiene el FNR más bajo (la disminución del FNR no supera el 2,8%) y una robustez muy buena. La técnica de defensa ha mejorado su robustez.Curiosamente, el método de defensa disminuyó la robustez de algunos algoritmos a los ataques de ruido gaussiano en UNSW-NB15 (FNR aumenta más) como es el caso de DT, Gradient Boost y Adaboost.</w:t>
      </w:r>
    </w:p>
    <w:p>
      <w:pPr>
        <w:spacing w:after="0" w:line="9" w:lineRule="exact"/>
        <w:rPr>
          <w:rFonts w:ascii="Arial" w:hAnsi="Arial" w:eastAsia="Arial" w:cs="Arial"/>
          <w:sz w:val="15"/>
          <w:szCs w:val="15"/>
          <w:b w:val="1"/>
          <w:bCs w:val="1"/>
          <w:color w:val="auto"/>
        </w:rPr>
      </w:pPr>
    </w:p>
    <w:p>
      <w:pPr>
        <w:jc w:val="both"/>
        <w:ind w:start="400" w:hanging="137"/>
        <w:spacing w:after="0" w:line="283" w:lineRule="auto"/>
        <w:tabs>
          <w:tab w:val="left" w:leader="none" w:pos="400"/>
        </w:tabs>
        <w:numPr>
          <w:ilvl w:val="0"/>
          <w:numId w:val="27"/>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Ataques de caja gris/negra: </w:t>
      </w:r>
      <w:r>
        <w:rPr>
          <w:rFonts w:ascii="Arial" w:hAnsi="Arial" w:eastAsia="Arial" w:cs="Arial"/>
          <w:sz w:val="16"/>
          <w:szCs w:val="16"/>
          <w:color w:val="auto"/>
        </w:rPr>
        <w:t xml:space="preserve">en el conjunto de datos NSL-KDD, la defensa ha degradado la robustez de Adaboost frente a Boundary y Hop-SkipJump (el FNR aumenta un 49%, mientras que el aumento se limitaba al 3,1% antes de la defensa). Ha mejorado ligeramente la robustez de Bagging, (DNN,RF). La mejora es más significativa para LR y SVC. FNR aumentó sólo un 52% y un 49% para LR y SVC respectivamente, frente a un aumento del 62% para ambos sin defensa. En el conjunto de datos UNSW-NB15, el método de defensa demostró ser eficaz y mejoró significativamente la robustez de los clasificadores en términos de FNR.</w:t>
      </w:r>
    </w:p>
    <w:p>
      <w:pPr>
        <w:spacing w:after="0" w:line="70" w:lineRule="exact"/>
        <w:rPr>
          <w:sz w:val="20"/>
          <w:szCs w:val="20"/>
          <w:color w:val="auto"/>
        </w:rPr>
      </w:pPr>
    </w:p>
    <w:p>
      <w:pPr>
        <w:sectPr>
          <w:pgSz w:w="11900" w:h="15874" w:orient="portrait"/>
          <w:cols w:equalWidth="0" w:num="2">
            <w:col w:w="5020" w:space="360"/>
            <w:col w:w="5020"/>
          </w:cols>
          <w:pgMar w:top="492" w:right="746" w:bottom="85" w:left="760" w:header="0" w:footer="0" w:gutter="0"/>
        </w:sectPr>
      </w:pPr>
    </w:p>
    <w:p>
      <w:pPr>
        <w:jc w:val="center"/>
        <w:spacing w:after="0"/>
        <w:rPr>
          <w:sz w:val="20"/>
          <w:szCs w:val="20"/>
          <w:color w:val="auto"/>
        </w:rPr>
      </w:pPr>
      <w:r>
        <w:rPr>
          <w:rFonts w:ascii="Arial" w:hAnsi="Arial" w:eastAsia="Arial" w:cs="Arial"/>
          <w:sz w:val="13"/>
          <w:szCs w:val="13"/>
          <w:color w:val="auto"/>
        </w:rPr>
        <w:t xml:space="preserve">9</w:t>
      </w:r>
    </w:p>
    <w:p>
      <w:pPr>
        <w:sectPr>
          <w:pgSz w:w="11900" w:h="15874" w:orient="portrait"/>
          <w:cols w:equalWidth="0" w:num="1">
            <w:col w:w="10400"/>
          </w:cols>
          <w:pgMar w:top="492" w:right="746" w:bottom="85" w:left="760" w:header="0" w:footer="0" w:gutter="0"/>
          <w:type w:val="continuous"/>
        </w:sectPr>
      </w:pPr>
    </w:p>
    <w:bookmarkStart w:name="page10" w:id="9"/>
    <w:bookmarkEnd w:id="9"/>
    <w:p>
      <w:pPr>
        <w:spacing w:after="0"/>
        <w:tabs>
          <w:tab w:val="left" w:leader="none" w:pos="8200"/>
        </w:tabs>
        <w:rPr>
          <w:sz w:val="20"/>
          <w:szCs w:val="20"/>
          <w:color w:val="auto"/>
        </w:rPr>
      </w:pPr>
      <w:r>
        <w:rPr>
          <w:rFonts w:ascii="Arial" w:hAnsi="Arial" w:eastAsia="Arial" w:cs="Arial"/>
          <w:sz w:val="13"/>
          <w:szCs w:val="13"/>
          <w:i w:val="1"/>
          <w:iCs w:val="1"/>
          <w:color w:val="auto"/>
        </w:rPr>
        <w:t xml:space="preserve">H. Jmila y M.I. Khedher</w:t>
      </w:r>
      <w:r>
        <w:rPr>
          <w:sz w:val="20"/>
          <w:szCs w:val="20"/>
          <w:color w:val="auto"/>
        </w:rPr>
        <w:tab/>
      </w:r>
      <w:r>
        <w:rPr>
          <w:rFonts w:ascii="Arial" w:hAnsi="Arial" w:eastAsia="Arial" w:cs="Arial"/>
          <w:sz w:val="12"/>
          <w:szCs w:val="12"/>
          <w:i w:val="1"/>
          <w:iCs w:val="1"/>
          <w:color w:val="auto"/>
        </w:rPr>
        <w:t xml:space="preserve">Redes informáticas 214 (2022) 109073</w:t>
      </w:r>
    </w:p>
    <w:p>
      <w:pPr>
        <w:spacing w:after="0" w:line="318" w:lineRule="exact"/>
        <w:rPr>
          <w:sz w:val="20"/>
          <w:szCs w:val="20"/>
          <w:color w:val="auto"/>
        </w:rPr>
      </w:pPr>
    </w:p>
    <w:p>
      <w:pPr>
        <w:ind w:start="1040"/>
        <w:spacing w:after="0"/>
        <w:rPr>
          <w:sz w:val="20"/>
          <w:szCs w:val="20"/>
          <w:color w:val="auto"/>
        </w:rPr>
      </w:pPr>
      <w:r>
        <w:rPr>
          <w:rFonts w:ascii="Arial" w:hAnsi="Arial" w:eastAsia="Arial" w:cs="Arial"/>
          <w:sz w:val="13"/>
          <w:szCs w:val="13"/>
          <w:b w:val="1"/>
          <w:bCs w:val="1"/>
          <w:color w:val="auto"/>
        </w:rPr>
        <w:t xml:space="preserve">Cuadro 3</w:t>
      </w:r>
    </w:p>
    <w:p>
      <w:pPr>
        <w:spacing w:after="0" w:line="177" w:lineRule="exact"/>
        <w:rPr>
          <w:sz w:val="20"/>
          <w:szCs w:val="20"/>
          <w:color w:val="auto"/>
        </w:rPr>
      </w:pPr>
    </w:p>
    <w:p>
      <w:pPr>
        <w:ind w:start="1040"/>
        <w:spacing w:after="0"/>
        <w:rPr>
          <w:sz w:val="20"/>
          <w:szCs w:val="20"/>
          <w:color w:val="auto"/>
        </w:rPr>
      </w:pPr>
      <w:r>
        <w:rPr>
          <w:rFonts w:ascii="Arial" w:hAnsi="Arial" w:eastAsia="Arial" w:cs="Arial"/>
          <w:sz w:val="13"/>
          <w:szCs w:val="13"/>
          <w:color w:val="auto"/>
        </w:rPr>
        <w:t xml:space="preserve">Resumen de los resultados de la hipótesis de evaluación 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0</wp:posOffset>
                </wp:positionV>
                <wp:extent cx="528447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6" o:allowincell="f" strokecolor="#000000" strokeweight="0.398pt" from="51.55pt,0pt" to="467.65pt,0pt"/>
            </w:pict>
          </mc:Fallback>
        </mc:AlternateContent>
      </w:r>
    </w:p>
    <w:p>
      <w:pPr>
        <w:spacing w:after="0" w:line="46" w:lineRule="exact"/>
        <w:rPr>
          <w:sz w:val="20"/>
          <w:szCs w:val="20"/>
          <w:color w:val="auto"/>
        </w:rPr>
      </w:pPr>
    </w:p>
    <w:p>
      <w:pPr>
        <w:ind w:start="1120"/>
        <w:spacing w:after="0"/>
        <w:rPr>
          <w:sz w:val="20"/>
          <w:szCs w:val="20"/>
          <w:color w:val="auto"/>
        </w:rPr>
      </w:pPr>
      <w:r>
        <w:rPr>
          <w:rFonts w:ascii="Arial" w:hAnsi="Arial" w:eastAsia="Arial" w:cs="Arial"/>
          <w:sz w:val="13"/>
          <w:szCs w:val="13"/>
          <w:color w:val="auto"/>
        </w:rPr>
        <w:t xml:space="preserve">Comportamiento frente a un ataque de ruido gaussiano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14605</wp:posOffset>
                </wp:positionV>
                <wp:extent cx="528447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7" o:allowincell="f" strokecolor="#000000" strokeweight="0.398pt" from="51.55pt,1.15pt" to="467.65pt,1.15pt"/>
            </w:pict>
          </mc:Fallback>
        </mc:AlternateContent>
      </w:r>
    </w:p>
    <w:p>
      <w:pPr>
        <w:spacing w:after="0" w:line="58" w:lineRule="exact"/>
        <w:rPr>
          <w:sz w:val="20"/>
          <w:szCs w:val="20"/>
          <w:color w:val="auto"/>
        </w:rPr>
      </w:pPr>
    </w:p>
    <w:p>
      <w:pPr>
        <w:ind w:start="1220" w:hanging="97"/>
        <w:spacing w:after="0"/>
        <w:tabs>
          <w:tab w:val="left" w:leader="none" w:pos="1220"/>
        </w:tabs>
        <w:numPr>
          <w:ilvl w:val="0"/>
          <w:numId w:val="28"/>
        </w:numPr>
        <w:rPr>
          <w:rFonts w:ascii="Arial" w:hAnsi="Arial" w:eastAsia="Arial" w:cs="Arial"/>
          <w:sz w:val="13"/>
          <w:szCs w:val="13"/>
          <w:color w:val="auto"/>
        </w:rPr>
      </w:pPr>
      <w:r>
        <w:rPr>
          <w:rFonts w:ascii="Arial" w:hAnsi="Arial" w:eastAsia="Arial" w:cs="Arial"/>
          <w:sz w:val="13"/>
          <w:szCs w:val="13"/>
          <w:color w:val="auto"/>
        </w:rPr>
        <w:t xml:space="preserve">La técnica de defensa ha mejorado la robustez de la mayoría de los clasificadores.</w:t>
      </w:r>
    </w:p>
    <w:p>
      <w:pPr>
        <w:spacing w:after="0" w:line="31" w:lineRule="exact"/>
        <w:rPr>
          <w:rFonts w:ascii="Arial" w:hAnsi="Arial" w:eastAsia="Arial" w:cs="Arial"/>
          <w:sz w:val="13"/>
          <w:szCs w:val="13"/>
          <w:color w:val="auto"/>
        </w:rPr>
      </w:pPr>
    </w:p>
    <w:p>
      <w:pPr>
        <w:ind w:start="1220" w:hanging="97"/>
        <w:spacing w:after="0"/>
        <w:tabs>
          <w:tab w:val="left" w:leader="none" w:pos="1220"/>
        </w:tabs>
        <w:numPr>
          <w:ilvl w:val="0"/>
          <w:numId w:val="28"/>
        </w:numPr>
        <w:rPr>
          <w:rFonts w:ascii="Arial" w:hAnsi="Arial" w:eastAsia="Arial" w:cs="Arial"/>
          <w:sz w:val="13"/>
          <w:szCs w:val="13"/>
          <w:color w:val="auto"/>
        </w:rPr>
      </w:pPr>
      <w:r>
        <w:rPr>
          <w:rFonts w:ascii="Arial" w:hAnsi="Arial" w:eastAsia="Arial" w:cs="Arial"/>
          <w:sz w:val="13"/>
          <w:szCs w:val="13"/>
          <w:color w:val="auto"/>
        </w:rPr>
        <w:t xml:space="preserve">La robustez de SVC y LR ha mejorado, pero a costa de una degradación del rendimiento.</w:t>
      </w:r>
    </w:p>
    <w:p>
      <w:pPr>
        <w:spacing w:after="0" w:line="21" w:lineRule="exact"/>
        <w:rPr>
          <w:rFonts w:ascii="Arial" w:hAnsi="Arial" w:eastAsia="Arial" w:cs="Arial"/>
          <w:sz w:val="13"/>
          <w:szCs w:val="13"/>
          <w:color w:val="auto"/>
        </w:rPr>
      </w:pPr>
    </w:p>
    <w:p>
      <w:pPr>
        <w:ind w:start="1120" w:end="1420" w:firstLine="3"/>
        <w:spacing w:after="0" w:line="275" w:lineRule="auto"/>
        <w:tabs>
          <w:tab w:val="left" w:leader="none" w:pos="1218"/>
        </w:tabs>
        <w:numPr>
          <w:ilvl w:val="0"/>
          <w:numId w:val="28"/>
        </w:numPr>
        <w:rPr>
          <w:rFonts w:ascii="Arial" w:hAnsi="Arial" w:eastAsia="Arial" w:cs="Arial"/>
          <w:sz w:val="13"/>
          <w:szCs w:val="13"/>
          <w:color w:val="auto"/>
        </w:rPr>
      </w:pPr>
      <w:r>
        <w:rPr>
          <w:rFonts w:ascii="Arial" w:hAnsi="Arial" w:eastAsia="Arial" w:cs="Arial"/>
          <w:sz w:val="13"/>
          <w:szCs w:val="13"/>
          <w:color w:val="auto"/>
        </w:rPr>
        <w:t xml:space="preserve">La robustez de la DNN se ha mejorado en el conjunto de datos NSL-KDD manteniendo su buen rendimiento, por lo que la DNN tiene la mejor precisión en condiciones normales y adversariales.</w:t>
      </w:r>
    </w:p>
    <w:p>
      <w:pPr>
        <w:ind w:start="1120" w:end="1560" w:firstLine="3"/>
        <w:spacing w:after="0" w:line="320" w:lineRule="auto"/>
        <w:tabs>
          <w:tab w:val="left" w:leader="none" w:pos="1218"/>
        </w:tabs>
        <w:numPr>
          <w:ilvl w:val="0"/>
          <w:numId w:val="28"/>
        </w:numPr>
        <w:rPr>
          <w:rFonts w:ascii="Arial" w:hAnsi="Arial" w:eastAsia="Arial" w:cs="Arial"/>
          <w:sz w:val="13"/>
          <w:szCs w:val="13"/>
          <w:color w:val="auto"/>
        </w:rPr>
      </w:pPr>
      <w:r>
        <w:rPr>
          <w:rFonts w:ascii="Arial" w:hAnsi="Arial" w:eastAsia="Arial" w:cs="Arial"/>
          <w:sz w:val="13"/>
          <w:szCs w:val="13"/>
          <w:color w:val="auto"/>
        </w:rPr>
        <w:t xml:space="preserve">El método de defensa disminuyó la robustez de algunos algoritmos en el UNSW-NB15 (FNR aumenta más) como es el caso de DT, Gradient Boost y Adaboost.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-34290</wp:posOffset>
                </wp:positionV>
                <wp:extent cx="528447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8" o:allowincell="f" strokecolor="#000000" strokeweight="0.398pt" from="51.55pt,-2.6999pt" to="467.65pt,-2.6999pt"/>
            </w:pict>
          </mc:Fallback>
        </mc:AlternateContent>
      </w:r>
    </w:p>
    <w:p>
      <w:pPr>
        <w:ind w:start="1120"/>
        <w:spacing w:after="0"/>
        <w:rPr>
          <w:sz w:val="20"/>
          <w:szCs w:val="20"/>
          <w:color w:val="auto"/>
        </w:rPr>
      </w:pPr>
      <w:r>
        <w:rPr>
          <w:rFonts w:ascii="Arial" w:hAnsi="Arial" w:eastAsia="Arial" w:cs="Arial"/>
          <w:sz w:val="13"/>
          <w:szCs w:val="13"/>
          <w:color w:val="auto"/>
        </w:rPr>
        <w:t xml:space="preserve">Comportamiento frente a ataques Gray/black-box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20320</wp:posOffset>
                </wp:positionV>
                <wp:extent cx="528447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9" o:allowincell="f" strokecolor="#000000" strokeweight="0.398pt" from="51.55pt,1.6pt" to="467.65pt,1.6pt"/>
            </w:pict>
          </mc:Fallback>
        </mc:AlternateContent>
      </w:r>
    </w:p>
    <w:p>
      <w:pPr>
        <w:spacing w:after="0" w:line="68" w:lineRule="exact"/>
        <w:rPr>
          <w:sz w:val="20"/>
          <w:szCs w:val="20"/>
          <w:color w:val="auto"/>
        </w:rPr>
      </w:pPr>
    </w:p>
    <w:p>
      <w:pPr>
        <w:ind w:start="1220" w:hanging="97"/>
        <w:spacing w:after="0"/>
        <w:tabs>
          <w:tab w:val="left" w:leader="none" w:pos="1220"/>
        </w:tabs>
        <w:numPr>
          <w:ilvl w:val="0"/>
          <w:numId w:val="29"/>
        </w:numPr>
        <w:rPr>
          <w:rFonts w:ascii="Arial" w:hAnsi="Arial" w:eastAsia="Arial" w:cs="Arial"/>
          <w:sz w:val="13"/>
          <w:szCs w:val="13"/>
          <w:color w:val="auto"/>
        </w:rPr>
      </w:pPr>
      <w:r>
        <w:rPr>
          <w:rFonts w:ascii="Arial" w:hAnsi="Arial" w:eastAsia="Arial" w:cs="Arial"/>
          <w:sz w:val="13"/>
          <w:szCs w:val="13"/>
          <w:color w:val="auto"/>
        </w:rPr>
        <w:t xml:space="preserve">La robustez de Bagging, DT, LR, SVC ha mejorado en el conjunto de datos NSL-KDD</w:t>
      </w:r>
    </w:p>
    <w:p>
      <w:pPr>
        <w:spacing w:after="0" w:line="31" w:lineRule="exact"/>
        <w:rPr>
          <w:rFonts w:ascii="Arial" w:hAnsi="Arial" w:eastAsia="Arial" w:cs="Arial"/>
          <w:sz w:val="13"/>
          <w:szCs w:val="13"/>
          <w:color w:val="auto"/>
        </w:rPr>
      </w:pPr>
    </w:p>
    <w:p>
      <w:pPr>
        <w:ind w:start="1220" w:hanging="97"/>
        <w:spacing w:after="0"/>
        <w:tabs>
          <w:tab w:val="left" w:leader="none" w:pos="1220"/>
        </w:tabs>
        <w:numPr>
          <w:ilvl w:val="0"/>
          <w:numId w:val="29"/>
        </w:numPr>
        <w:rPr>
          <w:rFonts w:ascii="Arial" w:hAnsi="Arial" w:eastAsia="Arial" w:cs="Arial"/>
          <w:sz w:val="13"/>
          <w:szCs w:val="13"/>
          <w:color w:val="auto"/>
        </w:rPr>
      </w:pPr>
      <w:r>
        <w:rPr>
          <w:rFonts w:ascii="Arial" w:hAnsi="Arial" w:eastAsia="Arial" w:cs="Arial"/>
          <w:sz w:val="13"/>
          <w:szCs w:val="13"/>
          <w:color w:val="auto"/>
        </w:rPr>
        <w:t xml:space="preserve">La robustez de Adaboost ha disminuido en el conjunto de datos NSL-KDD</w:t>
      </w:r>
    </w:p>
    <w:p>
      <w:pPr>
        <w:spacing w:after="0" w:line="21" w:lineRule="exact"/>
        <w:rPr>
          <w:rFonts w:ascii="Arial" w:hAnsi="Arial" w:eastAsia="Arial" w:cs="Arial"/>
          <w:sz w:val="13"/>
          <w:szCs w:val="13"/>
          <w:color w:val="auto"/>
        </w:rPr>
      </w:pPr>
    </w:p>
    <w:p>
      <w:pPr>
        <w:ind w:start="1120" w:end="1680" w:firstLine="3"/>
        <w:spacing w:after="0" w:line="320" w:lineRule="auto"/>
        <w:tabs>
          <w:tab w:val="left" w:leader="none" w:pos="1218"/>
        </w:tabs>
        <w:numPr>
          <w:ilvl w:val="0"/>
          <w:numId w:val="29"/>
        </w:numPr>
        <w:rPr>
          <w:rFonts w:ascii="Arial" w:hAnsi="Arial" w:eastAsia="Arial" w:cs="Arial"/>
          <w:sz w:val="13"/>
          <w:szCs w:val="13"/>
          <w:color w:val="auto"/>
        </w:rPr>
      </w:pPr>
      <w:r>
        <w:rPr>
          <w:rFonts w:ascii="Arial" w:hAnsi="Arial" w:eastAsia="Arial" w:cs="Arial"/>
          <w:sz w:val="13"/>
          <w:szCs w:val="13"/>
          <w:color w:val="auto"/>
        </w:rPr>
        <w:t xml:space="preserve">La técnica de defensa casi no tiene efecto sobre los demás clasificadores. En términos de FNR, el método de defensa fue más eficaz en la base UNSW-NB15, que NSL KDD (las tasas de FNR son más bajas).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-34290</wp:posOffset>
                </wp:positionV>
                <wp:extent cx="528447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60" o:allowincell="f" strokecolor="#000000" strokeweight="0.398pt" from="51.55pt,-2.6999pt" to="467.65pt,-2.6999pt"/>
            </w:pict>
          </mc:Fallback>
        </mc:AlternateContent>
      </w:r>
    </w:p>
    <w:p>
      <w:pPr>
        <w:ind w:start="1120"/>
        <w:spacing w:after="0"/>
        <w:rPr>
          <w:sz w:val="20"/>
          <w:szCs w:val="20"/>
          <w:color w:val="auto"/>
        </w:rPr>
      </w:pPr>
      <w:r>
        <w:rPr>
          <w:rFonts w:ascii="Arial" w:hAnsi="Arial" w:eastAsia="Arial" w:cs="Arial"/>
          <w:sz w:val="13"/>
          <w:szCs w:val="13"/>
          <w:color w:val="auto"/>
        </w:rPr>
        <w:t xml:space="preserve">Comportamiento frente a ataques de caja blanca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20320</wp:posOffset>
                </wp:positionV>
                <wp:extent cx="528447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61" o:allowincell="f" strokecolor="#000000" strokeweight="0.398pt" from="51.55pt,1.6pt" to="467.65pt,1.6pt"/>
            </w:pict>
          </mc:Fallback>
        </mc:AlternateContent>
      </w:r>
    </w:p>
    <w:p>
      <w:pPr>
        <w:spacing w:after="0" w:line="68" w:lineRule="exact"/>
        <w:rPr>
          <w:sz w:val="20"/>
          <w:szCs w:val="20"/>
          <w:color w:val="auto"/>
        </w:rPr>
      </w:pPr>
    </w:p>
    <w:p>
      <w:pPr>
        <w:ind w:start="1220" w:hanging="97"/>
        <w:spacing w:after="0"/>
        <w:tabs>
          <w:tab w:val="left" w:leader="none" w:pos="1220"/>
        </w:tabs>
        <w:numPr>
          <w:ilvl w:val="0"/>
          <w:numId w:val="30"/>
        </w:numPr>
        <w:rPr>
          <w:rFonts w:ascii="Arial" w:hAnsi="Arial" w:eastAsia="Arial" w:cs="Arial"/>
          <w:sz w:val="13"/>
          <w:szCs w:val="13"/>
          <w:color w:val="auto"/>
        </w:rPr>
      </w:pPr>
      <w:r>
        <w:rPr>
          <w:rFonts w:ascii="Arial" w:hAnsi="Arial" w:eastAsia="Arial" w:cs="Arial"/>
          <w:sz w:val="13"/>
          <w:szCs w:val="13"/>
          <w:color w:val="auto"/>
        </w:rPr>
        <w:t xml:space="preserve">La robustez de los clasificadores frente a los ataques FGSM, PGD, BIM es prácticamente la misma, puesto que ya son bastante robustos.</w:t>
      </w:r>
    </w:p>
    <w:p>
      <w:pPr>
        <w:spacing w:after="0" w:line="31" w:lineRule="exact"/>
        <w:rPr>
          <w:rFonts w:ascii="Arial" w:hAnsi="Arial" w:eastAsia="Arial" w:cs="Arial"/>
          <w:sz w:val="13"/>
          <w:szCs w:val="13"/>
          <w:color w:val="auto"/>
        </w:rPr>
      </w:pPr>
    </w:p>
    <w:p>
      <w:pPr>
        <w:ind w:start="1120" w:end="1300" w:firstLine="3"/>
        <w:spacing w:after="0" w:line="305" w:lineRule="auto"/>
        <w:tabs>
          <w:tab w:val="left" w:leader="none" w:pos="1218"/>
        </w:tabs>
        <w:numPr>
          <w:ilvl w:val="0"/>
          <w:numId w:val="30"/>
        </w:numPr>
        <w:rPr>
          <w:rFonts w:ascii="Arial" w:hAnsi="Arial" w:eastAsia="Arial" w:cs="Arial"/>
          <w:sz w:val="13"/>
          <w:szCs w:val="13"/>
          <w:color w:val="auto"/>
        </w:rPr>
      </w:pPr>
      <w:r>
        <w:rPr>
          <w:rFonts w:ascii="Arial" w:hAnsi="Arial" w:eastAsia="Arial" w:cs="Arial"/>
          <w:sz w:val="13"/>
          <w:szCs w:val="13"/>
          <w:color w:val="auto"/>
        </w:rPr>
        <w:t xml:space="preserve">La robustez frente a JSMA ha mejorado para la mayoría de los clasificadores, pero a costa de una degradación del rendimiento para la mayoría de ellos. En términos de FNR, el método de defensa no fue eficaz en UNSW-NB15 e incluso degradó el rendimiento de algunos clasificadores (por ejemplo, Gradient Boost, DT).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654685</wp:posOffset>
                </wp:positionH>
                <wp:positionV relativeFrom="paragraph">
                  <wp:posOffset>-34290</wp:posOffset>
                </wp:positionV>
                <wp:extent cx="528447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62" o:allowincell="f" strokecolor="#000000" strokeweight="0.398pt" from="51.55pt,-2.6999pt" to="467.65pt,-2.6999pt"/>
            </w:pict>
          </mc:Fallback>
        </mc:AlternateContent>
      </w:r>
    </w:p>
    <w:p>
      <w:pPr>
        <w:sectPr>
          <w:pgSz w:w="11900" w:h="15874" w:orient="portrait"/>
          <w:cols w:equalWidth="0" w:num="1">
            <w:col w:w="10400"/>
          </w:cols>
          <w:pgMar w:top="492" w:right="746" w:bottom="85" w:left="760" w:header="0" w:footer="0" w:gutter="0"/>
        </w:sectPr>
      </w:pPr>
    </w:p>
    <w:p>
      <w:pPr>
        <w:spacing w:after="0" w:line="1" w:lineRule="exact"/>
        <w:rPr>
          <w:sz w:val="20"/>
          <w:szCs w:val="20"/>
          <w:color w:val="auto"/>
        </w:rPr>
      </w:pPr>
    </w:p>
    <w:p>
      <w:pPr>
        <w:jc w:val="both"/>
        <w:ind w:start="400" w:hanging="137"/>
        <w:spacing w:after="0" w:line="330" w:lineRule="auto"/>
        <w:tabs>
          <w:tab w:val="left" w:leader="none" w:pos="400"/>
        </w:tabs>
        <w:numPr>
          <w:ilvl w:val="0"/>
          <w:numId w:val="31"/>
        </w:numPr>
        <w:rPr>
          <w:rFonts w:ascii="Arial" w:hAnsi="Arial" w:eastAsia="Arial" w:cs="Arial"/>
          <w:sz w:val="16"/>
          <w:szCs w:val="16"/>
          <w:b w:val="1"/>
          <w:bCs w:val="1"/>
          <w:color w:val="auto"/>
        </w:rPr>
      </w:pPr>
      <w:r>
        <w:rPr>
          <w:rFonts w:ascii="Arial" w:hAnsi="Arial" w:eastAsia="Arial" w:cs="Arial"/>
          <w:sz w:val="16"/>
          <w:szCs w:val="16"/>
          <w:i w:val="1"/>
          <w:iCs w:val="1"/>
          <w:color w:val="auto"/>
        </w:rPr>
        <w:t xml:space="preserve">Ataques de caja blanca:</w:t>
      </w:r>
      <w:r>
        <w:rPr>
          <w:rFonts w:ascii="Arial" w:hAnsi="Arial" w:eastAsia="Arial" w:cs="Arial"/>
          <w:sz w:val="16"/>
          <w:szCs w:val="16"/>
          <w:color w:val="auto"/>
        </w:rPr>
        <w:t xml:space="preserve"> Después de la defensa, la robustez de los clasificadores para FGSM, PGD, BIM y C&amp;W es estable en NSL-KDD, ya que los clasificadores ya son bastante robustos. Pero la mejora de la robustez es más visible para JSMA, aunque el rendimiento global se ha degradado para la mayoría de los clasificadores (mayor FNR, en comparación con </w:t>
      </w:r>
      <w:r>
        <w:rPr>
          <w:rFonts w:ascii="Arial" w:hAnsi="Arial" w:eastAsia="Arial" w:cs="Arial"/>
          <w:sz w:val="16"/>
          <w:szCs w:val="16"/>
          <w:color w:val="0080AC"/>
        </w:rPr>
        <w:t xml:space="preserve">la Tabla 2</w:t>
      </w:r>
      <w:r>
        <w:rPr>
          <w:rFonts w:ascii="Arial" w:hAnsi="Arial" w:eastAsia="Arial" w:cs="Arial"/>
          <w:sz w:val="16"/>
          <w:szCs w:val="16"/>
          <w:color w:val="auto"/>
        </w:rPr>
        <w:t xml:space="preserve">). El método de defensa no fue efectivo en UNSW-NB15 e incluso degradó el rendimiento de algunos clasificadores (por ejemplo, Gradient Boost, DT).</w:t>
      </w:r>
    </w:p>
    <w:p>
      <w:pPr>
        <w:spacing w:after="0" w:line="3"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5.3. Análisis y discusión</w:t>
      </w:r>
    </w:p>
    <w:p>
      <w:pPr>
        <w:spacing w:after="0" w:line="267" w:lineRule="exact"/>
        <w:rPr>
          <w:sz w:val="20"/>
          <w:szCs w:val="20"/>
          <w:color w:val="auto"/>
        </w:rPr>
      </w:pPr>
    </w:p>
    <w:p>
      <w:pPr>
        <w:ind w:start="240"/>
        <w:spacing w:after="0"/>
        <w:rPr>
          <w:sz w:val="20"/>
          <w:szCs w:val="20"/>
          <w:color w:val="auto"/>
        </w:rPr>
      </w:pPr>
      <w:r>
        <w:rPr>
          <w:rFonts w:ascii="Arial" w:hAnsi="Arial" w:eastAsia="Arial" w:cs="Arial"/>
          <w:sz w:val="16"/>
          <w:szCs w:val="16"/>
          <w:color w:val="auto"/>
        </w:rPr>
        <w:t xml:space="preserve">En esta sección resumimos y analizamos nuestros resultados.</w:t>
      </w:r>
    </w:p>
    <w:p>
      <w:pPr>
        <w:spacing w:after="0" w:line="255"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5.3.1. Conclusiones generales</w:t>
      </w:r>
    </w:p>
    <w:p>
      <w:pPr>
        <w:spacing w:after="0" w:line="64" w:lineRule="exact"/>
        <w:rPr>
          <w:sz w:val="20"/>
          <w:szCs w:val="20"/>
          <w:color w:val="auto"/>
        </w:rPr>
      </w:pPr>
    </w:p>
    <w:p>
      <w:pPr>
        <w:jc w:val="both"/>
        <w:ind w:start="400" w:hanging="137"/>
        <w:spacing w:after="0" w:line="300" w:lineRule="auto"/>
        <w:tabs>
          <w:tab w:val="left" w:leader="none" w:pos="400"/>
        </w:tabs>
        <w:numPr>
          <w:ilvl w:val="0"/>
          <w:numId w:val="32"/>
        </w:numPr>
        <w:rPr>
          <w:rFonts w:ascii="Arial" w:hAnsi="Arial" w:eastAsia="Arial" w:cs="Arial"/>
          <w:sz w:val="16"/>
          <w:szCs w:val="16"/>
          <w:b w:val="1"/>
          <w:bCs w:val="1"/>
          <w:color w:val="auto"/>
        </w:rPr>
      </w:pPr>
      <w:r>
        <w:rPr>
          <w:rFonts w:ascii="Arial" w:hAnsi="Arial" w:eastAsia="Arial" w:cs="Arial"/>
          <w:sz w:val="16"/>
          <w:szCs w:val="16"/>
          <w:color w:val="auto"/>
        </w:rPr>
        <w:t xml:space="preserve">Un ataque no afecta a todos los clasificadores de la misma manera. Del mismo modo, la robustez de un clasificador depende de los ataques. En el mismo sentido, una técnica de defensa no es eficaz contra todos los ataques y no tiene el mismo efecto sobre los distintos clasificadores (puede mejorar o disminuir la robustez del clasificador o ser ineficaz). Del mismo modo, el comportamiento de un clasificador ante un ataque o un método de defensa depende de la base de datos.</w:t>
      </w:r>
    </w:p>
    <w:p>
      <w:pPr>
        <w:spacing w:after="0" w:line="1" w:lineRule="exact"/>
        <w:rPr>
          <w:rFonts w:ascii="Arial" w:hAnsi="Arial" w:eastAsia="Arial" w:cs="Arial"/>
          <w:sz w:val="16"/>
          <w:szCs w:val="16"/>
          <w:b w:val="1"/>
          <w:bCs w:val="1"/>
          <w:color w:val="auto"/>
        </w:rPr>
      </w:pPr>
    </w:p>
    <w:p>
      <w:pPr>
        <w:jc w:val="both"/>
        <w:ind w:start="400" w:hanging="137"/>
        <w:spacing w:after="0" w:line="294" w:lineRule="auto"/>
        <w:tabs>
          <w:tab w:val="left" w:leader="none" w:pos="400"/>
        </w:tabs>
        <w:numPr>
          <w:ilvl w:val="0"/>
          <w:numId w:val="32"/>
        </w:numPr>
        <w:rPr>
          <w:rFonts w:ascii="Arial" w:hAnsi="Arial" w:eastAsia="Arial" w:cs="Arial"/>
          <w:sz w:val="15"/>
          <w:szCs w:val="15"/>
          <w:b w:val="1"/>
          <w:bCs w:val="1"/>
          <w:color w:val="auto"/>
        </w:rPr>
      </w:pPr>
      <w:r>
        <w:rPr>
          <w:rFonts w:ascii="Arial" w:hAnsi="Arial" w:eastAsia="Arial" w:cs="Arial"/>
          <w:sz w:val="15"/>
          <w:szCs w:val="15"/>
          <w:color w:val="auto"/>
        </w:rPr>
        <w:t xml:space="preserve">La robustez y el rendimiento general de los clasificadores pueden ser contradictorios. Como se observa en los resultados del conjunto de datos NSL-KDD, Ad-aboost es un clasificador muy robusto, pero no tiene una gran precisión.</w:t>
      </w:r>
    </w:p>
    <w:p>
      <w:pPr>
        <w:jc w:val="both"/>
        <w:ind w:start="400"/>
        <w:spacing w:after="0" w:line="263" w:lineRule="auto"/>
        <w:rPr>
          <w:rFonts w:ascii="Arial" w:hAnsi="Arial" w:eastAsia="Arial" w:cs="Arial"/>
          <w:sz w:val="15"/>
          <w:szCs w:val="15"/>
          <w:b w:val="1"/>
          <w:bCs w:val="1"/>
          <w:color w:val="auto"/>
        </w:rPr>
      </w:pPr>
      <w:r>
        <w:rPr>
          <w:rFonts w:ascii="Arial" w:hAnsi="Arial" w:eastAsia="Arial" w:cs="Arial"/>
          <w:sz w:val="16"/>
          <w:szCs w:val="16"/>
          <w:color w:val="auto"/>
        </w:rPr>
        <w:t xml:space="preserve">Por el contrario,</w:t>
      </w:r>
      <w:r>
        <w:rPr>
          <w:rFonts w:ascii="Arial" w:hAnsi="Arial" w:eastAsia="Arial" w:cs="Arial"/>
          <w:sz w:val="31"/>
          <w:szCs w:val="31"/>
          <w:color w:val="auto"/>
          <w:vertAlign w:val="superscript"/>
        </w:rPr>
        <w:t xml:space="preserve">˙</w:t>
      </w:r>
      <w:r>
        <w:rPr>
          <w:rFonts w:ascii="Arial" w:hAnsi="Arial" w:eastAsia="Arial" w:cs="Arial"/>
          <w:sz w:val="16"/>
          <w:szCs w:val="16"/>
          <w:color w:val="auto"/>
        </w:rPr>
        <w:t xml:space="preserve"> DNN es muy eficaz pero es el más vulnerable al ataque ZOO. Por lo tanto, según la situación y la necesidad del IDS, se puede privilegiar la robustez o el rendimiento. A saber, si el IDS opera en un entorno determinado, es natural favorecer el rendimiento, sin embargo, si el entorno es incierto, la robustez cobra importancia. Del mismo modo, las técnicas de defensa pueden mejorar la robustez de los clasificadores, pero a costa de degradar su rendimiento. Por lo tanto, hay que considerar un compromiso entre estos dos objetivos. Una buena técnica de defensa, mejora la robustez del clasificador sin degradar su rendimiento. Además, la eficacia de un método de defensa contra un ataque a una base de datos puede variar de una base de datos a otra.</w:t>
      </w:r>
    </w:p>
    <w:p>
      <w:pPr>
        <w:spacing w:after="0" w:line="5" w:lineRule="exact"/>
        <w:rPr>
          <w:sz w:val="20"/>
          <w:szCs w:val="20"/>
          <w:color w:val="auto"/>
        </w:rPr>
      </w:pPr>
    </w:p>
    <w:p>
      <w:pPr>
        <w:spacing w:after="0"/>
        <w:rPr>
          <w:sz w:val="20"/>
          <w:szCs w:val="20"/>
          <w:color w:val="auto"/>
        </w:rPr>
      </w:pPr>
      <w:r>
        <w:rPr>
          <w:rFonts w:ascii="Arial" w:hAnsi="Arial" w:eastAsia="Arial" w:cs="Arial"/>
          <w:sz w:val="16"/>
          <w:szCs w:val="16"/>
          <w:i w:val="1"/>
          <w:iCs w:val="1"/>
          <w:color w:val="auto"/>
        </w:rPr>
        <w:t xml:space="preserve">5.3.2. Observaciones específicas</w:t>
      </w:r>
    </w:p>
    <w:p>
      <w:pPr>
        <w:spacing w:after="0" w:line="68" w:lineRule="exact"/>
        <w:rPr>
          <w:sz w:val="20"/>
          <w:szCs w:val="20"/>
          <w:color w:val="auto"/>
        </w:rPr>
      </w:pPr>
    </w:p>
    <w:p>
      <w:pPr>
        <w:ind w:start="400" w:hanging="137"/>
        <w:spacing w:after="0" w:line="361" w:lineRule="auto"/>
        <w:tabs>
          <w:tab w:val="left" w:leader="none" w:pos="400"/>
        </w:tabs>
        <w:numPr>
          <w:ilvl w:val="0"/>
          <w:numId w:val="33"/>
        </w:numPr>
        <w:rPr>
          <w:rFonts w:ascii="Arial" w:hAnsi="Arial" w:eastAsia="Arial" w:cs="Arial"/>
          <w:sz w:val="16"/>
          <w:szCs w:val="16"/>
          <w:b w:val="1"/>
          <w:bCs w:val="1"/>
          <w:color w:val="auto"/>
        </w:rPr>
      </w:pPr>
      <w:r>
        <w:rPr>
          <w:rFonts w:ascii="Arial" w:hAnsi="Arial" w:eastAsia="Arial" w:cs="Arial"/>
          <w:sz w:val="16"/>
          <w:szCs w:val="16"/>
          <w:color w:val="auto"/>
        </w:rPr>
        <w:t xml:space="preserve">Los ataques de la misma familia (Boundary y HopSkipJump) tienen el mismo impacto en cada clasificador.</w:t>
      </w:r>
    </w:p>
    <w:p>
      <w:pPr>
        <w:jc w:val="both"/>
        <w:ind w:start="400" w:hanging="137"/>
        <w:spacing w:after="0" w:line="302" w:lineRule="auto"/>
        <w:tabs>
          <w:tab w:val="left" w:leader="none" w:pos="400"/>
        </w:tabs>
        <w:numPr>
          <w:ilvl w:val="0"/>
          <w:numId w:val="33"/>
        </w:numPr>
        <w:rPr>
          <w:rFonts w:ascii="Arial" w:hAnsi="Arial" w:eastAsia="Arial" w:cs="Arial"/>
          <w:sz w:val="16"/>
          <w:szCs w:val="16"/>
          <w:b w:val="1"/>
          <w:bCs w:val="1"/>
          <w:color w:val="auto"/>
        </w:rPr>
      </w:pPr>
      <w:r>
        <w:rPr>
          <w:rFonts w:ascii="Arial" w:hAnsi="Arial" w:eastAsia="Arial" w:cs="Arial"/>
          <w:sz w:val="16"/>
          <w:szCs w:val="16"/>
          <w:color w:val="auto"/>
        </w:rPr>
        <w:t xml:space="preserve">A veces, un ataque puede tener el efecto contrario: el ataque de ruido gaussiano mejoró el rendimiento de Adaboost en NSL-KDD. Además de clasificar erróneamente más tráfico malicioso como legítimo, que es el principal objetivo de un ataque de IDS adversario, un ataque adversario también puede aumentar la tasa de falsas alarmas, como ocurrió con Gradient Boosting contra el ruido gaussiano.</w:t>
      </w:r>
    </w:p>
    <w:p>
      <w:pPr>
        <w:spacing w:after="0" w:line="20" w:lineRule="exact"/>
        <w:rPr>
          <w:sz w:val="20"/>
          <w:szCs w:val="20"/>
          <w:color w:val="auto"/>
        </w:rPr>
      </w:pPr>
      <w:r>
        <w:rPr>
          <w:sz w:val="20"/>
          <w:szCs w:val="20"/>
          <w:color w:val="auto"/>
        </w:rPr>
        <w:br w:type="column"/>
      </w:r>
    </w:p>
    <w:p>
      <w:pPr>
        <w:ind w:start="400" w:hanging="137"/>
        <w:spacing w:after="0" w:line="459" w:lineRule="auto"/>
        <w:tabs>
          <w:tab w:val="left" w:leader="none" w:pos="400"/>
        </w:tabs>
        <w:numPr>
          <w:ilvl w:val="0"/>
          <w:numId w:val="34"/>
        </w:numPr>
        <w:rPr>
          <w:rFonts w:ascii="Arial" w:hAnsi="Arial" w:eastAsia="Arial" w:cs="Arial"/>
          <w:sz w:val="16"/>
          <w:szCs w:val="16"/>
          <w:b w:val="1"/>
          <w:bCs w:val="1"/>
          <w:color w:val="auto"/>
        </w:rPr>
      </w:pPr>
      <w:r>
        <w:rPr>
          <w:rFonts w:ascii="Arial" w:hAnsi="Arial" w:eastAsia="Arial" w:cs="Arial"/>
          <w:sz w:val="16"/>
          <w:szCs w:val="16"/>
          <w:color w:val="auto"/>
        </w:rPr>
        <w:t xml:space="preserve">Los ataques Boundary y HopSkipJump consiguen clasificar erróneamente el 100% del tráfico malicioso en NSL-KDD.</w:t>
      </w:r>
    </w:p>
    <w:p>
      <w:pPr>
        <w:spacing w:after="0" w:line="1" w:lineRule="exact"/>
        <w:rPr>
          <w:rFonts w:ascii="Arial" w:hAnsi="Arial" w:eastAsia="Arial" w:cs="Arial"/>
          <w:sz w:val="16"/>
          <w:szCs w:val="16"/>
          <w:b w:val="1"/>
          <w:bCs w:val="1"/>
          <w:color w:val="auto"/>
        </w:rPr>
      </w:pPr>
    </w:p>
    <w:p>
      <w:pPr>
        <w:jc w:val="both"/>
        <w:ind w:start="400" w:hanging="137"/>
        <w:spacing w:after="0" w:line="287" w:lineRule="auto"/>
        <w:tabs>
          <w:tab w:val="left" w:leader="none" w:pos="400"/>
        </w:tabs>
        <w:numPr>
          <w:ilvl w:val="0"/>
          <w:numId w:val="34"/>
        </w:numPr>
        <w:rPr>
          <w:rFonts w:ascii="Arial" w:hAnsi="Arial" w:eastAsia="Arial" w:cs="Arial"/>
          <w:sz w:val="16"/>
          <w:szCs w:val="16"/>
          <w:b w:val="1"/>
          <w:bCs w:val="1"/>
          <w:color w:val="auto"/>
        </w:rPr>
      </w:pPr>
      <w:r>
        <w:rPr>
          <w:rFonts w:ascii="Arial" w:hAnsi="Arial" w:eastAsia="Arial" w:cs="Arial"/>
          <w:sz w:val="16"/>
          <w:szCs w:val="16"/>
          <w:color w:val="auto"/>
        </w:rPr>
        <w:t xml:space="preserve">La defensa contra el aumento de datos gaussianos fue especialmente eficaz contra el ataque de ruido gaussiano, probablemente porque son de la misma familia.</w:t>
      </w:r>
    </w:p>
    <w:p>
      <w:pPr>
        <w:jc w:val="both"/>
        <w:ind w:start="400" w:hanging="137"/>
        <w:spacing w:after="0" w:line="317" w:lineRule="auto"/>
        <w:tabs>
          <w:tab w:val="left" w:leader="none" w:pos="400"/>
        </w:tabs>
        <w:numPr>
          <w:ilvl w:val="0"/>
          <w:numId w:val="34"/>
        </w:numPr>
        <w:rPr>
          <w:rFonts w:ascii="Arial" w:hAnsi="Arial" w:eastAsia="Arial" w:cs="Arial"/>
          <w:sz w:val="16"/>
          <w:szCs w:val="16"/>
          <w:b w:val="1"/>
          <w:bCs w:val="1"/>
          <w:color w:val="auto"/>
        </w:rPr>
      </w:pPr>
      <w:r>
        <w:rPr>
          <w:rFonts w:ascii="Arial" w:hAnsi="Arial" w:eastAsia="Arial" w:cs="Arial"/>
          <w:sz w:val="16"/>
          <w:szCs w:val="16"/>
          <w:color w:val="auto"/>
        </w:rPr>
        <w:t xml:space="preserve">Un método de defensa puede incluso degradar la robustez de un clasificador (por ejemplo, DT contra ataques de caja blanca en el UNSW-NB15), por lo que debe elegirse adecuadamente.</w:t>
      </w:r>
    </w:p>
    <w:p>
      <w:pPr>
        <w:spacing w:after="0" w:line="2" w:lineRule="exact"/>
        <w:rPr>
          <w:sz w:val="20"/>
          <w:szCs w:val="20"/>
          <w:color w:val="auto"/>
        </w:rPr>
      </w:pPr>
    </w:p>
    <w:p>
      <w:pPr>
        <w:jc w:val="both"/>
        <w:ind w:firstLine="239"/>
        <w:spacing w:after="0" w:line="323" w:lineRule="auto"/>
        <w:rPr>
          <w:sz w:val="20"/>
          <w:szCs w:val="20"/>
          <w:color w:val="auto"/>
        </w:rPr>
      </w:pPr>
      <w:r>
        <w:rPr>
          <w:rFonts w:ascii="Arial" w:hAnsi="Arial" w:eastAsia="Arial" w:cs="Arial"/>
          <w:sz w:val="16"/>
          <w:szCs w:val="16"/>
          <w:color w:val="auto"/>
        </w:rPr>
        <w:t xml:space="preserve">También es interesante observar que, en nuestro experimento, los ataques gray/back-box son más eficaces que los ataques white-box, lo que es contrario a la intuición, ya que estos últimos tienen acceso a más información sobre el clasificador. Esto puede explicarse por el hecho de que los ataques gray/back-box se aplicaron directamente sobre los clasificadores, mientras que los ataques white-box se aplicaron sobre una red de generadores. Por otra parte, el rendimiento de los ataques depende en gran medida de la configuración de los hiperparámetros. Un mejor ajuste de los hiperparámetros probablemente mejoraría el rendimiento de los ataques de caja blanca.</w:t>
      </w:r>
    </w:p>
    <w:p>
      <w:pPr>
        <w:spacing w:after="0"/>
        <w:rPr>
          <w:sz w:val="20"/>
          <w:szCs w:val="20"/>
          <w:color w:val="auto"/>
        </w:rPr>
      </w:pPr>
      <w:r>
        <w:rPr>
          <w:rFonts w:ascii="Arial" w:hAnsi="Arial" w:eastAsia="Arial" w:cs="Arial"/>
          <w:sz w:val="16"/>
          <w:szCs w:val="16"/>
          <w:i w:val="1"/>
          <w:iCs w:val="1"/>
          <w:color w:val="auto"/>
        </w:rPr>
        <w:t xml:space="preserve">5.4. Comparación con el estado de la técnica</w:t>
      </w:r>
    </w:p>
    <w:p>
      <w:pPr>
        <w:spacing w:after="0" w:line="200" w:lineRule="exact"/>
        <w:rPr>
          <w:sz w:val="20"/>
          <w:szCs w:val="20"/>
          <w:color w:val="auto"/>
        </w:rPr>
      </w:pPr>
    </w:p>
    <w:p>
      <w:pPr>
        <w:spacing w:after="0" w:line="204" w:lineRule="exact"/>
        <w:rPr>
          <w:sz w:val="20"/>
          <w:szCs w:val="20"/>
          <w:color w:val="auto"/>
        </w:rPr>
      </w:pPr>
    </w:p>
    <w:p>
      <w:pPr>
        <w:jc w:val="both"/>
        <w:ind w:firstLine="239"/>
        <w:spacing w:after="0" w:line="438" w:lineRule="auto"/>
        <w:rPr>
          <w:sz w:val="20"/>
          <w:szCs w:val="20"/>
          <w:color w:val="auto"/>
        </w:rPr>
      </w:pPr>
      <w:r>
        <w:rPr>
          <w:rFonts w:ascii="Arial" w:hAnsi="Arial" w:eastAsia="Arial" w:cs="Arial"/>
          <w:sz w:val="15"/>
          <w:szCs w:val="15"/>
          <w:color w:val="auto"/>
        </w:rPr>
        <w:t xml:space="preserve">Como se menciona en </w:t>
      </w:r>
      <w:r>
        <w:rPr>
          <w:rFonts w:ascii="Arial" w:hAnsi="Arial" w:eastAsia="Arial" w:cs="Arial"/>
          <w:sz w:val="15"/>
          <w:szCs w:val="15"/>
          <w:color w:val="0080AC"/>
        </w:rPr>
        <w:t xml:space="preserve">3.4</w:t>
      </w:r>
      <w:r>
        <w:rPr>
          <w:rFonts w:ascii="Arial" w:hAnsi="Arial" w:eastAsia="Arial" w:cs="Arial"/>
          <w:sz w:val="15"/>
          <w:szCs w:val="15"/>
          <w:color w:val="auto"/>
        </w:rPr>
        <w:t xml:space="preserve">, el artículo [</w:t>
      </w:r>
      <w:r>
        <w:rPr>
          <w:rFonts w:ascii="Arial" w:hAnsi="Arial" w:eastAsia="Arial" w:cs="Arial"/>
          <w:sz w:val="15"/>
          <w:szCs w:val="15"/>
          <w:color w:val="0080AC"/>
        </w:rPr>
        <w:t xml:space="preserve">41] </w:t>
      </w:r>
      <w:r>
        <w:rPr>
          <w:rFonts w:ascii="Arial" w:hAnsi="Arial" w:eastAsia="Arial" w:cs="Arial"/>
          <w:sz w:val="15"/>
          <w:szCs w:val="15"/>
          <w:color w:val="auto"/>
        </w:rPr>
        <w:t xml:space="preserve">es el más cercano a nuestro trabajo ya que, al igual que nosotros, los autores evalúan la robustez de </w:t>
      </w:r>
      <w:r>
        <w:rPr>
          <w:rFonts w:ascii="Arial" w:hAnsi="Arial" w:eastAsia="Arial" w:cs="Arial"/>
          <w:sz w:val="15"/>
          <w:szCs w:val="15"/>
          <w:i w:val="1"/>
          <w:iCs w:val="1"/>
          <w:color w:val="auto"/>
        </w:rPr>
        <w:t xml:space="preserve">los clasificadores superficiales </w:t>
      </w:r>
      <w:r>
        <w:rPr>
          <w:rFonts w:ascii="Arial" w:hAnsi="Arial" w:eastAsia="Arial" w:cs="Arial"/>
          <w:sz w:val="15"/>
          <w:szCs w:val="15"/>
          <w:color w:val="auto"/>
        </w:rPr>
        <w:t xml:space="preserve">frente a </w:t>
      </w:r>
      <w:r>
        <w:rPr>
          <w:rFonts w:ascii="Arial" w:hAnsi="Arial" w:eastAsia="Arial" w:cs="Arial"/>
          <w:sz w:val="15"/>
          <w:szCs w:val="15"/>
          <w:i w:val="1"/>
          <w:iCs w:val="1"/>
          <w:color w:val="auto"/>
        </w:rPr>
        <w:t xml:space="preserve">ataques adversarios del estado del arte </w:t>
      </w:r>
      <w:r>
        <w:rPr>
          <w:rFonts w:ascii="Arial" w:hAnsi="Arial" w:eastAsia="Arial" w:cs="Arial"/>
          <w:sz w:val="15"/>
          <w:szCs w:val="15"/>
          <w:color w:val="auto"/>
        </w:rPr>
        <w:t xml:space="preserve">utilizando la base de datos NSL-KDD.</w:t>
      </w:r>
    </w:p>
    <w:p>
      <w:pPr>
        <w:jc w:val="both"/>
        <w:ind w:firstLine="239"/>
        <w:spacing w:after="0" w:line="298" w:lineRule="auto"/>
        <w:rPr>
          <w:sz w:val="20"/>
          <w:szCs w:val="20"/>
          <w:color w:val="auto"/>
        </w:rPr>
      </w:pPr>
      <w:r>
        <w:rPr>
          <w:rFonts w:ascii="Arial" w:hAnsi="Arial" w:eastAsia="Arial" w:cs="Arial"/>
          <w:sz w:val="16"/>
          <w:szCs w:val="16"/>
          <w:color w:val="auto"/>
        </w:rPr>
        <w:t xml:space="preserve">Dado que la información hiperparamétrica no está disponible en [</w:t>
      </w:r>
      <w:r>
        <w:rPr>
          <w:rFonts w:ascii="Arial" w:hAnsi="Arial" w:eastAsia="Arial" w:cs="Arial"/>
          <w:sz w:val="16"/>
          <w:szCs w:val="16"/>
          <w:color w:val="0080AC"/>
        </w:rPr>
        <w:t xml:space="preserve">41</w:t>
      </w:r>
      <w:r>
        <w:rPr>
          <w:rFonts w:ascii="Arial" w:hAnsi="Arial" w:eastAsia="Arial" w:cs="Arial"/>
          <w:sz w:val="16"/>
          <w:szCs w:val="16"/>
          <w:color w:val="auto"/>
        </w:rPr>
        <w:t xml:space="preserve">], además de la diferencia en la lista de clasificadores y ataques considerados, optamos por comparar cualitativamente nuestro marco de evaluación con el enfoque presentado en [</w:t>
      </w:r>
      <w:r>
        <w:rPr>
          <w:rFonts w:ascii="Arial" w:hAnsi="Arial" w:eastAsia="Arial" w:cs="Arial"/>
          <w:sz w:val="16"/>
          <w:szCs w:val="16"/>
          <w:color w:val="0080AC"/>
        </w:rPr>
        <w:t xml:space="preserve">41</w:t>
      </w:r>
      <w:r>
        <w:rPr>
          <w:rFonts w:ascii="Arial" w:hAnsi="Arial" w:eastAsia="Arial" w:cs="Arial"/>
          <w:sz w:val="16"/>
          <w:szCs w:val="16"/>
          <w:color w:val="auto"/>
        </w:rPr>
        <w:t xml:space="preserve">].</w:t>
      </w:r>
    </w:p>
    <w:p>
      <w:pPr>
        <w:spacing w:after="0" w:line="2" w:lineRule="exact"/>
        <w:rPr>
          <w:sz w:val="20"/>
          <w:szCs w:val="20"/>
          <w:color w:val="auto"/>
        </w:rPr>
      </w:pPr>
    </w:p>
    <w:p>
      <w:pPr>
        <w:jc w:val="both"/>
        <w:ind w:firstLine="239"/>
        <w:spacing w:after="0" w:line="299" w:lineRule="auto"/>
        <w:rPr>
          <w:sz w:val="20"/>
          <w:szCs w:val="20"/>
          <w:color w:val="auto"/>
        </w:rPr>
      </w:pPr>
      <w:r>
        <w:rPr>
          <w:rFonts w:ascii="Arial" w:hAnsi="Arial" w:eastAsia="Arial" w:cs="Arial"/>
          <w:sz w:val="16"/>
          <w:szCs w:val="16"/>
          <w:color w:val="auto"/>
        </w:rPr>
        <w:t xml:space="preserve">Los autores de [</w:t>
      </w:r>
      <w:r>
        <w:rPr>
          <w:rFonts w:ascii="Arial" w:hAnsi="Arial" w:eastAsia="Arial" w:cs="Arial"/>
          <w:sz w:val="16"/>
          <w:szCs w:val="16"/>
          <w:color w:val="0080AC"/>
        </w:rPr>
        <w:t xml:space="preserve">41</w:t>
      </w:r>
      <w:r>
        <w:rPr>
          <w:rFonts w:ascii="Arial" w:hAnsi="Arial" w:eastAsia="Arial" w:cs="Arial"/>
          <w:sz w:val="16"/>
          <w:szCs w:val="16"/>
          <w:color w:val="auto"/>
        </w:rPr>
        <w:t xml:space="preserve">] evalúan la robustez de 3 clasificadores superficiales (LR, RF, SVM) frente a tres ataques adversarios de caja blanca (FGSM, PDG, L-BFGS) y un ataque de caja negra SPSA, y no proponen un método de defensa (Cf. </w:t>
      </w:r>
      <w:r>
        <w:rPr>
          <w:rFonts w:ascii="Arial" w:hAnsi="Arial" w:eastAsia="Arial" w:cs="Arial"/>
          <w:sz w:val="16"/>
          <w:szCs w:val="16"/>
          <w:color w:val="0080AC"/>
        </w:rPr>
        <w:t xml:space="preserve">Tabla 1</w:t>
      </w:r>
      <w:r>
        <w:rPr>
          <w:rFonts w:ascii="Arial" w:hAnsi="Arial" w:eastAsia="Arial" w:cs="Arial"/>
          <w:sz w:val="16"/>
          <w:szCs w:val="16"/>
          <w:color w:val="auto"/>
        </w:rPr>
        <w:t xml:space="preserve">). Este trabajo, sin embargo, evalúa una colección más rica y variada de clasificadores ML (Adaboost, Bagging, DT, GB, LR, RF, SVC), contra ataques adversarios más variados y numerosos (ruido gaussiano, ataques de caja blanca: FGSM, PGD, BIM, C&amp;W, JSMA, Ataques de caja gris/negra: Zoo, Boundary, HopSkipJump). Además, completamos nuestro estudio evaluando el impacto de una técnica de defensa (aumento de datos gaussianos) en la mejora de la robustez de los clasificadores. Esto nos permitió extraer conclusiones interesantes sobre el equilibrio entre robustez y precisión de los clasificadores, como se ha explicado anteriormente. Nótese, sin embargo, que los resultados obtenidos en [</w:t>
      </w:r>
      <w:r>
        <w:rPr>
          <w:rFonts w:ascii="Arial" w:hAnsi="Arial" w:eastAsia="Arial" w:cs="Arial"/>
          <w:sz w:val="16"/>
          <w:szCs w:val="16"/>
          <w:color w:val="0080AC"/>
        </w:rPr>
        <w:t xml:space="preserve">41</w:t>
      </w:r>
      <w:r>
        <w:rPr>
          <w:rFonts w:ascii="Arial" w:hAnsi="Arial" w:eastAsia="Arial" w:cs="Arial"/>
          <w:sz w:val="16"/>
          <w:szCs w:val="16"/>
          <w:color w:val="auto"/>
        </w:rPr>
        <w:t xml:space="preserve">] confirman nuestras conclusiones sobre la vulnerabilidad de los clasificadores ML a diferentes ataques con distintos grados de sensibilidad.</w:t>
      </w:r>
    </w:p>
    <w:p>
      <w:pPr>
        <w:spacing w:after="0" w:line="58" w:lineRule="exact"/>
        <w:rPr>
          <w:sz w:val="20"/>
          <w:szCs w:val="20"/>
          <w:color w:val="auto"/>
        </w:rPr>
      </w:pPr>
    </w:p>
    <w:p>
      <w:pPr>
        <w:sectPr>
          <w:pgSz w:w="11900" w:h="15874" w:orient="portrait"/>
          <w:cols w:equalWidth="0" w:num="2">
            <w:col w:w="5020" w:space="360"/>
            <w:col w:w="5020"/>
          </w:cols>
          <w:pgMar w:top="492" w:right="746" w:bottom="85" w:left="760" w:header="0" w:footer="0" w:gutter="0"/>
          <w:type w:val="continuous"/>
        </w:sectPr>
      </w:pPr>
    </w:p>
    <w:p>
      <w:pPr>
        <w:jc w:val="center"/>
        <w:spacing w:after="0"/>
        <w:rPr>
          <w:sz w:val="20"/>
          <w:szCs w:val="20"/>
          <w:color w:val="auto"/>
        </w:rPr>
      </w:pPr>
      <w:r>
        <w:rPr>
          <w:rFonts w:ascii="Arial" w:hAnsi="Arial" w:eastAsia="Arial" w:cs="Arial"/>
          <w:sz w:val="13"/>
          <w:szCs w:val="13"/>
          <w:color w:val="auto"/>
        </w:rPr>
        <w:t xml:space="preserve">10</w:t>
      </w:r>
    </w:p>
    <w:p>
      <w:pPr>
        <w:sectPr>
          <w:pgSz w:w="11900" w:h="15874" w:orient="portrait"/>
          <w:cols w:equalWidth="0" w:num="1">
            <w:col w:w="10400"/>
          </w:cols>
          <w:pgMar w:top="492" w:right="746" w:bottom="85" w:left="760" w:header="0" w:footer="0" w:gutter="0"/>
          <w:type w:val="continuous"/>
        </w:sectPr>
      </w:pPr>
    </w:p>
    <w:bookmarkStart w:name="page11" w:id="10"/>
    <w:bookmarkEnd w:id="10"/>
    <w:p>
      <w:pPr>
        <w:spacing w:after="0"/>
        <w:tabs>
          <w:tab w:val="left" w:leader="none" w:pos="8200"/>
        </w:tabs>
        <w:rPr>
          <w:sz w:val="20"/>
          <w:szCs w:val="20"/>
          <w:color w:val="auto"/>
        </w:rPr>
      </w:pPr>
      <w:r>
        <w:rPr>
          <w:rFonts w:ascii="Arial" w:hAnsi="Arial" w:eastAsia="Arial" w:cs="Arial"/>
          <w:sz w:val="13"/>
          <w:szCs w:val="13"/>
          <w:i w:val="1"/>
          <w:iCs w:val="1"/>
          <w:color w:val="auto"/>
        </w:rPr>
        <w:t xml:space="preserve">H. Jmila y M.I. Khedher</w:t>
      </w:r>
      <w:r>
        <w:rPr>
          <w:sz w:val="20"/>
          <w:szCs w:val="20"/>
          <w:color w:val="auto"/>
        </w:rPr>
        <w:tab/>
      </w:r>
      <w:r>
        <w:rPr>
          <w:rFonts w:ascii="Arial" w:hAnsi="Arial" w:eastAsia="Arial" w:cs="Arial"/>
          <w:sz w:val="12"/>
          <w:szCs w:val="12"/>
          <w:i w:val="1"/>
          <w:iCs w:val="1"/>
          <w:color w:val="auto"/>
        </w:rPr>
        <w:t xml:space="preserve">Redes informáticas 214 (2022) 109073</w:t>
      </w:r>
    </w:p>
    <w:p>
      <w:pPr>
        <w:spacing w:after="0" w:line="318" w:lineRule="exact"/>
        <w:rPr>
          <w:sz w:val="20"/>
          <w:szCs w:val="20"/>
          <w:color w:val="auto"/>
        </w:rPr>
      </w:pPr>
    </w:p>
    <w:p>
      <w:pPr>
        <w:ind w:start="1040"/>
        <w:spacing w:after="0"/>
        <w:rPr>
          <w:sz w:val="20"/>
          <w:szCs w:val="20"/>
          <w:color w:val="auto"/>
        </w:rPr>
      </w:pPr>
      <w:r>
        <w:rPr>
          <w:rFonts w:ascii="Arial" w:hAnsi="Arial" w:eastAsia="Arial" w:cs="Arial"/>
          <w:sz w:val="13"/>
          <w:szCs w:val="13"/>
          <w:b w:val="1"/>
          <w:bCs w:val="1"/>
          <w:color w:val="auto"/>
        </w:rPr>
        <w:t xml:space="preserve">Cuadro 4</w:t>
      </w:r>
    </w:p>
    <w:p>
      <w:pPr>
        <w:spacing w:after="0" w:line="177" w:lineRule="exact"/>
        <w:rPr>
          <w:sz w:val="20"/>
          <w:szCs w:val="20"/>
          <w:color w:val="auto"/>
        </w:rPr>
      </w:pPr>
    </w:p>
    <w:p>
      <w:pPr>
        <w:ind w:start="1040"/>
        <w:spacing w:after="0"/>
        <w:rPr>
          <w:sz w:val="20"/>
          <w:szCs w:val="20"/>
          <w:color w:val="auto"/>
        </w:rPr>
      </w:pPr>
      <w:r>
        <w:rPr>
          <w:rFonts w:ascii="Arial" w:hAnsi="Arial" w:eastAsia="Arial" w:cs="Arial"/>
          <w:sz w:val="13"/>
          <w:szCs w:val="13"/>
          <w:color w:val="auto"/>
        </w:rPr>
        <w:t xml:space="preserve">Resultados de la evaluación NSL-KDD.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713105</wp:posOffset>
            </wp:positionH>
            <wp:positionV relativeFrom="paragraph">
              <wp:posOffset>-19685</wp:posOffset>
            </wp:positionV>
            <wp:extent cx="5021580" cy="6861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extLst>
                    </a:blip>
                    <a:srcRect/>
                    <a:stretch>
                      <a:fillRect/>
                    </a:stretch>
                  </pic:blipFill>
                  <pic:spPr bwMode="auto">
                    <a:xfrm>
                      <a:off x="0" y="0"/>
                      <a:ext cx="5021580" cy="6861810"/>
                    </a:xfrm>
                    <a:prstGeom prst="rect">
                      <a:avLst/>
                    </a:prstGeom>
                    <a:noFill/>
                  </pic:spPr>
                </pic:pic>
              </a:graphicData>
            </a:graphic>
          </wp:anchor>
        </w:drawing>
      </w:r>
    </w:p>
    <w:p>
      <w:pPr>
        <w:sectPr>
          <w:pgSz w:w="11900" w:h="15874" w:orient="portrait"/>
          <w:cols w:equalWidth="0" w:num="1">
            <w:col w:w="10400"/>
          </w:cols>
          <w:pgMar w:top="492" w:right="746" w:bottom="85" w:left="760" w:header="0" w:footer="0" w:gutt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Arial" w:hAnsi="Arial" w:eastAsia="Arial" w:cs="Arial"/>
          <w:sz w:val="16"/>
          <w:szCs w:val="16"/>
          <w:b w:val="1"/>
          <w:bCs w:val="1"/>
          <w:color w:val="auto"/>
        </w:rPr>
        <w:t xml:space="preserve">6. Debate</w:t>
      </w:r>
    </w:p>
    <w:p>
      <w:pPr>
        <w:spacing w:after="0" w:line="200" w:lineRule="exact"/>
        <w:rPr>
          <w:sz w:val="20"/>
          <w:szCs w:val="20"/>
          <w:color w:val="auto"/>
        </w:rPr>
      </w:pPr>
    </w:p>
    <w:p>
      <w:pPr>
        <w:spacing w:after="0" w:line="203" w:lineRule="exact"/>
        <w:rPr>
          <w:sz w:val="20"/>
          <w:szCs w:val="20"/>
          <w:color w:val="auto"/>
        </w:rPr>
      </w:pPr>
    </w:p>
    <w:p>
      <w:pPr>
        <w:jc w:val="both"/>
        <w:ind w:firstLine="239"/>
        <w:spacing w:after="0" w:line="385" w:lineRule="auto"/>
        <w:rPr>
          <w:sz w:val="20"/>
          <w:szCs w:val="20"/>
          <w:color w:val="auto"/>
        </w:rPr>
      </w:pPr>
      <w:r>
        <w:rPr>
          <w:rFonts w:ascii="Arial" w:hAnsi="Arial" w:eastAsia="Arial" w:cs="Arial"/>
          <w:sz w:val="15"/>
          <w:szCs w:val="15"/>
          <w:color w:val="auto"/>
        </w:rPr>
        <w:t xml:space="preserve">En este trabajo, los cambios sobre las muestras de entrada se realizan sobre el vector de características, sin embargo, un atacante no tiene acceso al vector de características de entrada del algoritmo ML para poder modificarlo, sino que debe generar tráfico real que respete las características descritas por el vector de características generado por el ataque adversario (FGSM, PGD, etc.). Este tráfico también debe conservar su funcionalidad original (maliciosa o benigna). Esta transición de vector de características a instancia real se conoce en la literatura como la transición de ''espacio de características'' a ''espacio de problemas'' [</w:t>
      </w:r>
      <w:r>
        <w:rPr>
          <w:rFonts w:ascii="Arial" w:hAnsi="Arial" w:eastAsia="Arial" w:cs="Arial"/>
          <w:sz w:val="15"/>
          <w:szCs w:val="15"/>
          <w:color w:val="0080AC"/>
        </w:rPr>
        <w:t xml:space="preserve">82</w:t>
      </w:r>
      <w:r>
        <w:rPr>
          <w:rFonts w:ascii="Arial" w:hAnsi="Arial" w:eastAsia="Arial" w:cs="Arial"/>
          <w:sz w:val="15"/>
          <w:szCs w:val="15"/>
          <w:color w:val="auto"/>
        </w:rPr>
        <w:t xml:space="preserv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spacing w:after="0" w:line="475" w:lineRule="auto"/>
        <w:rPr>
          <w:sz w:val="20"/>
          <w:szCs w:val="20"/>
          <w:color w:val="auto"/>
        </w:rPr>
      </w:pPr>
      <w:r>
        <w:rPr>
          <w:rFonts w:ascii="Arial" w:hAnsi="Arial" w:eastAsia="Arial" w:cs="Arial"/>
          <w:sz w:val="16"/>
          <w:szCs w:val="16"/>
          <w:color w:val="auto"/>
        </w:rPr>
        <w:t xml:space="preserve">es específico de determinados tipos de datos, en los que, a diferencia de las imágenes, esta transición no es trivialmente reversible y puede ser compleja.</w:t>
      </w:r>
    </w:p>
    <w:p>
      <w:pPr>
        <w:spacing w:after="0" w:line="1" w:lineRule="exact"/>
        <w:rPr>
          <w:sz w:val="20"/>
          <w:szCs w:val="20"/>
          <w:color w:val="auto"/>
        </w:rPr>
      </w:pPr>
    </w:p>
    <w:p>
      <w:pPr>
        <w:jc w:val="both"/>
        <w:ind w:firstLine="239"/>
        <w:spacing w:after="0" w:line="292" w:lineRule="auto"/>
        <w:rPr>
          <w:sz w:val="20"/>
          <w:szCs w:val="20"/>
          <w:color w:val="auto"/>
        </w:rPr>
      </w:pPr>
      <w:r>
        <w:rPr>
          <w:rFonts w:ascii="Arial" w:hAnsi="Arial" w:eastAsia="Arial" w:cs="Arial"/>
          <w:sz w:val="16"/>
          <w:szCs w:val="16"/>
          <w:color w:val="auto"/>
        </w:rPr>
        <w:t xml:space="preserve">Una forma de facilitar esta transición consiste en realizar juiciosamente algunas modificaciones en la muestra de tráfico original, con el fin de obtener una muestra con características próximas a las de la muestra perturbada (muestra adversaria generada), sin alterar la función primaria del tráfico. Algunos ejemplos de manipulaciones posibles son (i) rellenar y fragmentar o duplicar las unidades de datos de protocolo (PDU, por sus siglas en inglés, p. ej., paquete, segmento, dato-grama, etc.) para modificar sus características volumétricas (p. ej., tamaño del flujo, número de paquetes, etc.), (ii) retrasar la transmisión de las PDU, para actuar sobre sus características temporales (p. ej., tiempo entre llegadas de los paquetes), (iii)</w:t>
      </w:r>
    </w:p>
    <w:p>
      <w:pPr>
        <w:spacing w:after="0" w:line="59" w:lineRule="exact"/>
        <w:rPr>
          <w:sz w:val="20"/>
          <w:szCs w:val="20"/>
          <w:color w:val="auto"/>
        </w:rPr>
      </w:pPr>
    </w:p>
    <w:p>
      <w:pPr>
        <w:sectPr>
          <w:pgSz w:w="11900" w:h="15874" w:orient="portrait"/>
          <w:cols w:equalWidth="0" w:num="2">
            <w:col w:w="5020" w:space="360"/>
            <w:col w:w="5020"/>
          </w:cols>
          <w:pgMar w:top="492" w:right="746" w:bottom="85" w:left="760" w:header="0" w:footer="0" w:gutter="0"/>
          <w:type w:val="continuous"/>
        </w:sectPr>
      </w:pPr>
    </w:p>
    <w:p>
      <w:pPr>
        <w:jc w:val="center"/>
        <w:spacing w:after="0"/>
        <w:rPr>
          <w:sz w:val="20"/>
          <w:szCs w:val="20"/>
          <w:color w:val="auto"/>
        </w:rPr>
      </w:pPr>
      <w:r>
        <w:rPr>
          <w:rFonts w:ascii="Arial" w:hAnsi="Arial" w:eastAsia="Arial" w:cs="Arial"/>
          <w:sz w:val="13"/>
          <w:szCs w:val="13"/>
          <w:color w:val="auto"/>
        </w:rPr>
        <w:t xml:space="preserve">11</w:t>
      </w:r>
    </w:p>
    <w:p>
      <w:pPr>
        <w:sectPr>
          <w:pgSz w:w="11900" w:h="15874" w:orient="portrait"/>
          <w:cols w:equalWidth="0" w:num="1">
            <w:col w:w="10400"/>
          </w:cols>
          <w:pgMar w:top="492" w:right="746" w:bottom="85" w:left="760" w:header="0" w:footer="0" w:gutter="0"/>
          <w:type w:val="continuous"/>
        </w:sectPr>
      </w:pPr>
    </w:p>
    <w:bookmarkStart w:name="page12" w:id="11"/>
    <w:bookmarkEnd w:id="11"/>
    <w:p>
      <w:pPr>
        <w:spacing w:after="0"/>
        <w:tabs>
          <w:tab w:val="left" w:leader="none" w:pos="8200"/>
        </w:tabs>
        <w:rPr>
          <w:sz w:val="20"/>
          <w:szCs w:val="20"/>
          <w:color w:val="auto"/>
        </w:rPr>
      </w:pPr>
      <w:r>
        <w:rPr>
          <w:rFonts w:ascii="Arial" w:hAnsi="Arial" w:eastAsia="Arial" w:cs="Arial"/>
          <w:sz w:val="13"/>
          <w:szCs w:val="13"/>
          <w:i w:val="1"/>
          <w:iCs w:val="1"/>
          <w:color w:val="auto"/>
        </w:rPr>
        <w:t xml:space="preserve">H. Jmila y M.I. Khedher</w:t>
      </w:r>
      <w:r>
        <w:rPr>
          <w:sz w:val="20"/>
          <w:szCs w:val="20"/>
          <w:color w:val="auto"/>
        </w:rPr>
        <w:tab/>
      </w:r>
      <w:r>
        <w:rPr>
          <w:rFonts w:ascii="Arial" w:hAnsi="Arial" w:eastAsia="Arial" w:cs="Arial"/>
          <w:sz w:val="12"/>
          <w:szCs w:val="12"/>
          <w:i w:val="1"/>
          <w:iCs w:val="1"/>
          <w:color w:val="auto"/>
        </w:rPr>
        <w:t xml:space="preserve">Redes informáticas 214 (2022) 109073</w:t>
      </w:r>
    </w:p>
    <w:p>
      <w:pPr>
        <w:spacing w:after="0" w:line="318" w:lineRule="exact"/>
        <w:rPr>
          <w:sz w:val="20"/>
          <w:szCs w:val="20"/>
          <w:color w:val="auto"/>
        </w:rPr>
      </w:pPr>
    </w:p>
    <w:p>
      <w:pPr>
        <w:ind w:start="1040"/>
        <w:spacing w:after="0"/>
        <w:rPr>
          <w:sz w:val="20"/>
          <w:szCs w:val="20"/>
          <w:color w:val="auto"/>
        </w:rPr>
      </w:pPr>
      <w:r>
        <w:rPr>
          <w:rFonts w:ascii="Arial" w:hAnsi="Arial" w:eastAsia="Arial" w:cs="Arial"/>
          <w:sz w:val="13"/>
          <w:szCs w:val="13"/>
          <w:b w:val="1"/>
          <w:bCs w:val="1"/>
          <w:color w:val="auto"/>
        </w:rPr>
        <w:t xml:space="preserve">Cuadro 5</w:t>
      </w:r>
    </w:p>
    <w:p>
      <w:pPr>
        <w:spacing w:after="0" w:line="177" w:lineRule="exact"/>
        <w:rPr>
          <w:sz w:val="20"/>
          <w:szCs w:val="20"/>
          <w:color w:val="auto"/>
        </w:rPr>
      </w:pPr>
    </w:p>
    <w:p>
      <w:pPr>
        <w:ind w:start="1040"/>
        <w:spacing w:after="0"/>
        <w:rPr>
          <w:sz w:val="20"/>
          <w:szCs w:val="20"/>
          <w:color w:val="auto"/>
        </w:rPr>
      </w:pPr>
      <w:r>
        <w:rPr>
          <w:rFonts w:ascii="Arial" w:hAnsi="Arial" w:eastAsia="Arial" w:cs="Arial"/>
          <w:sz w:val="13"/>
          <w:szCs w:val="13"/>
          <w:color w:val="auto"/>
        </w:rPr>
        <w:t xml:space="preserve">Resultados de la evaluación UNSW-NB15.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713105</wp:posOffset>
            </wp:positionH>
            <wp:positionV relativeFrom="paragraph">
              <wp:posOffset>-19685</wp:posOffset>
            </wp:positionV>
            <wp:extent cx="5021580" cy="680656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extLst>
                    </a:blip>
                    <a:srcRect/>
                    <a:stretch>
                      <a:fillRect/>
                    </a:stretch>
                  </pic:blipFill>
                  <pic:spPr bwMode="auto">
                    <a:xfrm>
                      <a:off x="0" y="0"/>
                      <a:ext cx="5021580" cy="6806565"/>
                    </a:xfrm>
                    <a:prstGeom prst="rect">
                      <a:avLst/>
                    </a:prstGeom>
                    <a:noFill/>
                  </pic:spPr>
                </pic:pic>
              </a:graphicData>
            </a:graphic>
          </wp:anchor>
        </w:drawing>
      </w:r>
    </w:p>
    <w:p>
      <w:pPr>
        <w:sectPr>
          <w:pgSz w:w="11900" w:h="15874" w:orient="portrait"/>
          <w:cols w:equalWidth="0" w:num="1">
            <w:col w:w="10400"/>
          </w:cols>
          <w:pgMar w:top="492" w:right="746" w:bottom="85" w:left="760" w:header="0" w:footer="0" w:gutt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both"/>
        <w:spacing w:after="0" w:line="336" w:lineRule="auto"/>
        <w:rPr>
          <w:sz w:val="20"/>
          <w:szCs w:val="20"/>
          <w:color w:val="auto"/>
        </w:rPr>
      </w:pPr>
      <w:r>
        <w:rPr>
          <w:rFonts w:ascii="Arial" w:hAnsi="Arial" w:eastAsia="Arial" w:cs="Arial"/>
          <w:sz w:val="16"/>
          <w:szCs w:val="16"/>
          <w:color w:val="auto"/>
        </w:rPr>
        <w:t xml:space="preserve">modificar los valores de algunos campos, etc. Para no alterar la función principal del tráfico, las modificaciones deben hacerse sólo en los campos que no tengan impacto en esta función. Para ello, es necesario explorar y mejorar las herramientas de manipulación de PDU. Afortunadamente, ya existen herramientas prometedoras como Scapy [</w:t>
      </w:r>
      <w:r>
        <w:rPr>
          <w:rFonts w:ascii="Arial" w:hAnsi="Arial" w:eastAsia="Arial" w:cs="Arial"/>
          <w:sz w:val="16"/>
          <w:szCs w:val="16"/>
          <w:color w:val="0080AC"/>
        </w:rPr>
        <w:t xml:space="preserve">83</w:t>
      </w:r>
      <w:r>
        <w:rPr>
          <w:rFonts w:ascii="Arial" w:hAnsi="Arial" w:eastAsia="Arial" w:cs="Arial"/>
          <w:sz w:val="16"/>
          <w:szCs w:val="16"/>
          <w:color w:val="auto"/>
        </w:rPr>
        <w:t xml:space="preserve">], que es un programa de manipulación de paquetes. </w:t>
      </w:r>
      <w:r>
        <w:rPr>
          <w:rFonts w:ascii="Arial" w:hAnsi="Arial" w:eastAsia="Arial" w:cs="Arial"/>
          <w:sz w:val="16"/>
          <w:szCs w:val="16"/>
          <w:color w:val="auto"/>
        </w:rPr>
        <w:t xml:space="preserve">También se pueden explorar </w:t>
      </w:r>
      <w:r>
        <w:rPr>
          <w:rFonts w:ascii="Arial" w:hAnsi="Arial" w:eastAsia="Arial" w:cs="Arial"/>
          <w:sz w:val="16"/>
          <w:szCs w:val="16"/>
          <w:color w:val="auto"/>
        </w:rPr>
        <w:t xml:space="preserve">generadores de tráfico sintético personalizados [</w:t>
      </w:r>
      <w:r>
        <w:rPr>
          <w:rFonts w:ascii="Arial" w:hAnsi="Arial" w:eastAsia="Arial" w:cs="Arial"/>
          <w:sz w:val="16"/>
          <w:szCs w:val="16"/>
          <w:color w:val="0080AC"/>
        </w:rPr>
        <w:t xml:space="preserve">84]</w:t>
      </w:r>
      <w:r>
        <w:rPr>
          <w:rFonts w:ascii="Arial" w:hAnsi="Arial" w:eastAsia="Arial" w:cs="Arial"/>
          <w:sz w:val="16"/>
          <w:szCs w:val="16"/>
          <w:color w:val="auto"/>
        </w:rPr>
        <w:t xml:space="preserve">.</w:t>
      </w:r>
    </w:p>
    <w:p>
      <w:pPr>
        <w:spacing w:after="0" w:line="4" w:lineRule="exact"/>
        <w:rPr>
          <w:sz w:val="20"/>
          <w:szCs w:val="20"/>
          <w:color w:val="auto"/>
        </w:rPr>
      </w:pPr>
    </w:p>
    <w:p>
      <w:pPr>
        <w:spacing w:after="0"/>
        <w:rPr>
          <w:sz w:val="20"/>
          <w:szCs w:val="20"/>
          <w:color w:val="auto"/>
        </w:rPr>
      </w:pPr>
      <w:r>
        <w:rPr>
          <w:rFonts w:ascii="Arial" w:hAnsi="Arial" w:eastAsia="Arial" w:cs="Arial"/>
          <w:sz w:val="16"/>
          <w:szCs w:val="16"/>
          <w:b w:val="1"/>
          <w:bCs w:val="1"/>
          <w:color w:val="auto"/>
        </w:rPr>
        <w:t xml:space="preserve">7. Conclusión y trabajo futuro</w:t>
      </w:r>
    </w:p>
    <w:p>
      <w:pPr>
        <w:spacing w:after="0" w:line="198" w:lineRule="exact"/>
        <w:rPr>
          <w:sz w:val="20"/>
          <w:szCs w:val="20"/>
          <w:color w:val="auto"/>
        </w:rPr>
      </w:pPr>
    </w:p>
    <w:p>
      <w:pPr>
        <w:jc w:val="both"/>
        <w:ind w:firstLine="239"/>
        <w:spacing w:after="0" w:line="487" w:lineRule="auto"/>
        <w:rPr>
          <w:sz w:val="20"/>
          <w:szCs w:val="20"/>
          <w:color w:val="auto"/>
        </w:rPr>
      </w:pPr>
      <w:r>
        <w:rPr>
          <w:rFonts w:ascii="Arial" w:hAnsi="Arial" w:eastAsia="Arial" w:cs="Arial"/>
          <w:sz w:val="15"/>
          <w:szCs w:val="15"/>
          <w:color w:val="auto"/>
        </w:rPr>
        <w:t xml:space="preserve">Este artículo se centra en el área de investigación del aprendizaje automático adversarial. Estudiamos la robustez de varios clasificadores ML ampliamente utilizados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both"/>
        <w:spacing w:after="0" w:line="331" w:lineRule="auto"/>
        <w:rPr>
          <w:sz w:val="20"/>
          <w:szCs w:val="20"/>
          <w:color w:val="auto"/>
        </w:rPr>
      </w:pPr>
      <w:r>
        <w:rPr>
          <w:rFonts w:ascii="Arial" w:hAnsi="Arial" w:eastAsia="Arial" w:cs="Arial"/>
          <w:sz w:val="15"/>
          <w:szCs w:val="15"/>
          <w:color w:val="auto"/>
        </w:rPr>
        <w:t xml:space="preserve">contra ejemplos adversos en el contexto de los IDS de red. Consideramos tanto los ataques de caja gris/negra como los de caja blanca. Se ha utilizado un clasificador externo basado en DNN para generar ejemplos adversarios basados en white-box. Además, estudiamos el impacto de una técnica de defensa basada en el aumento gaussiano de datos para mejorar la robustez de diferentes NIDS. Para la evaluación, consideramos tanto la precisión como la tasa de falsos negativos. Esta última mide el porcentaje de tráfico malicioso que consigue eludir el NIDS. Para la evaluación se utilizaron los conjuntos de datos NSL-KDD y UNSW-NB15. Los resultados muestran que los ataques no tienen el mismo impacto en todos los clasificadores y que la robustez de un clasificador depende del ataque. Del mismo modo, una técnica de defensa no es eficaz para todos los clasificadores ni contra todos los ataques. Además,</w:t>
      </w:r>
    </w:p>
    <w:p>
      <w:pPr>
        <w:spacing w:after="0" w:line="35" w:lineRule="exact"/>
        <w:rPr>
          <w:sz w:val="20"/>
          <w:szCs w:val="20"/>
          <w:color w:val="auto"/>
        </w:rPr>
      </w:pPr>
    </w:p>
    <w:p>
      <w:pPr>
        <w:sectPr>
          <w:pgSz w:w="11900" w:h="15874" w:orient="portrait"/>
          <w:cols w:equalWidth="0" w:num="2">
            <w:col w:w="5020" w:space="360"/>
            <w:col w:w="5020"/>
          </w:cols>
          <w:pgMar w:top="492" w:right="746" w:bottom="85" w:left="760" w:header="0" w:footer="0" w:gutter="0"/>
          <w:type w:val="continuous"/>
        </w:sectPr>
      </w:pPr>
    </w:p>
    <w:p>
      <w:pPr>
        <w:jc w:val="center"/>
        <w:spacing w:after="0"/>
        <w:rPr>
          <w:sz w:val="20"/>
          <w:szCs w:val="20"/>
          <w:color w:val="auto"/>
        </w:rPr>
      </w:pPr>
      <w:r>
        <w:rPr>
          <w:rFonts w:ascii="Arial" w:hAnsi="Arial" w:eastAsia="Arial" w:cs="Arial"/>
          <w:sz w:val="13"/>
          <w:szCs w:val="13"/>
          <w:color w:val="auto"/>
        </w:rPr>
        <w:t xml:space="preserve">12</w:t>
      </w:r>
    </w:p>
    <w:p>
      <w:pPr>
        <w:sectPr>
          <w:pgSz w:w="11900" w:h="15874" w:orient="portrait"/>
          <w:cols w:equalWidth="0" w:num="1">
            <w:col w:w="10400"/>
          </w:cols>
          <w:pgMar w:top="492" w:right="746" w:bottom="85" w:left="760" w:header="0" w:footer="0" w:gutter="0"/>
          <w:type w:val="continuous"/>
        </w:sectPr>
      </w:pPr>
    </w:p>
    <w:bookmarkStart w:name="page13" w:id="12"/>
    <w:bookmarkEnd w:id="12"/>
    <w:p>
      <w:pPr>
        <w:spacing w:after="0"/>
        <w:rPr>
          <w:sz w:val="20"/>
          <w:szCs w:val="20"/>
          <w:color w:val="auto"/>
        </w:rPr>
      </w:pPr>
      <w:r>
        <w:rPr>
          <w:rFonts w:ascii="Arial" w:hAnsi="Arial" w:eastAsia="Arial" w:cs="Arial"/>
          <w:sz w:val="13"/>
          <w:szCs w:val="13"/>
          <w:i w:val="1"/>
          <w:iCs w:val="1"/>
          <w:color w:val="auto"/>
        </w:rPr>
        <w:t xml:space="preserve">H. Jmila y M.I. Khedher</w:t>
      </w:r>
    </w:p>
    <w:p>
      <w:pPr>
        <w:spacing w:after="0" w:line="318" w:lineRule="exact"/>
        <w:rPr>
          <w:sz w:val="20"/>
          <w:szCs w:val="20"/>
          <w:color w:val="auto"/>
        </w:rPr>
      </w:pPr>
    </w:p>
    <w:p>
      <w:pPr>
        <w:jc w:val="both"/>
        <w:spacing w:after="0" w:line="326" w:lineRule="auto"/>
        <w:rPr>
          <w:sz w:val="20"/>
          <w:szCs w:val="20"/>
          <w:color w:val="auto"/>
        </w:rPr>
      </w:pPr>
      <w:r>
        <w:rPr>
          <w:rFonts w:ascii="Arial" w:hAnsi="Arial" w:eastAsia="Arial" w:cs="Arial"/>
          <w:sz w:val="16"/>
          <w:szCs w:val="16"/>
          <w:color w:val="auto"/>
        </w:rPr>
        <w:t xml:space="preserve">una técnica de defensa puede mejorar la robustez de un clasificador pero degradar su rendimiento general, por lo que debe considerarse un compromiso entre rendimiento y robustez en función del escenario de aplicación de la NIDS.</w:t>
      </w:r>
    </w:p>
    <w:p>
      <w:pPr>
        <w:spacing w:after="0" w:line="1" w:lineRule="exact"/>
        <w:rPr>
          <w:sz w:val="20"/>
          <w:szCs w:val="20"/>
          <w:color w:val="auto"/>
        </w:rPr>
      </w:pPr>
    </w:p>
    <w:p>
      <w:pPr>
        <w:jc w:val="both"/>
        <w:ind w:firstLine="239"/>
        <w:spacing w:after="0" w:line="283" w:lineRule="auto"/>
        <w:rPr>
          <w:sz w:val="20"/>
          <w:szCs w:val="20"/>
          <w:color w:val="auto"/>
        </w:rPr>
      </w:pPr>
      <w:r>
        <w:rPr>
          <w:rFonts w:ascii="Arial" w:hAnsi="Arial" w:eastAsia="Arial" w:cs="Arial"/>
          <w:sz w:val="16"/>
          <w:szCs w:val="16"/>
          <w:color w:val="auto"/>
        </w:rPr>
        <w:t xml:space="preserve">En futuros trabajos, pretendemos generar ataques adversarios más realistas que se proyecten más fácilmente en el espacio del problema. Para ello</w:t>
      </w:r>
      <w:r>
        <w:rPr>
          <w:rFonts w:ascii="Arial" w:hAnsi="Arial" w:eastAsia="Arial" w:cs="Arial"/>
          <w:sz w:val="16"/>
          <w:szCs w:val="16"/>
          <w:color w:val="auto"/>
        </w:rPr>
        <w:t xml:space="preserve">, seguiremos algunas recomendaciones encontradas en la literatura, [</w:t>
      </w:r>
      <w:r>
        <w:rPr>
          <w:rFonts w:ascii="Arial" w:hAnsi="Arial" w:eastAsia="Arial" w:cs="Arial"/>
          <w:sz w:val="16"/>
          <w:szCs w:val="16"/>
          <w:color w:val="0080AC"/>
        </w:rPr>
        <w:t xml:space="preserve">85-87</w:t>
      </w:r>
      <w:r>
        <w:rPr>
          <w:rFonts w:ascii="Arial" w:hAnsi="Arial" w:eastAsia="Arial" w:cs="Arial"/>
          <w:sz w:val="16"/>
          <w:szCs w:val="16"/>
          <w:color w:val="auto"/>
        </w:rPr>
        <w:t xml:space="preserve">], a saber (i) restringir el espacio de características a perturbar, es decir, evitar perturbar características no diferenciables para que la transformación sea reversible, y las características directamente relacionadas con la funcionalidad del flujo para no impactarlo, (ii) realizar perturbaciones de pequeña amplitud y comprobar que los valores de las características modificadas siguen siendo válidos (restricciones de dominio), y (iii) analizar la consistencia de los valores tomados por las características correlacionadas.</w:t>
      </w:r>
    </w:p>
    <w:p>
      <w:pPr>
        <w:spacing w:after="0" w:line="5" w:lineRule="exact"/>
        <w:rPr>
          <w:sz w:val="20"/>
          <w:szCs w:val="20"/>
          <w:color w:val="auto"/>
        </w:rPr>
      </w:pPr>
    </w:p>
    <w:p>
      <w:pPr>
        <w:spacing w:after="0"/>
        <w:rPr>
          <w:sz w:val="20"/>
          <w:szCs w:val="20"/>
          <w:color w:val="auto"/>
        </w:rPr>
      </w:pPr>
      <w:r>
        <w:rPr>
          <w:rFonts w:ascii="Arial" w:hAnsi="Arial" w:eastAsia="Arial" w:cs="Arial"/>
          <w:sz w:val="16"/>
          <w:szCs w:val="16"/>
          <w:b w:val="1"/>
          <w:bCs w:val="1"/>
          <w:color w:val="auto"/>
        </w:rPr>
        <w:t xml:space="preserve">Declaración de contribución a la autoría de CRediT</w:t>
      </w:r>
    </w:p>
    <w:p>
      <w:pPr>
        <w:spacing w:after="0" w:line="242" w:lineRule="exact"/>
        <w:rPr>
          <w:sz w:val="20"/>
          <w:szCs w:val="20"/>
          <w:color w:val="auto"/>
        </w:rPr>
      </w:pPr>
    </w:p>
    <w:p>
      <w:pPr>
        <w:jc w:val="both"/>
        <w:ind w:firstLine="239"/>
        <w:spacing w:after="0" w:line="362" w:lineRule="auto"/>
        <w:rPr>
          <w:sz w:val="20"/>
          <w:szCs w:val="20"/>
          <w:color w:val="auto"/>
        </w:rPr>
      </w:pPr>
      <w:r>
        <w:rPr>
          <w:rFonts w:ascii="Arial" w:hAnsi="Arial" w:eastAsia="Arial" w:cs="Arial"/>
          <w:sz w:val="16"/>
          <w:szCs w:val="16"/>
          <w:b w:val="1"/>
          <w:bCs w:val="1"/>
          <w:color w:val="auto"/>
        </w:rPr>
        <w:t xml:space="preserve">Houda Jmila:</w:t>
      </w:r>
      <w:r>
        <w:rPr>
          <w:rFonts w:ascii="Arial" w:hAnsi="Arial" w:eastAsia="Arial" w:cs="Arial"/>
          <w:sz w:val="16"/>
          <w:szCs w:val="16"/>
          <w:color w:val="auto"/>
        </w:rPr>
        <w:t xml:space="preserve"> Concepción y diseño del estudio, Adquisición de datos, Análisis y/o interpretación de datos, Redacción - borrador original, Redacción</w:t>
      </w:r>
    </w:p>
    <w:p>
      <w:pPr>
        <w:spacing w:after="0" w:line="1" w:lineRule="exact"/>
        <w:rPr>
          <w:sz w:val="20"/>
          <w:szCs w:val="20"/>
          <w:color w:val="auto"/>
        </w:rPr>
      </w:pPr>
    </w:p>
    <w:p>
      <w:pPr>
        <w:jc w:val="both"/>
        <w:spacing w:after="0" w:line="307" w:lineRule="auto"/>
        <w:rPr>
          <w:sz w:val="20"/>
          <w:szCs w:val="20"/>
          <w:color w:val="auto"/>
        </w:rPr>
      </w:pPr>
      <w:r>
        <w:rPr>
          <w:rFonts w:ascii="Arial" w:hAnsi="Arial" w:eastAsia="Arial" w:cs="Arial"/>
          <w:sz w:val="16"/>
          <w:szCs w:val="16"/>
          <w:color w:val="auto"/>
        </w:rPr>
        <w:t xml:space="preserve">- revisión y edición. </w:t>
      </w:r>
      <w:r>
        <w:rPr>
          <w:rFonts w:ascii="Arial" w:hAnsi="Arial" w:eastAsia="Arial" w:cs="Arial"/>
          <w:sz w:val="16"/>
          <w:szCs w:val="16"/>
          <w:b w:val="1"/>
          <w:bCs w:val="1"/>
          <w:color w:val="auto"/>
        </w:rPr>
        <w:t xml:space="preserve">Mohamed Ibn Khedher:</w:t>
      </w:r>
      <w:r>
        <w:rPr>
          <w:rFonts w:ascii="Arial" w:hAnsi="Arial" w:eastAsia="Arial" w:cs="Arial"/>
          <w:sz w:val="16"/>
          <w:szCs w:val="16"/>
          <w:color w:val="auto"/>
        </w:rPr>
        <w:t xml:space="preserve"> Concepción y diseño del estudio, Adquisición de datos, Análisis y/o interpretación de datos, Redacción - borrador original, Redacción - revisión y edición.</w:t>
      </w:r>
    </w:p>
    <w:p>
      <w:pPr>
        <w:spacing w:after="0"/>
        <w:rPr>
          <w:sz w:val="20"/>
          <w:szCs w:val="20"/>
          <w:color w:val="auto"/>
        </w:rPr>
      </w:pPr>
      <w:r>
        <w:rPr>
          <w:rFonts w:ascii="Arial" w:hAnsi="Arial" w:eastAsia="Arial" w:cs="Arial"/>
          <w:sz w:val="16"/>
          <w:szCs w:val="16"/>
          <w:b w:val="1"/>
          <w:bCs w:val="1"/>
          <w:color w:val="auto"/>
        </w:rPr>
        <w:t xml:space="preserve">Agradecimientos</w:t>
      </w:r>
    </w:p>
    <w:p>
      <w:pPr>
        <w:spacing w:after="0" w:line="242" w:lineRule="exact"/>
        <w:rPr>
          <w:sz w:val="20"/>
          <w:szCs w:val="20"/>
          <w:color w:val="auto"/>
        </w:rPr>
      </w:pPr>
    </w:p>
    <w:p>
      <w:pPr>
        <w:jc w:val="both"/>
        <w:ind w:firstLine="239"/>
        <w:spacing w:after="0" w:line="343" w:lineRule="auto"/>
        <w:rPr>
          <w:sz w:val="20"/>
          <w:szCs w:val="20"/>
          <w:color w:val="auto"/>
        </w:rPr>
      </w:pPr>
      <w:r>
        <w:rPr>
          <w:rFonts w:ascii="Arial" w:hAnsi="Arial" w:eastAsia="Arial" w:cs="Arial"/>
          <w:sz w:val="16"/>
          <w:szCs w:val="16"/>
          <w:color w:val="auto"/>
        </w:rPr>
        <w:t xml:space="preserve">Agradecemos a los revisores anónimos sus constructivos comentarios y sugerencias, que nos han ayudado a mejorar considerablemente la calidad de este trabajo. Todos los autores aprobaron la versión del manuscrito que se publicará.</w:t>
      </w:r>
    </w:p>
    <w:p>
      <w:pPr>
        <w:spacing w:after="0" w:line="1" w:lineRule="exact"/>
        <w:rPr>
          <w:sz w:val="20"/>
          <w:szCs w:val="20"/>
          <w:color w:val="auto"/>
        </w:rPr>
      </w:pPr>
    </w:p>
    <w:p>
      <w:pPr>
        <w:spacing w:after="0"/>
        <w:rPr>
          <w:sz w:val="20"/>
          <w:szCs w:val="20"/>
          <w:color w:val="auto"/>
        </w:rPr>
      </w:pPr>
      <w:r>
        <w:rPr>
          <w:rFonts w:ascii="Arial" w:hAnsi="Arial" w:eastAsia="Arial" w:cs="Arial"/>
          <w:sz w:val="16"/>
          <w:szCs w:val="16"/>
          <w:b w:val="1"/>
          <w:bCs w:val="1"/>
          <w:color w:val="auto"/>
        </w:rPr>
        <w:t xml:space="preserve">Anexo</w:t>
      </w:r>
    </w:p>
    <w:p>
      <w:pPr>
        <w:spacing w:after="0" w:line="242" w:lineRule="exact"/>
        <w:rPr>
          <w:sz w:val="20"/>
          <w:szCs w:val="20"/>
          <w:color w:val="auto"/>
        </w:rPr>
      </w:pPr>
    </w:p>
    <w:p>
      <w:pPr>
        <w:ind w:start="340"/>
        <w:spacing w:after="0"/>
        <w:rPr>
          <w:sz w:val="20"/>
          <w:szCs w:val="20"/>
          <w:color w:val="auto"/>
        </w:rPr>
      </w:pPr>
      <w:r>
        <w:rPr>
          <w:rFonts w:ascii="Arial" w:hAnsi="Arial" w:eastAsia="Arial" w:cs="Arial"/>
          <w:sz w:val="16"/>
          <w:szCs w:val="16"/>
          <w:color w:val="auto"/>
        </w:rPr>
        <w:t xml:space="preserve">Véanse </w:t>
      </w:r>
      <w:r>
        <w:rPr>
          <w:rFonts w:ascii="Arial" w:hAnsi="Arial" w:eastAsia="Arial" w:cs="Arial"/>
          <w:sz w:val="16"/>
          <w:szCs w:val="16"/>
          <w:color w:val="0080AC"/>
        </w:rPr>
        <w:t xml:space="preserve">los cuadros </w:t>
      </w:r>
      <w:r>
        <w:rPr>
          <w:rFonts w:ascii="Arial" w:hAnsi="Arial" w:eastAsia="Arial" w:cs="Arial"/>
          <w:sz w:val="16"/>
          <w:szCs w:val="16"/>
          <w:color w:val="0080AC"/>
        </w:rPr>
        <w:t xml:space="preserve">1-5</w:t>
      </w:r>
      <w:r>
        <w:rPr>
          <w:rFonts w:ascii="Arial" w:hAnsi="Arial" w:eastAsia="Arial" w:cs="Arial"/>
          <w:sz w:val="16"/>
          <w:szCs w:val="16"/>
          <w:color w:val="auto"/>
        </w:rPr>
        <w:t xml:space="preserve">.</w:t>
      </w:r>
    </w:p>
    <w:p>
      <w:pPr>
        <w:spacing w:after="0" w:line="169" w:lineRule="exact"/>
        <w:rPr>
          <w:sz w:val="20"/>
          <w:szCs w:val="20"/>
          <w:color w:val="auto"/>
        </w:rPr>
      </w:pPr>
    </w:p>
    <w:p>
      <w:pPr>
        <w:spacing w:after="0"/>
        <w:rPr>
          <w:sz w:val="20"/>
          <w:szCs w:val="20"/>
          <w:color w:val="auto"/>
        </w:rPr>
      </w:pPr>
      <w:r>
        <w:rPr>
          <w:rFonts w:ascii="Arial" w:hAnsi="Arial" w:eastAsia="Arial" w:cs="Arial"/>
          <w:sz w:val="16"/>
          <w:szCs w:val="16"/>
          <w:b w:val="1"/>
          <w:bCs w:val="1"/>
          <w:color w:val="auto"/>
        </w:rPr>
        <w:t xml:space="preserve">Referencias</w:t>
      </w:r>
    </w:p>
    <w:p>
      <w:pPr>
        <w:spacing w:after="0" w:line="103" w:lineRule="exact"/>
        <w:rPr>
          <w:sz w:val="20"/>
          <w:szCs w:val="20"/>
          <w:color w:val="auto"/>
        </w:rPr>
      </w:pPr>
    </w:p>
    <w:p>
      <w:pPr>
        <w:jc w:val="both"/>
        <w:ind w:start="380" w:hanging="288"/>
        <w:spacing w:after="0" w:line="308"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M.I. Khedher, M. Mziou-Sallami, M. Hadji, Improving decision-making-process for robot navigation under uncertainty, en: Proceedings of the 13th International Conference on Agents and Artificial Intelligence, ICAART, Volume 2, 2021, pp. 1105-1113.</w:t>
      </w:r>
    </w:p>
    <w:p>
      <w:pPr>
        <w:spacing w:after="0" w:line="1" w:lineRule="exact"/>
        <w:rPr>
          <w:rFonts w:ascii="Arial" w:hAnsi="Arial" w:eastAsia="Arial" w:cs="Arial"/>
          <w:sz w:val="13"/>
          <w:szCs w:val="13"/>
          <w:color w:val="auto"/>
        </w:rPr>
      </w:pPr>
    </w:p>
    <w:p>
      <w:pPr>
        <w:jc w:val="both"/>
        <w:ind w:start="380" w:hanging="288"/>
        <w:spacing w:after="0" w:line="263"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M. Tavallaee, E. Bagheri, W. Lu, A.A. Ghorbani, A detailed analysis of the kdd cup 99 data set, in: 2009 IEEE symposium on computational intelligence for security and defense applications, Ieee, 2009, pp. 1-6.</w:t>
      </w:r>
    </w:p>
    <w:p>
      <w:pPr>
        <w:ind w:start="380" w:hanging="288"/>
        <w:spacing w:after="0"/>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N.  Moustafa, J. Slay, UNSW-NB15: un amplio conjunto de datos para la red</w:t>
      </w:r>
    </w:p>
    <w:p>
      <w:pPr>
        <w:spacing w:after="0" w:line="13" w:lineRule="exact"/>
        <w:rPr>
          <w:rFonts w:ascii="Arial" w:hAnsi="Arial" w:eastAsia="Arial" w:cs="Arial"/>
          <w:sz w:val="13"/>
          <w:szCs w:val="13"/>
          <w:color w:val="auto"/>
        </w:rPr>
      </w:pPr>
    </w:p>
    <w:p>
      <w:pPr>
        <w:jc w:val="both"/>
        <w:ind w:start="380"/>
        <w:spacing w:after="0" w:line="263" w:lineRule="auto"/>
        <w:rPr>
          <w:rFonts w:ascii="Arial" w:hAnsi="Arial" w:eastAsia="Arial" w:cs="Arial"/>
          <w:sz w:val="13"/>
          <w:szCs w:val="13"/>
          <w:color w:val="auto"/>
        </w:rPr>
      </w:pPr>
      <w:r>
        <w:rPr>
          <w:rFonts w:ascii="Arial" w:hAnsi="Arial" w:eastAsia="Arial" w:cs="Arial"/>
          <w:sz w:val="13"/>
          <w:szCs w:val="13"/>
          <w:color w:val="0080AC"/>
        </w:rPr>
        <w:t xml:space="preserve">sistemas de detección de intrusiones (conjunto de datos de red UNSW-NB15), en: 2015 Military Communications and Information Systems Conference (MilCIS), IEEE, 2015, pp. 1-6.</w:t>
      </w:r>
    </w:p>
    <w:p>
      <w:pPr>
        <w:ind w:start="380" w:hanging="288"/>
        <w:spacing w:after="0" w:line="264"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N. Moustafa, J. Hu, J. Slay, A holistic review of network anomaly detection systems: A comprehensive survey, J. Netw. Comput. Appl. 128 (2019) 33-55.</w:t>
      </w:r>
    </w:p>
    <w:p>
      <w:pPr>
        <w:jc w:val="both"/>
        <w:ind w:start="380" w:hanging="288"/>
        <w:spacing w:after="0" w:line="263"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A.L. Buczak, E. Guven, A survey of data mining and machine learning methods for cyber security intrusion detection, IEEE Commun. Surv. Tutor. 18 (2) (2015) 1153-1176.</w:t>
      </w:r>
    </w:p>
    <w:p>
      <w:pPr>
        <w:jc w:val="both"/>
        <w:ind w:start="380" w:hanging="288"/>
        <w:spacing w:after="0" w:line="263"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S. Gamage, J. Samarabandu, Deep learning methods in network intrusion detection: A survey and an objective comparison, J. Netw. Comput. Appl. 169 (2020) 102767.</w:t>
      </w:r>
    </w:p>
    <w:p>
      <w:pPr>
        <w:jc w:val="both"/>
        <w:ind w:start="380" w:hanging="288"/>
        <w:spacing w:after="0" w:line="263"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H. Jmila, M.I. Khedher, G. Blanc, M.A. El-Yacoubi, Siamese network based fea-ture learning for improved intrusion detection, en: Neural Information Processing - 26th International Conference, ICONIP 2019, 11953, 2019, pp. 377-389.</w:t>
      </w:r>
    </w:p>
    <w:p>
      <w:pPr>
        <w:ind w:start="380" w:hanging="288"/>
        <w:spacing w:after="0" w:line="264"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Y. Xu, Y. Zhou, P. Sekula, L. Ding, Machine learning in construction: From shallow to deep learning, Dev. Built Environ. 6 (2021) 100045.</w:t>
      </w:r>
    </w:p>
    <w:p>
      <w:pPr>
        <w:jc w:val="both"/>
        <w:ind w:start="380" w:hanging="288"/>
        <w:spacing w:after="0" w:line="263"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H. Xu, Y. Ma, H. Liu, D. Deb, H. Liu, J. Tang, A. Jain, Adversarial attacks and defenses in images, graphs and text: A review, Int. J. Autom. Comput. 17 (2020) 151-178.</w:t>
      </w:r>
    </w:p>
    <w:p>
      <w:pPr>
        <w:ind w:start="380" w:hanging="360"/>
        <w:spacing w:after="0" w:line="264"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auto"/>
        </w:rPr>
        <w:t xml:space="preserve">I. Rosenberg, A. Shabtai, Y. Elovici, L. Rokach, Adversarial learning in the cyber security domain, 2020, </w:t>
      </w:r>
      <w:r>
        <w:rPr>
          <w:rFonts w:ascii="Arial" w:hAnsi="Arial" w:eastAsia="Arial" w:cs="Arial"/>
          <w:sz w:val="13"/>
          <w:szCs w:val="13"/>
          <w:color w:val="0080AC"/>
        </w:rPr>
        <w:t xml:space="preserve">arXiv </w:t>
      </w:r>
      <w:r>
        <w:rPr>
          <w:rFonts w:ascii="Arial" w:hAnsi="Arial" w:eastAsia="Arial" w:cs="Arial"/>
          <w:sz w:val="13"/>
          <w:szCs w:val="13"/>
          <w:color w:val="auto"/>
        </w:rPr>
        <w:t xml:space="preserve">preprint </w:t>
      </w:r>
      <w:r>
        <w:rPr>
          <w:rFonts w:ascii="Arial" w:hAnsi="Arial" w:eastAsia="Arial" w:cs="Arial"/>
          <w:sz w:val="13"/>
          <w:szCs w:val="13"/>
          <w:color w:val="0080AC"/>
        </w:rPr>
        <w:t xml:space="preserve">arXiv:2007.02407</w:t>
      </w:r>
      <w:r>
        <w:rPr>
          <w:rFonts w:ascii="Arial" w:hAnsi="Arial" w:eastAsia="Arial" w:cs="Arial"/>
          <w:sz w:val="13"/>
          <w:szCs w:val="13"/>
          <w:color w:val="auto"/>
        </w:rPr>
        <w:t xml:space="preserve">.</w:t>
      </w:r>
    </w:p>
    <w:p>
      <w:pPr>
        <w:jc w:val="both"/>
        <w:ind w:start="380" w:hanging="360"/>
        <w:spacing w:after="0" w:line="263"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N. Sultana, N. Chilamkurti, W. Peng, R. Alhadad, Encuesta sobre el sistema de detección de intrusiones de red basado en SDN utilizando enfoques de aprendizaje automático, Peer-to-Peer Netw. Appl. 12 (2) (2019) 493-501.</w:t>
      </w:r>
    </w:p>
    <w:p>
      <w:pPr>
        <w:jc w:val="both"/>
        <w:ind w:start="380" w:hanging="360"/>
        <w:spacing w:after="0" w:line="263"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M.I. Khedher, H. Ibn-Khedher, M. Hadji, Dynamic and scalable deep neural net-work verification algorithm, in: Proceedings of the 13th International Conference on Agents and Artificial Intelligence, ICAART, Volume 2, 2021, pp. 1122-1130.</w:t>
      </w:r>
    </w:p>
    <w:p>
      <w:pPr>
        <w:jc w:val="both"/>
        <w:ind w:start="380" w:hanging="360"/>
        <w:spacing w:after="0" w:line="304" w:lineRule="auto"/>
        <w:tabs>
          <w:tab w:val="left" w:leader="none" w:pos="380"/>
        </w:tabs>
        <w:numPr>
          <w:ilvl w:val="0"/>
          <w:numId w:val="36"/>
        </w:numPr>
        <w:rPr>
          <w:rFonts w:ascii="Arial" w:hAnsi="Arial" w:eastAsia="Arial" w:cs="Arial"/>
          <w:sz w:val="13"/>
          <w:szCs w:val="13"/>
          <w:color w:val="auto"/>
        </w:rPr>
      </w:pPr>
      <w:r>
        <w:rPr>
          <w:rFonts w:ascii="Arial" w:hAnsi="Arial" w:eastAsia="Arial" w:cs="Arial"/>
          <w:sz w:val="13"/>
          <w:szCs w:val="13"/>
          <w:color w:val="0080AC"/>
        </w:rPr>
        <w:t xml:space="preserve">M. Mziou-Sallami, M.I. Khedher, A. Trabelsi, S. Kerboua-Benlarbi, D. Bettebghor, Safety and robustness of deep neural networks object recognition under generic attacks, en: Neural Information Processing - 26th International Conference, ICONIP, 1142, 2019, pp. 274-286.</w:t>
      </w:r>
    </w:p>
    <w:p>
      <w:pPr>
        <w:spacing w:after="0" w:line="20" w:lineRule="exact"/>
        <w:rPr>
          <w:sz w:val="20"/>
          <w:szCs w:val="20"/>
          <w:color w:val="auto"/>
        </w:rPr>
      </w:pPr>
      <w:r>
        <w:rPr>
          <w:sz w:val="20"/>
          <w:szCs w:val="20"/>
          <w:color w:val="auto"/>
        </w:rPr>
        <w:br w:type="column"/>
      </w:r>
    </w:p>
    <w:p>
      <w:pPr>
        <w:spacing w:after="0" w:line="146" w:lineRule="exact"/>
        <w:rPr>
          <w:sz w:val="20"/>
          <w:szCs w:val="20"/>
          <w:color w:val="auto"/>
        </w:rPr>
      </w:pPr>
    </w:p>
    <w:p>
      <w:pPr>
        <w:jc w:val="right"/>
        <w:spacing w:after="0"/>
        <w:rPr>
          <w:sz w:val="20"/>
          <w:szCs w:val="20"/>
          <w:color w:val="auto"/>
        </w:rPr>
      </w:pPr>
      <w:r>
        <w:rPr>
          <w:rFonts w:ascii="Arial" w:hAnsi="Arial" w:eastAsia="Arial" w:cs="Arial"/>
          <w:sz w:val="13"/>
          <w:szCs w:val="13"/>
          <w:i w:val="1"/>
          <w:iCs w:val="1"/>
          <w:color w:val="auto"/>
        </w:rPr>
        <w:t xml:space="preserve">Redes informáticas 214 (2022) 109073</w:t>
      </w:r>
    </w:p>
    <w:p>
      <w:pPr>
        <w:spacing w:after="0" w:line="95" w:lineRule="exact"/>
        <w:rPr>
          <w:sz w:val="20"/>
          <w:szCs w:val="20"/>
          <w:color w:val="auto"/>
        </w:rPr>
      </w:pPr>
    </w:p>
    <w:p>
      <w:pPr>
        <w:jc w:val="both"/>
        <w:ind w:start="360" w:hanging="360"/>
        <w:spacing w:after="0" w:line="358"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H. Ibn-Khedher, M.I. Khedher, M. Hadji, Mathematical programming approach for adversarial attack modelling, en: Proceedings of the 13th International Conference on Agents and Artificial Intelligence, ICAART, Volume 2, 2021, pp. 343-350.</w:t>
      </w:r>
    </w:p>
    <w:p>
      <w:pPr>
        <w:spacing w:after="0" w:line="1" w:lineRule="exact"/>
        <w:rPr>
          <w:rFonts w:ascii="Arial" w:hAnsi="Arial" w:eastAsia="Arial" w:cs="Arial"/>
          <w:sz w:val="13"/>
          <w:szCs w:val="13"/>
          <w:color w:val="auto"/>
        </w:rPr>
      </w:pP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M.I. Khedher, M. Rezzoug, Analyzing adversarial attacks against deep learning for robot navigation, en: Proceedings of the 13th International Conference on Agents and Artificial Intelligence, ICAART, Volume 2, 2021, pp. 1114-1121.</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D. Han, Z. Wang, Y. Zhong, W. Chen, J. Yang, S. Lu, X. Shi, X. Yin, Evalu-ating and improving adversarial robustness of machine learning-based network intrusion detectors, 2020, arXiv: Cryptography and Security.</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P.-Y. Chen, H. Zhang, Y. Sharma, J. Yi, C.-J. Hsieh, Zoo: Zeroth order optimiza-tion based black-box attacks to deep neural networks without training substitute models, en: Proceedings of the 10th ACM Workshop on Artificial Intelligence and Security, 2017, pp. 15-26.</w:t>
      </w:r>
    </w:p>
    <w:p>
      <w:pPr>
        <w:spacing w:after="0" w:line="1" w:lineRule="exact"/>
        <w:rPr>
          <w:rFonts w:ascii="Arial" w:hAnsi="Arial" w:eastAsia="Arial" w:cs="Arial"/>
          <w:sz w:val="13"/>
          <w:szCs w:val="13"/>
          <w:color w:val="auto"/>
        </w:rPr>
      </w:pP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I. Goodfellow, J. Shlens, C. Szegedy, Explaining and harnessing adversarial examples, en: International Conference on Learning Representations, 2015, URL </w:t>
      </w:r>
      <w:r>
        <w:rPr>
          <w:rFonts w:ascii="Arial" w:hAnsi="Arial" w:eastAsia="Arial" w:cs="Arial"/>
          <w:sz w:val="13"/>
          <w:szCs w:val="13"/>
          <w:color w:val="000000"/>
        </w:rPr>
        <w:t xml:space="preserve">http://arxiv.org/abs/1412.6572.</w:t>
      </w:r>
    </w:p>
    <w:p>
      <w:pPr>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A. Kurakin, I.J. Goodfellow, S. Bengio, Adversarial machine learning at scale, 2017, URL </w:t>
      </w:r>
      <w:r>
        <w:rPr>
          <w:rFonts w:ascii="Arial" w:hAnsi="Arial" w:eastAsia="Arial" w:cs="Arial"/>
          <w:sz w:val="13"/>
          <w:szCs w:val="13"/>
          <w:color w:val="auto"/>
        </w:rPr>
        <w:t xml:space="preserve">https://arxiv.org/abs/1611.01236.</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A. Madry, A. Makelov, L. Schmidt, D. Tsipras, A. Vladu, Towards deep learning models resistant to adversarial attacks, en: 6th International Conference on Learning Representations, ICLR 2018, Vancouver, BC, Canadá, 30 de abril - 3 de mayo de 2018, Conference Track Proceedings, 2018, URL </w:t>
      </w:r>
      <w:r>
        <w:rPr>
          <w:rFonts w:ascii="Arial" w:hAnsi="Arial" w:eastAsia="Arial" w:cs="Arial"/>
          <w:sz w:val="13"/>
          <w:szCs w:val="13"/>
          <w:color w:val="0080AC"/>
        </w:rPr>
        <w:t xml:space="preserve">https://openreview.net/forum? </w:t>
      </w:r>
      <w:r>
        <w:rPr>
          <w:rFonts w:ascii="Arial" w:hAnsi="Arial" w:eastAsia="Arial" w:cs="Arial"/>
          <w:sz w:val="13"/>
          <w:szCs w:val="13"/>
          <w:color w:val="0080AC"/>
        </w:rPr>
        <w:t xml:space="preserve">id=rJzIBfZAb</w:t>
      </w:r>
      <w:r>
        <w:rPr>
          <w:rFonts w:ascii="Arial" w:hAnsi="Arial" w:eastAsia="Arial" w:cs="Arial"/>
          <w:sz w:val="13"/>
          <w:szCs w:val="13"/>
          <w:color w:val="000000"/>
        </w:rPr>
        <w:t xml:space="preserve">.</w:t>
      </w:r>
    </w:p>
    <w:p>
      <w:pPr>
        <w:spacing w:after="0" w:line="1" w:lineRule="exact"/>
        <w:rPr>
          <w:rFonts w:ascii="Arial" w:hAnsi="Arial" w:eastAsia="Arial" w:cs="Arial"/>
          <w:sz w:val="13"/>
          <w:szCs w:val="13"/>
          <w:color w:val="auto"/>
        </w:rPr>
      </w:pP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N. Papernot, P. McDaniel, S. Jha, M. Fredrikson, Z.B. Celik, A. Swami, The limitations of deep learning in adversarial settings, en: 2016 IEEE European Symposium on Security and Privacy (EuroS P), 2016, pp. 372-387, </w:t>
      </w:r>
      <w:r>
        <w:rPr>
          <w:rFonts w:ascii="Arial" w:hAnsi="Arial" w:eastAsia="Arial" w:cs="Arial"/>
          <w:sz w:val="13"/>
          <w:szCs w:val="13"/>
          <w:color w:val="0080AC"/>
        </w:rPr>
        <w:t xml:space="preserve">http://dx. </w:t>
      </w:r>
      <w:r>
        <w:rPr>
          <w:rFonts w:ascii="Arial" w:hAnsi="Arial" w:eastAsia="Arial" w:cs="Arial"/>
          <w:sz w:val="13"/>
          <w:szCs w:val="13"/>
          <w:color w:val="0080AC"/>
        </w:rPr>
        <w:t xml:space="preserve">doi.org/10.1109/EuroSP.2016.36</w:t>
      </w:r>
      <w:r>
        <w:rPr>
          <w:rFonts w:ascii="Arial" w:hAnsi="Arial" w:eastAsia="Arial" w:cs="Arial"/>
          <w:sz w:val="13"/>
          <w:szCs w:val="13"/>
          <w:color w:val="000000"/>
        </w:rPr>
        <w:t xml:space="preserve">.</w:t>
      </w:r>
    </w:p>
    <w:p>
      <w:pPr>
        <w:spacing w:after="0" w:line="1" w:lineRule="exact"/>
        <w:rPr>
          <w:rFonts w:ascii="Arial" w:hAnsi="Arial" w:eastAsia="Arial" w:cs="Arial"/>
          <w:sz w:val="13"/>
          <w:szCs w:val="13"/>
          <w:color w:val="auto"/>
        </w:rPr>
      </w:pP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S. Moosavi-Dezfooli, A. Fawzi, O. Fawzi, P. Frossard, Universal adversarial perturbations, in: 2017 IEEE Conference on Computer Vision and Pattern Recognition (CVPR), 2017, pp. 86-94, </w:t>
      </w:r>
      <w:r>
        <w:rPr>
          <w:rFonts w:ascii="Arial" w:hAnsi="Arial" w:eastAsia="Arial" w:cs="Arial"/>
          <w:sz w:val="13"/>
          <w:szCs w:val="13"/>
          <w:color w:val="auto"/>
        </w:rPr>
        <w:t xml:space="preserve">http://dx.doi.org/10.1109/CVPR.2017.17.</w:t>
      </w:r>
    </w:p>
    <w:p>
      <w:pPr>
        <w:ind w:start="360" w:hanging="360"/>
        <w:spacing w:after="0"/>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S. Moosavi-Dezfooli, A. Fawzi, P. Frossard, Deepfool: A simple and accurate</w:t>
      </w:r>
    </w:p>
    <w:p>
      <w:pPr>
        <w:spacing w:after="0" w:line="13" w:lineRule="exact"/>
        <w:rPr>
          <w:rFonts w:ascii="Arial" w:hAnsi="Arial" w:eastAsia="Arial" w:cs="Arial"/>
          <w:sz w:val="13"/>
          <w:szCs w:val="13"/>
          <w:color w:val="auto"/>
        </w:rPr>
      </w:pPr>
    </w:p>
    <w:p>
      <w:pPr>
        <w:jc w:val="both"/>
        <w:ind w:start="360"/>
        <w:spacing w:after="0" w:line="262" w:lineRule="auto"/>
        <w:rPr>
          <w:rFonts w:ascii="Arial" w:hAnsi="Arial" w:eastAsia="Arial" w:cs="Arial"/>
          <w:sz w:val="13"/>
          <w:szCs w:val="13"/>
          <w:color w:val="auto"/>
        </w:rPr>
      </w:pPr>
      <w:r>
        <w:rPr>
          <w:rFonts w:ascii="Arial" w:hAnsi="Arial" w:eastAsia="Arial" w:cs="Arial"/>
          <w:sz w:val="13"/>
          <w:szCs w:val="13"/>
          <w:color w:val="auto"/>
        </w:rPr>
        <w:t xml:space="preserve">método para engañar a las redes neuronales profundas, en: 2016 IEEE Conference on Computer Vision and Pattern Recognition (CVPR), 2016, pp. 2574-2582, </w:t>
      </w:r>
      <w:r>
        <w:rPr>
          <w:rFonts w:ascii="Arial" w:hAnsi="Arial" w:eastAsia="Arial" w:cs="Arial"/>
          <w:sz w:val="13"/>
          <w:szCs w:val="13"/>
          <w:color w:val="0080AC"/>
        </w:rPr>
        <w:t xml:space="preserve">http://dx.doi.org/ </w:t>
      </w:r>
      <w:r>
        <w:rPr>
          <w:rFonts w:ascii="Arial" w:hAnsi="Arial" w:eastAsia="Arial" w:cs="Arial"/>
          <w:sz w:val="13"/>
          <w:szCs w:val="13"/>
          <w:color w:val="0080AC"/>
        </w:rPr>
        <w:t xml:space="preserve">10.1109/CVPR.2016.282</w:t>
      </w:r>
      <w:r>
        <w:rPr>
          <w:rFonts w:ascii="Arial" w:hAnsi="Arial" w:eastAsia="Arial" w:cs="Arial"/>
          <w:sz w:val="13"/>
          <w:szCs w:val="13"/>
          <w:color w:val="000000"/>
        </w:rPr>
        <w:t xml:space="preserve">.</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N. Carlini, D. Wagner, Hacia la evaluación de la robustez de las redes neuronales, en: 2017 Ieee Symposium on Security and Privacy (Sp), IEEE, 2017, pp. 39-57.</w:t>
      </w:r>
    </w:p>
    <w:p>
      <w:pPr>
        <w:ind w:start="360" w:hanging="360"/>
        <w:spacing w:after="0"/>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W. Brendel, J. Rauber, M. Bethge, Ataques adversarios basados en decisiones: Reliable</w:t>
      </w:r>
    </w:p>
    <w:p>
      <w:pPr>
        <w:spacing w:after="0" w:line="13" w:lineRule="exact"/>
        <w:rPr>
          <w:rFonts w:ascii="Arial" w:hAnsi="Arial" w:eastAsia="Arial" w:cs="Arial"/>
          <w:sz w:val="13"/>
          <w:szCs w:val="13"/>
          <w:color w:val="auto"/>
        </w:rPr>
      </w:pPr>
    </w:p>
    <w:p>
      <w:pPr>
        <w:ind w:start="360"/>
        <w:spacing w:after="0" w:line="262" w:lineRule="auto"/>
        <w:rPr>
          <w:rFonts w:ascii="Arial" w:hAnsi="Arial" w:eastAsia="Arial" w:cs="Arial"/>
          <w:sz w:val="13"/>
          <w:szCs w:val="13"/>
          <w:color w:val="auto"/>
        </w:rPr>
      </w:pPr>
      <w:r>
        <w:rPr>
          <w:rFonts w:ascii="Arial" w:hAnsi="Arial" w:eastAsia="Arial" w:cs="Arial"/>
          <w:sz w:val="13"/>
          <w:szCs w:val="13"/>
          <w:color w:val="auto"/>
        </w:rPr>
        <w:t xml:space="preserve">ataques contra modelos de aprendizaje automático de caja negra, en: International Conference on Learning Representations, 2018, URL </w:t>
      </w:r>
      <w:r>
        <w:rPr>
          <w:rFonts w:ascii="Arial" w:hAnsi="Arial" w:eastAsia="Arial" w:cs="Arial"/>
          <w:sz w:val="13"/>
          <w:szCs w:val="13"/>
          <w:color w:val="auto"/>
        </w:rPr>
        <w:t xml:space="preserve">https://arxiv.org/abs/1712.04248.</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J. Chen, M.I. Jordan, Boundary attack++: Query-efficient decision-based ad-versarial attack, 2019, CoRR </w:t>
      </w:r>
      <w:r>
        <w:rPr>
          <w:rFonts w:ascii="Arial" w:hAnsi="Arial" w:eastAsia="Arial" w:cs="Arial"/>
          <w:sz w:val="13"/>
          <w:szCs w:val="13"/>
          <w:color w:val="0080AC"/>
        </w:rPr>
        <w:t xml:space="preserve">arXiv:1904.02144</w:t>
      </w:r>
      <w:r>
        <w:rPr>
          <w:rFonts w:ascii="Arial" w:hAnsi="Arial" w:eastAsia="Arial" w:cs="Arial"/>
          <w:sz w:val="13"/>
          <w:szCs w:val="13"/>
          <w:color w:val="auto"/>
        </w:rPr>
        <w:t xml:space="preserve">, URL </w:t>
      </w:r>
      <w:r>
        <w:rPr>
          <w:rFonts w:ascii="Arial" w:hAnsi="Arial" w:eastAsia="Arial" w:cs="Arial"/>
          <w:sz w:val="13"/>
          <w:szCs w:val="13"/>
          <w:color w:val="0080AC"/>
        </w:rPr>
        <w:t xml:space="preserve">http://arxiv.org/abs/1904. </w:t>
      </w:r>
      <w:r>
        <w:rPr>
          <w:rFonts w:ascii="Arial" w:hAnsi="Arial" w:eastAsia="Arial" w:cs="Arial"/>
          <w:sz w:val="13"/>
          <w:szCs w:val="13"/>
          <w:color w:val="0080AC"/>
        </w:rPr>
        <w:t xml:space="preserve">02144</w:t>
      </w:r>
      <w:r>
        <w:rPr>
          <w:rFonts w:ascii="Arial" w:hAnsi="Arial" w:eastAsia="Arial" w:cs="Arial"/>
          <w:sz w:val="13"/>
          <w:szCs w:val="13"/>
          <w:color w:val="000000"/>
        </w:rPr>
        <w:t xml:space="preserve">.</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A. Chakraborty, M. Alam, V. Dey, A. Chattopadhyay, D. Mukhopadhyay, Ad-versarial attacks and defenses: A survey, 2018, CoRR </w:t>
      </w:r>
      <w:r>
        <w:rPr>
          <w:rFonts w:ascii="Arial" w:hAnsi="Arial" w:eastAsia="Arial" w:cs="Arial"/>
          <w:sz w:val="13"/>
          <w:szCs w:val="13"/>
          <w:color w:val="0080AC"/>
        </w:rPr>
        <w:t xml:space="preserve">arXiv:1810.00069</w:t>
      </w:r>
      <w:r>
        <w:rPr>
          <w:rFonts w:ascii="Arial" w:hAnsi="Arial" w:eastAsia="Arial" w:cs="Arial"/>
          <w:sz w:val="13"/>
          <w:szCs w:val="13"/>
          <w:color w:val="auto"/>
        </w:rPr>
        <w:t xml:space="preserve">, URL </w:t>
      </w:r>
      <w:r>
        <w:rPr>
          <w:rFonts w:ascii="Arial" w:hAnsi="Arial" w:eastAsia="Arial" w:cs="Arial"/>
          <w:sz w:val="13"/>
          <w:szCs w:val="13"/>
          <w:color w:val="000000"/>
        </w:rPr>
        <w:t xml:space="preserve">http://arxiv.org/abs/1810.00069.</w:t>
      </w:r>
    </w:p>
    <w:p>
      <w:pPr>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K. Ren, T. Zheng, Z. Qin, X. Liu, Adversarial attacks and defenses in deep learning, Engineering 6 (3) (2020) 346-360.</w:t>
      </w:r>
    </w:p>
    <w:p>
      <w:pPr>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M. Ozdag, Adversarial attacks and defenses against deep neural networks: a survey, Procedia Comput. Sci. 140 (2018) 152-161.</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X. Wang, J. Li, X. Kuang, Y.-a. Tan, J. Li, The security of machine learning in an adversarial setting: A survey, J. Parallel Distrib. Comput. 130 (2019) 12-23.</w:t>
      </w:r>
    </w:p>
    <w:p>
      <w:pPr>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N. Akhtar, A. Mian, Amenaza de ataques de adversarios en el aprendizaje profundo en visión por computador: A survey, Ieee Access 6 (2018) 14410-14430.</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V. Zantedeschi, M.-I. Nicolae, A. Rawat, Efficient defenses against adversarial attacks, en: Proceedings of the 10th ACM Workshop on Artificial Intelligence and Security, en: AISec '17, ACM, Nueva York, NY, Estados Unidos, 2017, pp. 39-49.</w:t>
      </w:r>
    </w:p>
    <w:p>
      <w:pPr>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H. Lee, S. Han, J. Lee, Generative adversarial trainer: Defense to adversarial perturbations with gan, 2017, </w:t>
      </w:r>
      <w:r>
        <w:rPr>
          <w:rFonts w:ascii="Arial" w:hAnsi="Arial" w:eastAsia="Arial" w:cs="Arial"/>
          <w:sz w:val="13"/>
          <w:szCs w:val="13"/>
          <w:color w:val="0080AC"/>
        </w:rPr>
        <w:t xml:space="preserve">arXiv </w:t>
      </w:r>
      <w:r>
        <w:rPr>
          <w:rFonts w:ascii="Arial" w:hAnsi="Arial" w:eastAsia="Arial" w:cs="Arial"/>
          <w:sz w:val="13"/>
          <w:szCs w:val="13"/>
          <w:color w:val="auto"/>
        </w:rPr>
        <w:t xml:space="preserve">preprint </w:t>
      </w:r>
      <w:r>
        <w:rPr>
          <w:rFonts w:ascii="Arial" w:hAnsi="Arial" w:eastAsia="Arial" w:cs="Arial"/>
          <w:sz w:val="13"/>
          <w:szCs w:val="13"/>
          <w:color w:val="0080AC"/>
        </w:rPr>
        <w:t xml:space="preserve">arXiv:1705.03387</w:t>
      </w:r>
      <w:r>
        <w:rPr>
          <w:rFonts w:ascii="Arial" w:hAnsi="Arial" w:eastAsia="Arial" w:cs="Arial"/>
          <w:sz w:val="13"/>
          <w:szCs w:val="13"/>
          <w:color w:val="auto"/>
        </w:rPr>
        <w:t xml:space="preserve">.</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L. Nguyen, S. Wang, A. Sinha, A learning and masking approach to secure learning, en: International Conference on Decision and Game Theory for Security, Springer, 2018, pp. 453-464.</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K. Yang, J. Liu, C. Zhang, Y. Fang, Adversarial examples against the deep learning based network intrusion detection systems, en: MILCOM 2018 - 2018 IEEE Military Communications Conference (MILCOM), 2018, pp. 559-564, </w:t>
      </w:r>
      <w:r>
        <w:rPr>
          <w:rFonts w:ascii="Arial" w:hAnsi="Arial" w:eastAsia="Arial" w:cs="Arial"/>
          <w:sz w:val="13"/>
          <w:szCs w:val="13"/>
          <w:color w:val="0080AC"/>
        </w:rPr>
        <w:t xml:space="preserve">http: </w:t>
      </w:r>
      <w:r>
        <w:rPr>
          <w:rFonts w:ascii="Arial" w:hAnsi="Arial" w:eastAsia="Arial" w:cs="Arial"/>
          <w:sz w:val="13"/>
          <w:szCs w:val="13"/>
          <w:color w:val="0080AC"/>
        </w:rPr>
        <w:t xml:space="preserve">//dx.doi.org/10.1109/MILCOM.2018.8599759</w:t>
      </w:r>
      <w:r>
        <w:rPr>
          <w:rFonts w:ascii="Arial" w:hAnsi="Arial" w:eastAsia="Arial" w:cs="Arial"/>
          <w:sz w:val="13"/>
          <w:szCs w:val="13"/>
          <w:color w:val="000000"/>
        </w:rPr>
        <w:t xml:space="preserve">.</w:t>
      </w:r>
    </w:p>
    <w:p>
      <w:pPr>
        <w:spacing w:after="0" w:line="1" w:lineRule="exact"/>
        <w:rPr>
          <w:rFonts w:ascii="Arial" w:hAnsi="Arial" w:eastAsia="Arial" w:cs="Arial"/>
          <w:sz w:val="13"/>
          <w:szCs w:val="13"/>
          <w:color w:val="auto"/>
        </w:rPr>
      </w:pPr>
    </w:p>
    <w:p>
      <w:pPr>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Z. Wang, Detección de intrusiones basada en aprendizaje profundo con adversarios, IEEE Access 6 (2018) 38367-38384.</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G. Apruzzese, M. Colajanni, M. Marchetti, Evaluación de la eficacia de los ataques de adversarios contra los detectores de botnets, en: 2019 IEEE 18th International Symposium on Network Computing and Applications (NCA), IEEE, 2019, pp. 1-8.</w:t>
      </w:r>
    </w:p>
    <w:p>
      <w:pPr>
        <w:spacing w:after="0" w:line="1" w:lineRule="exact"/>
        <w:rPr>
          <w:rFonts w:ascii="Arial" w:hAnsi="Arial" w:eastAsia="Arial" w:cs="Arial"/>
          <w:sz w:val="13"/>
          <w:szCs w:val="13"/>
          <w:color w:val="auto"/>
        </w:rPr>
      </w:pPr>
    </w:p>
    <w:p>
      <w:pPr>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S. Garcia, M. Grill, J. Stiborek, A. Zunino, An empirical comparison of botnet detection methods, Comput. Secur. 45 (2014) 100-123.</w:t>
      </w:r>
    </w:p>
    <w:p>
      <w:pPr>
        <w:jc w:val="both"/>
        <w:ind w:start="360" w:hanging="360"/>
        <w:spacing w:after="0" w:line="262"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0080AC"/>
        </w:rPr>
        <w:t xml:space="preserve">I. Sharafaldin, A.H. Lashkari, A.A. Ghorbani, Hacia la generación de un nuevo conjunto de datos de detección de intrusiones y caracterización del tráfico de intrusiones, en: ICISSp, 2018, pp. 108-116.</w:t>
      </w:r>
    </w:p>
    <w:p>
      <w:pPr>
        <w:jc w:val="both"/>
        <w:ind w:start="360" w:hanging="360"/>
        <w:spacing w:after="0" w:line="284" w:lineRule="auto"/>
        <w:tabs>
          <w:tab w:val="left" w:leader="none" w:pos="360"/>
        </w:tabs>
        <w:numPr>
          <w:ilvl w:val="0"/>
          <w:numId w:val="37"/>
        </w:numPr>
        <w:rPr>
          <w:rFonts w:ascii="Arial" w:hAnsi="Arial" w:eastAsia="Arial" w:cs="Arial"/>
          <w:sz w:val="12"/>
          <w:szCs w:val="12"/>
          <w:color w:val="auto"/>
        </w:rPr>
      </w:pPr>
      <w:r>
        <w:rPr>
          <w:rFonts w:ascii="Arial" w:hAnsi="Arial" w:eastAsia="Arial" w:cs="Arial"/>
          <w:sz w:val="12"/>
          <w:szCs w:val="12"/>
          <w:color w:val="0080AC"/>
        </w:rPr>
        <w:t xml:space="preserve">E.B. Beigi, H.H. Jazi, N. Stakhanova, A.A. Ghorbani, Towards effective feature selection in machine learning-based botnet detection approaches, en: 2014 IEEE Conference on Communications and Network Security, IEEE, 2014, pp. 247-255.</w:t>
      </w:r>
    </w:p>
    <w:p>
      <w:pPr>
        <w:jc w:val="both"/>
        <w:ind w:start="360" w:hanging="360"/>
        <w:spacing w:after="0" w:line="304" w:lineRule="auto"/>
        <w:tabs>
          <w:tab w:val="left" w:leader="none" w:pos="360"/>
        </w:tabs>
        <w:numPr>
          <w:ilvl w:val="0"/>
          <w:numId w:val="37"/>
        </w:numPr>
        <w:rPr>
          <w:rFonts w:ascii="Arial" w:hAnsi="Arial" w:eastAsia="Arial" w:cs="Arial"/>
          <w:sz w:val="13"/>
          <w:szCs w:val="13"/>
          <w:color w:val="auto"/>
        </w:rPr>
      </w:pPr>
      <w:r>
        <w:rPr>
          <w:rFonts w:ascii="Arial" w:hAnsi="Arial" w:eastAsia="Arial" w:cs="Arial"/>
          <w:sz w:val="13"/>
          <w:szCs w:val="13"/>
          <w:color w:val="auto"/>
        </w:rPr>
        <w:t xml:space="preserve">Y. Peng, J. Su, X. Shi, B. Zhao, Evaluating deep learning based network intrusion detection system in adversarial environment, en: 2019 IEEE 9th International Conference on Electronics Information and Emergency Communication (ICEIEC), 2019, pp. 61-66.</w:t>
      </w:r>
    </w:p>
    <w:p>
      <w:pPr>
        <w:spacing w:after="0" w:line="94" w:lineRule="exact"/>
        <w:rPr>
          <w:sz w:val="20"/>
          <w:szCs w:val="20"/>
          <w:color w:val="auto"/>
        </w:rPr>
      </w:pPr>
    </w:p>
    <w:p>
      <w:pPr>
        <w:sectPr>
          <w:pgSz w:w="11900" w:h="15874" w:orient="portrait"/>
          <w:cols w:equalWidth="0" w:num="2">
            <w:col w:w="5020" w:space="380"/>
            <w:col w:w="5000"/>
          </w:cols>
          <w:pgMar w:top="492" w:right="746" w:bottom="85" w:left="760" w:header="0" w:footer="0" w:gutter="0"/>
        </w:sectPr>
      </w:pPr>
    </w:p>
    <w:p>
      <w:pPr>
        <w:jc w:val="center"/>
        <w:spacing w:after="0"/>
        <w:rPr>
          <w:sz w:val="20"/>
          <w:szCs w:val="20"/>
          <w:color w:val="auto"/>
        </w:rPr>
      </w:pPr>
      <w:r>
        <w:rPr>
          <w:rFonts w:ascii="Arial" w:hAnsi="Arial" w:eastAsia="Arial" w:cs="Arial"/>
          <w:sz w:val="13"/>
          <w:szCs w:val="13"/>
          <w:color w:val="auto"/>
        </w:rPr>
        <w:t xml:space="preserve">13</w:t>
      </w:r>
    </w:p>
    <w:p>
      <w:pPr>
        <w:sectPr>
          <w:pgSz w:w="11900" w:h="15874" w:orient="portrait"/>
          <w:cols w:equalWidth="0" w:num="1">
            <w:col w:w="10400"/>
          </w:cols>
          <w:pgMar w:top="492" w:right="746" w:bottom="85" w:left="760" w:header="0" w:footer="0" w:gutter="0"/>
          <w:type w:val="continuous"/>
        </w:sectPr>
      </w:pPr>
    </w:p>
    <w:bookmarkStart w:name="page14" w:id="13"/>
    <w:bookmarkEnd w:id="13"/>
    <w:p>
      <w:pPr>
        <w:spacing w:after="0"/>
        <w:rPr>
          <w:sz w:val="20"/>
          <w:szCs w:val="20"/>
          <w:color w:val="auto"/>
        </w:rPr>
      </w:pPr>
      <w:r>
        <w:rPr>
          <w:rFonts w:ascii="Arial" w:hAnsi="Arial" w:eastAsia="Arial" w:cs="Arial"/>
          <w:sz w:val="13"/>
          <w:szCs w:val="13"/>
          <w:i w:val="1"/>
          <w:iCs w:val="1"/>
          <w:color w:val="auto"/>
        </w:rPr>
        <w:t xml:space="preserve">H. Jmila y M.I. Khedher</w:t>
      </w:r>
    </w:p>
    <w:p>
      <w:pPr>
        <w:spacing w:after="0" w:line="318" w:lineRule="exact"/>
        <w:rPr>
          <w:sz w:val="20"/>
          <w:szCs w:val="20"/>
          <w:color w:val="auto"/>
        </w:rPr>
      </w:pPr>
    </w:p>
    <w:p>
      <w:pPr>
        <w:jc w:val="both"/>
        <w:ind w:start="380" w:hanging="360"/>
        <w:spacing w:after="0" w:line="357"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auto"/>
        </w:rPr>
        <w:t xml:space="preserve">J. Clements, Y. Yang, A. Sharma, H. Hu, Y. Lao, Rallying adversarial techniques against deep learning for network security, 2019, </w:t>
      </w:r>
      <w:r>
        <w:rPr>
          <w:rFonts w:ascii="Arial" w:hAnsi="Arial" w:eastAsia="Arial" w:cs="Arial"/>
          <w:sz w:val="13"/>
          <w:szCs w:val="13"/>
          <w:color w:val="0080AC"/>
        </w:rPr>
        <w:t xml:space="preserve">arXiv </w:t>
      </w:r>
      <w:r>
        <w:rPr>
          <w:rFonts w:ascii="Arial" w:hAnsi="Arial" w:eastAsia="Arial" w:cs="Arial"/>
          <w:sz w:val="13"/>
          <w:szCs w:val="13"/>
          <w:color w:val="auto"/>
        </w:rPr>
        <w:t xml:space="preserve">preprint </w:t>
      </w:r>
      <w:r>
        <w:rPr>
          <w:rFonts w:ascii="Arial" w:hAnsi="Arial" w:eastAsia="Arial" w:cs="Arial"/>
          <w:sz w:val="13"/>
          <w:szCs w:val="13"/>
          <w:color w:val="0080AC"/>
        </w:rPr>
        <w:t xml:space="preserve">arXiv:1903. </w:t>
      </w:r>
      <w:r>
        <w:rPr>
          <w:rFonts w:ascii="Arial" w:hAnsi="Arial" w:eastAsia="Arial" w:cs="Arial"/>
          <w:sz w:val="13"/>
          <w:szCs w:val="13"/>
          <w:color w:val="0080AC"/>
        </w:rPr>
        <w:t xml:space="preserve">11688</w:t>
      </w:r>
      <w:r>
        <w:rPr>
          <w:rFonts w:ascii="Arial" w:hAnsi="Arial" w:eastAsia="Arial" w:cs="Arial"/>
          <w:sz w:val="13"/>
          <w:szCs w:val="13"/>
          <w:color w:val="000000"/>
        </w:rPr>
        <w:t xml:space="preserve">.</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auto"/>
        </w:rPr>
        <w:t xml:space="preserve">Y. Mirsky, T. Doitshman, Y. Elovici, A. Shabtai, Kitsune: an ensemble of autoencoders for online network intrusion detection, 2018, </w:t>
      </w:r>
      <w:r>
        <w:rPr>
          <w:rFonts w:ascii="Arial" w:hAnsi="Arial" w:eastAsia="Arial" w:cs="Arial"/>
          <w:sz w:val="13"/>
          <w:szCs w:val="13"/>
          <w:color w:val="0080AC"/>
        </w:rPr>
        <w:t xml:space="preserve">arXiv </w:t>
      </w:r>
      <w:r>
        <w:rPr>
          <w:rFonts w:ascii="Arial" w:hAnsi="Arial" w:eastAsia="Arial" w:cs="Arial"/>
          <w:sz w:val="13"/>
          <w:szCs w:val="13"/>
          <w:color w:val="auto"/>
        </w:rPr>
        <w:t xml:space="preserve">preprint </w:t>
      </w:r>
      <w:r>
        <w:rPr>
          <w:rFonts w:ascii="Arial" w:hAnsi="Arial" w:eastAsia="Arial" w:cs="Arial"/>
          <w:sz w:val="13"/>
          <w:szCs w:val="13"/>
          <w:color w:val="0080AC"/>
        </w:rPr>
        <w:t xml:space="preserve">arXiv: </w:t>
      </w:r>
      <w:r>
        <w:rPr>
          <w:rFonts w:ascii="Arial" w:hAnsi="Arial" w:eastAsia="Arial" w:cs="Arial"/>
          <w:sz w:val="13"/>
          <w:szCs w:val="13"/>
          <w:color w:val="0080AC"/>
        </w:rPr>
        <w:t xml:space="preserve">1802.09089</w:t>
      </w:r>
      <w:r>
        <w:rPr>
          <w:rFonts w:ascii="Arial" w:hAnsi="Arial" w:eastAsia="Arial" w:cs="Arial"/>
          <w:sz w:val="13"/>
          <w:szCs w:val="13"/>
          <w:color w:val="000000"/>
        </w:rPr>
        <w:t xml:space="preserve">.</w:t>
      </w:r>
    </w:p>
    <w:p>
      <w:pPr>
        <w:jc w:val="both"/>
        <w:ind w:start="380" w:hanging="360"/>
        <w:spacing w:after="0" w:line="260"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O. Ibitoye, M.O. Shafiq, A. Matrawy, Analyzing adversarial attacks against deep learning for intrusion detection in IoT networks, en: 2019 IEEE Global Communications Conference, GLOBECOM 2019, Waikoloa, HI, USA, December 9-13, 2019, IEEE, 2019, pp. 1-6.</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N. Koroniotis, N. Moustafa, E. Sitnikova, B. Turnbull, Towards the development of realistic botnet dataset in the internet of things for network forensic analytics: Bot-iot dataset, Future Gener. Comput. Syst. 100 (2019) 779-796.</w:t>
      </w:r>
    </w:p>
    <w:p>
      <w:pPr>
        <w:jc w:val="both"/>
        <w:ind w:start="380" w:hanging="360"/>
        <w:spacing w:after="0" w:line="260"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auto"/>
        </w:rPr>
        <w:t xml:space="preserve">M.J. Hashemi, G. Cusack, E. Keller, Towards evaluation of nidss in adversarial setting, en: Proceedings of the 3rd ACM CoNEXT Workshop on Big DAta, Machine Learning and Artificial Intelligence for Data Communication Networks, 2019, pp. 14-21.</w:t>
      </w:r>
    </w:p>
    <w:p>
      <w:pPr>
        <w:ind w:start="380" w:hanging="360"/>
        <w:spacing w:after="0" w:line="257"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H. Qiu, T. Dong, T. Zhang, J. Lu, G. Memmi, M. Qiu, Adversarial attacks against network intrusion detection in IoT systems, IEEE Internet Things J. (2020) 1.</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auto"/>
        </w:rPr>
        <w:t xml:space="preserve">B. Zong, Q. Song, M.R. Min, W. Cheng, C. Lumezanu, D. Cho, H. Chen, Deep autoencoding gaussian mixture model for unsupervised anomaly detection, en: International Conference on Learning Representations, 2018.</w:t>
      </w:r>
    </w:p>
    <w:p>
      <w:pPr>
        <w:ind w:start="380" w:hanging="360"/>
        <w:spacing w:after="0" w:line="257"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auto"/>
        </w:rPr>
        <w:t xml:space="preserve">H. Zenati, C.S. Foo, B. Lecouat, G. Manek, V.R. Chandrasekhar, Efficient gan-based anomaly detection, 2018, </w:t>
      </w:r>
      <w:r>
        <w:rPr>
          <w:rFonts w:ascii="Arial" w:hAnsi="Arial" w:eastAsia="Arial" w:cs="Arial"/>
          <w:sz w:val="13"/>
          <w:szCs w:val="13"/>
          <w:color w:val="0080AC"/>
        </w:rPr>
        <w:t xml:space="preserve">arXiv </w:t>
      </w:r>
      <w:r>
        <w:rPr>
          <w:rFonts w:ascii="Arial" w:hAnsi="Arial" w:eastAsia="Arial" w:cs="Arial"/>
          <w:sz w:val="13"/>
          <w:szCs w:val="13"/>
          <w:color w:val="auto"/>
        </w:rPr>
        <w:t xml:space="preserve">preprint </w:t>
      </w:r>
      <w:r>
        <w:rPr>
          <w:rFonts w:ascii="Arial" w:hAnsi="Arial" w:eastAsia="Arial" w:cs="Arial"/>
          <w:sz w:val="13"/>
          <w:szCs w:val="13"/>
          <w:color w:val="0080AC"/>
        </w:rPr>
        <w:t xml:space="preserve">arXiv:1802.06222</w:t>
      </w:r>
      <w:r>
        <w:rPr>
          <w:rFonts w:ascii="Arial" w:hAnsi="Arial" w:eastAsia="Arial" w:cs="Arial"/>
          <w:sz w:val="13"/>
          <w:szCs w:val="13"/>
          <w:color w:val="auto"/>
        </w:rPr>
        <w:t xml:space="preserve">.</w:t>
      </w:r>
    </w:p>
    <w:p>
      <w:pPr>
        <w:jc w:val="both"/>
        <w:ind w:start="380" w:hanging="360"/>
        <w:spacing w:after="0" w:line="260"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auto"/>
        </w:rPr>
        <w:t xml:space="preserve">J. Aiken, S. Scott-Hayward, Investigating adversarial attacks against network intrusion detection systems in SDNs, en: 2019 IEEE Conference on Network Function Virtualization and Software Defined Networks (NFV-SDN), 2019, pp. 1-7, </w:t>
      </w:r>
      <w:r>
        <w:rPr>
          <w:rFonts w:ascii="Arial" w:hAnsi="Arial" w:eastAsia="Arial" w:cs="Arial"/>
          <w:sz w:val="13"/>
          <w:szCs w:val="13"/>
          <w:color w:val="auto"/>
        </w:rPr>
        <w:t xml:space="preserve">http://dx.doi.org/10.1109/NFV-SDN47374.2019.9040101.</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L. Labrotary, DARPA Intrusion Detection Evaluation Data Set, Vol. 12, Mas-sachusetts Institute of Technology, Cambridge, MA, 1999, p. 2009, consultado en enero.</w:t>
      </w:r>
    </w:p>
    <w:p>
      <w:pPr>
        <w:jc w:val="both"/>
        <w:ind w:start="380" w:hanging="360"/>
        <w:spacing w:after="0" w:line="279" w:lineRule="auto"/>
        <w:tabs>
          <w:tab w:val="left" w:leader="none" w:pos="380"/>
        </w:tabs>
        <w:numPr>
          <w:ilvl w:val="0"/>
          <w:numId w:val="38"/>
        </w:numPr>
        <w:rPr>
          <w:rFonts w:ascii="Arial" w:hAnsi="Arial" w:eastAsia="Arial" w:cs="Arial"/>
          <w:sz w:val="12"/>
          <w:szCs w:val="12"/>
          <w:color w:val="auto"/>
        </w:rPr>
      </w:pPr>
      <w:r>
        <w:rPr>
          <w:rFonts w:ascii="Arial" w:hAnsi="Arial" w:eastAsia="Arial" w:cs="Arial"/>
          <w:sz w:val="12"/>
          <w:szCs w:val="12"/>
          <w:color w:val="0080AC"/>
        </w:rPr>
        <w:t xml:space="preserve">S. Zhang, X. Xie, Y. Xu, A brute-force black-box method to attack machine learning-based systems in cybersecurity, IEEE Access 8 (2020) 128250-128263.</w:t>
      </w:r>
    </w:p>
    <w:p>
      <w:pPr>
        <w:ind w:start="380" w:hanging="360"/>
        <w:spacing w:after="0"/>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G. Creech, J. Hu, Generación de un nuevo conjunto de datos de prueba IDS: Time to retire the KDD</w:t>
      </w:r>
    </w:p>
    <w:p>
      <w:pPr>
        <w:spacing w:after="0" w:line="13" w:lineRule="exact"/>
        <w:rPr>
          <w:rFonts w:ascii="Arial" w:hAnsi="Arial" w:eastAsia="Arial" w:cs="Arial"/>
          <w:sz w:val="13"/>
          <w:szCs w:val="13"/>
          <w:color w:val="auto"/>
        </w:rPr>
      </w:pPr>
    </w:p>
    <w:p>
      <w:pPr>
        <w:ind w:start="380"/>
        <w:spacing w:after="0" w:line="257" w:lineRule="auto"/>
        <w:rPr>
          <w:rFonts w:ascii="Arial" w:hAnsi="Arial" w:eastAsia="Arial" w:cs="Arial"/>
          <w:sz w:val="13"/>
          <w:szCs w:val="13"/>
          <w:color w:val="auto"/>
        </w:rPr>
      </w:pPr>
      <w:r>
        <w:rPr>
          <w:rFonts w:ascii="Arial" w:hAnsi="Arial" w:eastAsia="Arial" w:cs="Arial"/>
          <w:sz w:val="13"/>
          <w:szCs w:val="13"/>
          <w:color w:val="0080AC"/>
        </w:rPr>
        <w:t xml:space="preserve">colección, en: 2013 IEEE Wireless Communications and Networking Conference (WCNC), IEEE, 2013, pp. 4487-4492.</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D. Arp, M. Spreitzenbarth, M. Hubner, H. Gascon, K. Rieck, C. Siemens, Drebin: Effective and explainable detection of android malware in your pocket, en: Ndss, Vol. 14, 2014, pp. 23-26.</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J. Jeong, S. Kwon, M. Hong, J. Kwak, T. Shon, Adversarial attack-based security vulnerability verification using deep learning library for multimedia video surveillance, Multim. Tools Appl. 79 (23-24) (2020) 16077-16091.</w:t>
      </w:r>
    </w:p>
    <w:p>
      <w:pPr>
        <w:ind w:start="380" w:hanging="360"/>
        <w:spacing w:after="0" w:line="257"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Y. LeCun, L. Bottou, Y. Bengio, P. Haffner, Gradient-based learning applied to document recognition, Proc. IEEE 86 (11) (1998) 2278-2324.</w:t>
      </w:r>
    </w:p>
    <w:p>
      <w:pPr>
        <w:ind w:start="380" w:hanging="360"/>
        <w:spacing w:after="0" w:line="257"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auto"/>
        </w:rPr>
        <w:t xml:space="preserve">R.A. Khamis, A. Matrawy, Evaluation of adversarial training on different types of neural networks in deep learning-based IDSs, 2020, </w:t>
      </w:r>
      <w:r>
        <w:rPr>
          <w:rFonts w:ascii="Arial" w:hAnsi="Arial" w:eastAsia="Arial" w:cs="Arial"/>
          <w:sz w:val="13"/>
          <w:szCs w:val="13"/>
          <w:color w:val="0080AC"/>
        </w:rPr>
        <w:t xml:space="preserve">arXiv:2007.04472</w:t>
      </w:r>
      <w:r>
        <w:rPr>
          <w:rFonts w:ascii="Arial" w:hAnsi="Arial" w:eastAsia="Arial" w:cs="Arial"/>
          <w:sz w:val="13"/>
          <w:szCs w:val="13"/>
          <w:color w:val="auto"/>
        </w:rPr>
        <w:t xml:space="preserve">.</w:t>
      </w:r>
    </w:p>
    <w:p>
      <w:pPr>
        <w:jc w:val="both"/>
        <w:ind w:start="380" w:hanging="360"/>
        <w:spacing w:after="0" w:line="260"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R.A. Khamis, M.O. Shafiq, A. Matrawy, Investigating resistance of deep learning-based IDS against adversaries using min-max optimization, en: 2020 IEEE International Conference on Communications, ICC 2020, Dublin, Ireland, June 7-11, 2020, IEEE, 2020, pp. 1-7.</w:t>
      </w:r>
    </w:p>
    <w:p>
      <w:pPr>
        <w:jc w:val="both"/>
        <w:ind w:start="380" w:hanging="360"/>
        <w:spacing w:after="0" w:line="260"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auto"/>
        </w:rPr>
        <w:t xml:space="preserve">M. Antonakakis, T. April, M. Bailey, M. Bernhard, E. Bursztein, J. Cochran, Z. Durumeric, J.A. Halderman, L. Invernizzi, M. Kallitsis, et al., Understanding the mirai botnet, en: 26th {USENIX} Security Symposium ({USENIX} Security 17), 2017, pp. 1093-1110.</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A.U.H. Qureshi, H. Larijani, M. Yousefi, A. Adeel, N. Mtetwa, An adversarial approach for intrusion detection systems using Jacobian saliency map attacks (JSMA) algorithm, Computers 9 (3) (2020).</w:t>
      </w:r>
    </w:p>
    <w:p>
      <w:pPr>
        <w:ind w:start="380" w:hanging="360"/>
        <w:spacing w:after="0"/>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auto"/>
        </w:rPr>
        <w:t xml:space="preserve">C. Zhang, X. Costa-Pérez, P. Patras, Tiki-Taka: atacar y defender en profundidad</w:t>
      </w:r>
    </w:p>
    <w:p>
      <w:pPr>
        <w:spacing w:after="0" w:line="13" w:lineRule="exact"/>
        <w:rPr>
          <w:rFonts w:ascii="Arial" w:hAnsi="Arial" w:eastAsia="Arial" w:cs="Arial"/>
          <w:sz w:val="13"/>
          <w:szCs w:val="13"/>
          <w:color w:val="auto"/>
        </w:rPr>
      </w:pPr>
    </w:p>
    <w:p>
      <w:pPr>
        <w:ind w:start="380"/>
        <w:spacing w:after="0" w:line="257" w:lineRule="auto"/>
        <w:rPr>
          <w:rFonts w:ascii="Arial" w:hAnsi="Arial" w:eastAsia="Arial" w:cs="Arial"/>
          <w:sz w:val="13"/>
          <w:szCs w:val="13"/>
          <w:color w:val="auto"/>
        </w:rPr>
      </w:pPr>
      <w:r>
        <w:rPr>
          <w:rFonts w:ascii="Arial" w:hAnsi="Arial" w:eastAsia="Arial" w:cs="Arial"/>
          <w:sz w:val="13"/>
          <w:szCs w:val="13"/>
          <w:color w:val="auto"/>
        </w:rPr>
        <w:t xml:space="preserve">learning-based intrusion detection systems, en: Proceedings of the 2020 ACM SIGSAC Conference on Cloud Computing Security Workshop, 2020, pp. 27-39.</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G. Apruzzese, M. Andreolini, M. Marchetti, A. Venturi, M. Colajanni, Deep reinforcement adversarial learning against botnet evasion attacks, IEEE Trans. Netw. Serv. Manag. 17 (4) (2020) 1975-1987.</w:t>
      </w:r>
    </w:p>
    <w:p>
      <w:pPr>
        <w:jc w:val="both"/>
        <w:ind w:start="380" w:hanging="360"/>
        <w:spacing w:after="0" w:line="260"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A. Venturi, G. Apruzzese, M. Andreolini, M. Colajanni, M. Marchetti, Drelab - deep reinforcement learning adversarial botnet: A benchmark dataset for adversarial attacks against botnet intrusion detection systems, Data Brief 34 (2021) 106631.</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D. Han, Z. Wang, Y. Zhong, W. Chen, J. Yang, S. Lu, X. Shi, X. Yin, Evalu-ating and improving adversarial robustness of machine learning-based network intrusion detectors, IEEE J. Sel. Areas Commun. 39 (8) (2021) 2632-2647.</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E. Anthi, S. Ahmad, O. Rana, G. Theodorakopoulos, P. Burnap, EclipseIoT: A secure and adaptive hub for the Internet of Things, Comput. Secur. 78 (2018) 477-490.</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E. Anthi, L. Williams, A. Javed, P. Burnap, Hardening machine learning denial of service (DoS) defenses against adversarial attacks in IoT smart home networks, Comput. Secur. 108 (2021) 102352.</w:t>
      </w:r>
    </w:p>
    <w:p>
      <w:pPr>
        <w:jc w:val="both"/>
        <w:ind w:start="380" w:hanging="360"/>
        <w:spacing w:after="0" w:line="279" w:lineRule="auto"/>
        <w:tabs>
          <w:tab w:val="left" w:leader="none" w:pos="380"/>
        </w:tabs>
        <w:numPr>
          <w:ilvl w:val="0"/>
          <w:numId w:val="38"/>
        </w:numPr>
        <w:rPr>
          <w:rFonts w:ascii="Arial" w:hAnsi="Arial" w:eastAsia="Arial" w:cs="Arial"/>
          <w:sz w:val="12"/>
          <w:szCs w:val="12"/>
          <w:color w:val="auto"/>
        </w:rPr>
      </w:pPr>
      <w:r>
        <w:rPr>
          <w:rFonts w:ascii="Arial" w:hAnsi="Arial" w:eastAsia="Arial" w:cs="Arial"/>
          <w:sz w:val="12"/>
          <w:szCs w:val="12"/>
          <w:color w:val="0080AC"/>
        </w:rPr>
        <w:t xml:space="preserve">I. Sharafaldin, A.H. Lashkari, A.A. Ghorbani, Toward generating a new intrusion detection dataset and intrusion traffic characterization, ICISSp 1 (2018) 108-116.</w:t>
      </w:r>
    </w:p>
    <w:p>
      <w:pPr>
        <w:jc w:val="both"/>
        <w:ind w:start="380" w:hanging="360"/>
        <w:spacing w:after="0" w:line="259"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X. Fu, N. Zhou, L. Jiao, H. Li, J. Zhang, The robust deep learning-based schemes for intrusion detection in Internet of Things environments, Ann. Telecommun. 76 (5) (2021) 273-285.</w:t>
      </w:r>
    </w:p>
    <w:p>
      <w:pPr>
        <w:jc w:val="both"/>
        <w:ind w:start="380" w:hanging="360"/>
        <w:spacing w:after="0" w:line="304" w:lineRule="auto"/>
        <w:tabs>
          <w:tab w:val="left" w:leader="none" w:pos="380"/>
        </w:tabs>
        <w:numPr>
          <w:ilvl w:val="0"/>
          <w:numId w:val="38"/>
        </w:numPr>
        <w:rPr>
          <w:rFonts w:ascii="Arial" w:hAnsi="Arial" w:eastAsia="Arial" w:cs="Arial"/>
          <w:sz w:val="13"/>
          <w:szCs w:val="13"/>
          <w:color w:val="auto"/>
        </w:rPr>
      </w:pPr>
      <w:r>
        <w:rPr>
          <w:rFonts w:ascii="Arial" w:hAnsi="Arial" w:eastAsia="Arial" w:cs="Arial"/>
          <w:sz w:val="13"/>
          <w:szCs w:val="13"/>
          <w:color w:val="0080AC"/>
        </w:rPr>
        <w:t xml:space="preserve">J. Wang, J. Pan, I. AlQerm, Y. Liu, Def-IDS: An ensemble defense mechanism against adversarial attacks for deep learning-based network intrusion detection, en: 2021 International Conference on Computer Communications and Networks (ICCCN), IEEE, 2021, pp. 1-9.</w:t>
      </w:r>
    </w:p>
    <w:p>
      <w:pPr>
        <w:spacing w:after="0" w:line="20" w:lineRule="exact"/>
        <w:rPr>
          <w:sz w:val="20"/>
          <w:szCs w:val="20"/>
          <w:color w:val="auto"/>
        </w:rPr>
      </w:pPr>
      <w:r>
        <w:rPr>
          <w:sz w:val="20"/>
          <w:szCs w:val="20"/>
          <w:color w:val="auto"/>
        </w:rPr>
        <w:br w:type="column"/>
      </w:r>
    </w:p>
    <w:p>
      <w:pPr>
        <w:spacing w:after="0" w:line="146" w:lineRule="exact"/>
        <w:rPr>
          <w:sz w:val="20"/>
          <w:szCs w:val="20"/>
          <w:color w:val="auto"/>
        </w:rPr>
      </w:pPr>
    </w:p>
    <w:p>
      <w:pPr>
        <w:jc w:val="right"/>
        <w:spacing w:after="0"/>
        <w:rPr>
          <w:sz w:val="20"/>
          <w:szCs w:val="20"/>
          <w:color w:val="auto"/>
        </w:rPr>
      </w:pPr>
      <w:r>
        <w:rPr>
          <w:rFonts w:ascii="Arial" w:hAnsi="Arial" w:eastAsia="Arial" w:cs="Arial"/>
          <w:sz w:val="13"/>
          <w:szCs w:val="13"/>
          <w:i w:val="1"/>
          <w:iCs w:val="1"/>
          <w:color w:val="auto"/>
        </w:rPr>
        <w:t xml:space="preserve">Redes informáticas 214 (2022) 109073</w:t>
      </w:r>
    </w:p>
    <w:p>
      <w:pPr>
        <w:spacing w:after="0" w:line="95" w:lineRule="exact"/>
        <w:rPr>
          <w:sz w:val="20"/>
          <w:szCs w:val="20"/>
          <w:color w:val="auto"/>
        </w:rPr>
      </w:pPr>
    </w:p>
    <w:p>
      <w:pPr>
        <w:jc w:val="both"/>
        <w:ind w:start="360" w:hanging="360"/>
        <w:spacing w:after="0" w:line="390"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C. Zhang, X. Costa-Pérez, P. Patras, Adversarial attacks against deep learning-based network intrusion detection systems and defense mechanisms, IEEE/ACM Trans. Netw. (2022).</w:t>
      </w:r>
    </w:p>
    <w:p>
      <w:pPr>
        <w:spacing w:after="0" w:line="1" w:lineRule="exact"/>
        <w:rPr>
          <w:rFonts w:ascii="Arial" w:hAnsi="Arial" w:eastAsia="Arial" w:cs="Arial"/>
          <w:sz w:val="13"/>
          <w:szCs w:val="13"/>
          <w:color w:val="auto"/>
        </w:rPr>
      </w:pP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J. Vitorino, N. Oliveira, I. Praça, Adaptative perturbation patterns: Realistic adversarial learning for robust intrusion detection, Future Internet 14 (4) (2022) 108.</w:t>
      </w: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auto"/>
        </w:rPr>
        <w:t xml:space="preserve">S. García, A. Parmisano, M.J. Erquiaga, IoT-23: A Labeled dataset with mali-cious and benign IoT network traffic, 2020, Más detalles aquí </w:t>
      </w:r>
      <w:r>
        <w:rPr>
          <w:rFonts w:ascii="Arial" w:hAnsi="Arial" w:eastAsia="Arial" w:cs="Arial"/>
          <w:sz w:val="13"/>
          <w:szCs w:val="13"/>
          <w:color w:val="0080AC"/>
        </w:rPr>
        <w:t xml:space="preserve">https://www. </w:t>
      </w:r>
      <w:r>
        <w:rPr>
          <w:rFonts w:ascii="Arial" w:hAnsi="Arial" w:eastAsia="Arial" w:cs="Arial"/>
          <w:sz w:val="13"/>
          <w:szCs w:val="13"/>
          <w:color w:val="0080AC"/>
        </w:rPr>
        <w:t xml:space="preserve">stratosphereips.org/datasets-iot23</w:t>
      </w:r>
      <w:r>
        <w:rPr>
          <w:rFonts w:ascii="Arial" w:hAnsi="Arial" w:eastAsia="Arial" w:cs="Arial"/>
          <w:sz w:val="13"/>
          <w:szCs w:val="13"/>
          <w:color w:val="000000"/>
        </w:rPr>
        <w:t xml:space="preserve">.</w:t>
      </w:r>
    </w:p>
    <w:p>
      <w:pPr>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H. Jiang, J. Lin, H. Kang, Fgmd: A robust detector against adversarial attacks in the IoT network, Future Gener. Comput. Syst. 132 (2022) 194-210.</w:t>
      </w:r>
    </w:p>
    <w:p>
      <w:pPr>
        <w:ind w:start="360" w:hanging="360"/>
        <w:spacing w:after="0"/>
        <w:tabs>
          <w:tab w:val="left" w:leader="none" w:pos="360"/>
        </w:tabs>
        <w:numPr>
          <w:ilvl w:val="0"/>
          <w:numId w:val="39"/>
        </w:numPr>
        <w:rPr>
          <w:rFonts w:ascii="Arial" w:hAnsi="Arial" w:eastAsia="Arial" w:cs="Arial"/>
          <w:sz w:val="12"/>
          <w:szCs w:val="12"/>
          <w:color w:val="auto"/>
        </w:rPr>
      </w:pPr>
      <w:r>
        <w:rPr>
          <w:rFonts w:ascii="Arial" w:hAnsi="Arial" w:eastAsia="Arial" w:cs="Arial"/>
          <w:sz w:val="12"/>
          <w:szCs w:val="12"/>
          <w:color w:val="0080AC"/>
        </w:rPr>
        <w:t xml:space="preserve">A. Guerra-Manzanares, J. Medina-Galindo, H. Bahsi, S. Nõmm, MedbIoT: Gener-</w:t>
      </w:r>
    </w:p>
    <w:p>
      <w:pPr>
        <w:spacing w:after="0" w:line="25" w:lineRule="exact"/>
        <w:rPr>
          <w:rFonts w:ascii="Arial" w:hAnsi="Arial" w:eastAsia="Arial" w:cs="Arial"/>
          <w:sz w:val="12"/>
          <w:szCs w:val="12"/>
          <w:color w:val="auto"/>
        </w:rPr>
      </w:pPr>
    </w:p>
    <w:p>
      <w:pPr>
        <w:ind w:start="360"/>
        <w:spacing w:after="0" w:line="262" w:lineRule="auto"/>
        <w:rPr>
          <w:rFonts w:ascii="Arial" w:hAnsi="Arial" w:eastAsia="Arial" w:cs="Arial"/>
          <w:sz w:val="12"/>
          <w:szCs w:val="12"/>
          <w:color w:val="auto"/>
        </w:rPr>
      </w:pPr>
      <w:r>
        <w:rPr>
          <w:rFonts w:ascii="Arial" w:hAnsi="Arial" w:eastAsia="Arial" w:cs="Arial"/>
          <w:sz w:val="13"/>
          <w:szCs w:val="13"/>
          <w:color w:val="0080AC"/>
        </w:rPr>
        <w:t xml:space="preserve">ación de un conjunto de datos de botnet IoT en una red IoT de tamaño medio, en: ICISSP, 2020, pp. 207-218.</w:t>
      </w:r>
    </w:p>
    <w:p>
      <w:pPr>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H. Kang, D.H. Ahn, G.M. Lee, J.D. Yoo, K.H. Park, H.K. Kim, IoT network intrusion dataset, 2019.</w:t>
      </w: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P. Mishra, V. Varadharajan, U. Tupakula, E.S. Pilli, A detailed investigation and analysis of using machine learning techniques for intrusion detection, IEEE Commun. Surv. Tutor. 21 (1) (2018) 686-728.</w:t>
      </w: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auto"/>
        </w:rPr>
        <w:t xml:space="preserve">Y. Dong, T. Pang, H. Su, J. Zhu, Evasión de defensas ante ejemplos adversariales transferibles mediante ataques invariantes de traducción, en: Proceedings of the IEEE/CVF Conference on Computer Vision and Pattern Recognition, 2019, pp. 4312-4321.</w:t>
      </w: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auto"/>
        </w:rPr>
        <w:t xml:space="preserve">M. Abadi, P. Barham, J. Chen, Z. Chen, A. Davis, J. Dean, M. Devin, S. Ghemawat, G. Irving, M. Isard, et al., Tensorflow: A system for large-scale machine learning, en: 12th {USENIX} Symposium on Operating Systems Design and Implementation ({OSDI} 16), 2016, pp. 265-283.</w:t>
      </w:r>
    </w:p>
    <w:p>
      <w:pPr>
        <w:ind w:start="360" w:hanging="360"/>
        <w:spacing w:after="0"/>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A. Gulli, S. Pal, Deep Learning with Keras, Packt Publishing Ltd, 2017.</w:t>
      </w:r>
    </w:p>
    <w:p>
      <w:pPr>
        <w:spacing w:after="0" w:line="13" w:lineRule="exact"/>
        <w:rPr>
          <w:rFonts w:ascii="Arial" w:hAnsi="Arial" w:eastAsia="Arial" w:cs="Arial"/>
          <w:sz w:val="13"/>
          <w:szCs w:val="13"/>
          <w:color w:val="auto"/>
        </w:rPr>
      </w:pPr>
    </w:p>
    <w:p>
      <w:pPr>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A.C. Müller, S. Guido, Introducción al aprendizaje automático con Python: A Guide for Data Scientists, ''O'Reilly Media, Inc.'', 2016.</w:t>
      </w: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auto"/>
        </w:rPr>
        <w:t xml:space="preserve">M.-I. Nicolae, M. Sinn, T.N. Minh, A. Rawat, M. Wistuba, V. Zantedeschi, I.M. Molloy, B. Edwards, Adversarial robustness toolbox v0.2.2, 2018, CoRR </w:t>
      </w:r>
      <w:r>
        <w:rPr>
          <w:rFonts w:ascii="Arial" w:hAnsi="Arial" w:eastAsia="Arial" w:cs="Arial"/>
          <w:sz w:val="13"/>
          <w:szCs w:val="13"/>
          <w:color w:val="0080AC"/>
        </w:rPr>
        <w:t xml:space="preserve">arXiv:1807.01069</w:t>
      </w:r>
      <w:r>
        <w:rPr>
          <w:rFonts w:ascii="Arial" w:hAnsi="Arial" w:eastAsia="Arial" w:cs="Arial"/>
          <w:sz w:val="13"/>
          <w:szCs w:val="13"/>
          <w:color w:val="000000"/>
        </w:rPr>
        <w:t xml:space="preserve">, URL </w:t>
      </w:r>
      <w:r>
        <w:rPr>
          <w:rFonts w:ascii="Arial" w:hAnsi="Arial" w:eastAsia="Arial" w:cs="Arial"/>
          <w:sz w:val="13"/>
          <w:szCs w:val="13"/>
          <w:color w:val="000000"/>
        </w:rPr>
        <w:t xml:space="preserve">http://arxiv.org/abs/1807.01069.</w:t>
      </w: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F. Pierazzi, F. Pendlebury, J. Cortellazzi, L. Cavallaro, Intriguing properties of adversarial ml attacks in the problem space, en: 2020 IEEE Symposium on Security and Privacy (SP), IEEE, 2020, pp. 1332-1349.</w:t>
      </w: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R. Rohith, M. Moharir, G. Shobha, et al., Scapy-a powerful interactive packet ma-nipulation program, in: 2018 International Conference on Networking, Embedded and Wireless Systems (ICNEWS), IEEE, 2018, pp. 1-5.</w:t>
      </w:r>
    </w:p>
    <w:p>
      <w:pPr>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O.A. Adeleke, N. Bastin, D. Gurkan, Network traffic generation: A survey and methodology, ACM Comput. Surv. 55 (2) (2022) 1-23.</w:t>
      </w: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N. Wang, Y. Chen, Y. Xiao, Y. Hu, W. Lou, T. Hou, Manda: On adversarial ex-ample detection for network intrusion detection system, IEEE Trans. Dependable Secure Comput. (2022).</w:t>
      </w:r>
    </w:p>
    <w:p>
      <w:pPr>
        <w:jc w:val="both"/>
        <w:ind w:start="360" w:hanging="360"/>
        <w:spacing w:after="0" w:line="262"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R. Sheatsley, N. Papernot, M.J. Weisman, G. Verma, P. McDaniel, Adversarial examples for network intrusion detection systems, J. Comput. Secur. (Preprint) (2022) 1-26.</w:t>
      </w:r>
    </w:p>
    <w:p>
      <w:pPr>
        <w:jc w:val="both"/>
        <w:ind w:start="360" w:hanging="360"/>
        <w:spacing w:after="0" w:line="325" w:lineRule="auto"/>
        <w:tabs>
          <w:tab w:val="left" w:leader="none" w:pos="360"/>
        </w:tabs>
        <w:numPr>
          <w:ilvl w:val="0"/>
          <w:numId w:val="39"/>
        </w:numPr>
        <w:rPr>
          <w:rFonts w:ascii="Arial" w:hAnsi="Arial" w:eastAsia="Arial" w:cs="Arial"/>
          <w:sz w:val="13"/>
          <w:szCs w:val="13"/>
          <w:color w:val="auto"/>
        </w:rPr>
      </w:pPr>
      <w:r>
        <w:rPr>
          <w:rFonts w:ascii="Arial" w:hAnsi="Arial" w:eastAsia="Arial" w:cs="Arial"/>
          <w:sz w:val="13"/>
          <w:szCs w:val="13"/>
          <w:color w:val="0080AC"/>
        </w:rPr>
        <w:t xml:space="preserve">M.A. Merzouk, F. Cuppens, N. Boulahia-Cuppens, R. Yaich, Investigating the practicality of adversarial evasion attacks on network intrusion detection, Ann. Telecommun. (2022) 1-13.</w:t>
      </w:r>
    </w:p>
    <w:p>
      <w:pPr>
        <w:spacing w:after="0" w:line="121" w:lineRule="exact"/>
        <w:rPr>
          <w:sz w:val="20"/>
          <w:szCs w:val="20"/>
          <w:color w:val="auto"/>
        </w:rPr>
      </w:pPr>
    </w:p>
    <w:p>
      <w:pPr>
        <w:jc w:val="both"/>
        <w:ind w:start="1540"/>
        <w:spacing w:after="0" w:line="339" w:lineRule="auto"/>
        <w:rPr>
          <w:sz w:val="20"/>
          <w:szCs w:val="20"/>
          <w:color w:val="auto"/>
        </w:rPr>
      </w:pPr>
      <w:r>
        <w:rPr>
          <w:rFonts w:ascii="Arial" w:hAnsi="Arial" w:eastAsia="Arial" w:cs="Arial"/>
          <w:sz w:val="13"/>
          <w:szCs w:val="13"/>
          <w:b w:val="1"/>
          <w:bCs w:val="1"/>
          <w:color w:val="auto"/>
        </w:rPr>
        <w:t xml:space="preserve">Houda Jmila </w:t>
      </w:r>
      <w:r>
        <w:rPr>
          <w:rFonts w:ascii="Arial" w:hAnsi="Arial" w:eastAsia="Arial" w:cs="Arial"/>
          <w:sz w:val="13"/>
          <w:szCs w:val="13"/>
          <w:color w:val="auto"/>
        </w:rPr>
        <w:t xml:space="preserve">se licenció en Ingeniería Informática en Telecom Sudparis, Instituto Politécnico de París (Francia) en 2011 y se doctoró en Telecomunicaciones e Informática en 2015 en la misma universidad. Actualmente es investigadora posdoctoral en Telecom Sud-Paris. Sus intereses de investigación incluyen la seguridad de redes y la gestión automatizada de recursos en redes virtuales, redes 5G y el ecosistema IoT, así como las aplicaciones de aprendizaje automático a estos dominios.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-1051560</wp:posOffset>
            </wp:positionV>
            <wp:extent cx="920750" cy="10718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extLst>
                    </a:blip>
                    <a:srcRect/>
                    <a:stretch>
                      <a:fillRect/>
                    </a:stretch>
                  </pic:blipFill>
                  <pic:spPr bwMode="auto">
                    <a:xfrm>
                      <a:off x="0" y="0"/>
                      <a:ext cx="920750" cy="10718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both"/>
        <w:ind w:start="1540"/>
        <w:spacing w:after="0" w:line="311" w:lineRule="auto"/>
        <w:rPr>
          <w:sz w:val="20"/>
          <w:szCs w:val="20"/>
          <w:color w:val="auto"/>
        </w:rPr>
      </w:pPr>
      <w:r>
        <w:rPr>
          <w:rFonts w:ascii="Arial" w:hAnsi="Arial" w:eastAsia="Arial" w:cs="Arial"/>
          <w:sz w:val="13"/>
          <w:szCs w:val="13"/>
          <w:b w:val="1"/>
          <w:bCs w:val="1"/>
          <w:color w:val="auto"/>
        </w:rPr>
        <w:t xml:space="preserve">Mohamed Ibn Khedher obtuvo </w:t>
      </w:r>
      <w:r>
        <w:rPr>
          <w:rFonts w:ascii="Arial" w:hAnsi="Arial" w:eastAsia="Arial" w:cs="Arial"/>
          <w:sz w:val="13"/>
          <w:szCs w:val="13"/>
          <w:color w:val="auto"/>
        </w:rPr>
        <w:t xml:space="preserve">su título de ingeniero en 2007, y su máster en 2009, en Informática por la Escuela Nacional de Informática de Túnez. Obtuvo su doctorado en Informática en Telecom SudParis con la colaboración de la Universidad de Evry, Francia. Durante su doctorado, desarrolló un software para la reidentificación de personas a partir de secuencias de vídeo. Desde 2015, ha trabajado como ingeniero de software en un centro de investigación especializado en sistemas avanzados de asistencia al conductor. Actualmente, es ingeniero de investigación sénior en IRT systemX, Francia. Trabajó en el programa de investigación francés Grand defi "Trusted AI" como experto sénior en robustez de IA. Sus principales intereses son la verificación de redes neuronales, la robustez de la IA frente a adversarios, el aprendizaje automático, los estándares de codificación de vídeo, la videovigilancia, la biometría y el análisis de escritura.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-1689735</wp:posOffset>
            </wp:positionV>
            <wp:extent cx="920750" cy="10718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extLst>
                    </a:blip>
                    <a:srcRect/>
                    <a:stretch>
                      <a:fillRect/>
                    </a:stretch>
                  </pic:blipFill>
                  <pic:spPr bwMode="auto">
                    <a:xfrm>
                      <a:off x="0" y="0"/>
                      <a:ext cx="920750" cy="1071880"/>
                    </a:xfrm>
                    <a:prstGeom prst="rect">
                      <a:avLst/>
                    </a:prstGeom>
                    <a:noFill/>
                  </pic:spPr>
                </pic:pic>
              </a:graphicData>
            </a:graphic>
          </wp:anchor>
        </w:drawing>
      </w:r>
    </w:p>
    <w:p>
      <w:pPr>
        <w:spacing w:after="0" w:line="201" w:lineRule="exact"/>
        <w:rPr>
          <w:sz w:val="20"/>
          <w:szCs w:val="20"/>
          <w:color w:val="auto"/>
        </w:rPr>
      </w:pPr>
    </w:p>
    <w:p>
      <w:pPr>
        <w:sectPr>
          <w:pgSz w:w="11900" w:h="15874" w:orient="portrait"/>
          <w:cols w:equalWidth="0" w:num="2">
            <w:col w:w="5020" w:space="380"/>
            <w:col w:w="5000"/>
          </w:cols>
          <w:pgMar w:top="492" w:right="746" w:bottom="85" w:left="760" w:header="0" w:footer="0" w:gutter="0"/>
        </w:sectPr>
      </w:pPr>
    </w:p>
    <w:p>
      <w:pPr>
        <w:jc w:val="center"/>
        <w:spacing w:after="0"/>
        <w:rPr>
          <w:sz w:val="20"/>
          <w:szCs w:val="20"/>
          <w:color w:val="auto"/>
        </w:rPr>
      </w:pPr>
      <w:r>
        <w:rPr>
          <w:rFonts w:ascii="Arial" w:hAnsi="Arial" w:eastAsia="Arial" w:cs="Arial"/>
          <w:sz w:val="13"/>
          <w:szCs w:val="13"/>
          <w:color w:val="auto"/>
        </w:rPr>
        <w:t xml:space="preserve">14</w:t>
      </w:r>
    </w:p>
    <w:sectPr>
      <w:pgSz w:w="11900" w:h="15874" w:orient="portrait"/>
      <w:cols w:equalWidth="0" w:num="1">
        <w:col w:w="10400"/>
      </w:cols>
      <w:pgMar w:top="492" w:right="746" w:bottom="85" w:left="760" w:header="0" w:footer="0" w:gutt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62BBD95A"/>
    <w:multiLevelType w:val="hybridMultilevel"/>
    <w:lvl w:ilvl="0">
      <w:lvlJc w:val="left"/>
      <w:lvlText w:val="a"/>
      <w:numFmt w:val="bullet"/>
      <w:start w:val="1"/>
    </w:lvl>
  </w:abstractNum>
  <w:abstractNum w:abstractNumId="1">
    <w:nsid w:val="436C6125"/>
    <w:multiLevelType w:val="hybridMultilevel"/>
    <w:lvl w:ilvl="0">
      <w:lvlJc w:val="left"/>
      <w:lvlText w:val=" "/>
      <w:numFmt w:val="bullet"/>
      <w:start w:val="1"/>
    </w:lvl>
    <w:lvl w:ilvl="1">
      <w:lvlJc w:val="left"/>
      <w:lvlText w:val="•"/>
      <w:numFmt w:val="bullet"/>
      <w:start w:val="1"/>
    </w:lvl>
  </w:abstractNum>
  <w:abstractNum w:abstractNumId="2">
    <w:nsid w:val="628C895D"/>
    <w:multiLevelType w:val="hybridMultilevel"/>
    <w:lvl w:ilvl="0">
      <w:lvlJc w:val="left"/>
      <w:lvlText w:val="•"/>
      <w:numFmt w:val="bullet"/>
      <w:start w:val="1"/>
    </w:lvl>
  </w:abstractNum>
  <w:abstractNum w:abstractNumId="3">
    <w:nsid w:val="333AB105"/>
    <w:multiLevelType w:val="hybridMultilevel"/>
    <w:lvl w:ilvl="0">
      <w:lvlJc w:val="left"/>
      <w:lvlText w:val="•"/>
      <w:numFmt w:val="bullet"/>
      <w:start w:val="1"/>
    </w:lvl>
  </w:abstractNum>
  <w:abstractNum w:abstractNumId="4">
    <w:nsid w:val="721DA317"/>
    <w:multiLevelType w:val="hybridMultilevel"/>
    <w:lvl w:ilvl="0">
      <w:lvlJc w:val="left"/>
      <w:lvlText w:val="•"/>
      <w:numFmt w:val="bullet"/>
      <w:start w:val="1"/>
    </w:lvl>
  </w:abstractNum>
  <w:abstractNum w:abstractNumId="5">
    <w:nsid w:val="2443A858"/>
    <w:multiLevelType w:val="hybridMultilevel"/>
    <w:lvl w:ilvl="0">
      <w:lvlJc w:val="left"/>
      <w:lvlText w:val="%1."/>
      <w:numFmt w:val="decimal"/>
      <w:start w:val="2"/>
    </w:lvl>
    <w:lvl w:ilvl="1">
      <w:lvlJc w:val="left"/>
      <w:lvlText w:val="•"/>
      <w:numFmt w:val="bullet"/>
      <w:start w:val="1"/>
    </w:lvl>
  </w:abstractNum>
  <w:abstractNum w:abstractNumId="6">
    <w:nsid w:val="2D1D5AE9"/>
    <w:multiLevelType w:val="hybridMultilevel"/>
    <w:lvl w:ilvl="0">
      <w:lvlJc w:val="left"/>
      <w:lvlText w:val="%1."/>
      <w:numFmt w:val="decimal"/>
      <w:start w:val="1"/>
    </w:lvl>
  </w:abstractNum>
  <w:abstractNum w:abstractNumId="7">
    <w:nsid w:val="6763845E"/>
    <w:multiLevelType w:val="hybridMultilevel"/>
    <w:lvl w:ilvl="0">
      <w:lvlJc w:val="left"/>
      <w:lvlText w:val="•"/>
      <w:numFmt w:val="bullet"/>
      <w:start w:val="1"/>
    </w:lvl>
  </w:abstractNum>
  <w:abstractNum w:abstractNumId="8">
    <w:nsid w:val="75A2A8D4"/>
    <w:multiLevelType w:val="hybridMultilevel"/>
    <w:lvl w:ilvl="0">
      <w:lvlJc w:val="left"/>
      <w:lvlText w:val="%1."/>
      <w:numFmt w:val="decimal"/>
      <w:start w:val="2"/>
    </w:lvl>
    <w:lvl w:ilvl="1">
      <w:lvlJc w:val="left"/>
      <w:lvlText w:val="•"/>
      <w:numFmt w:val="bullet"/>
      <w:start w:val="1"/>
    </w:lvl>
  </w:abstractNum>
  <w:abstractNum w:abstractNumId="9">
    <w:nsid w:val="8EDBDAB"/>
    <w:multiLevelType w:val="hybridMultilevel"/>
    <w:lvl w:ilvl="0">
      <w:lvlJc w:val="left"/>
      <w:lvlText w:val="•"/>
      <w:numFmt w:val="bullet"/>
      <w:start w:val="1"/>
    </w:lvl>
  </w:abstractNum>
  <w:abstractNum w:abstractNumId="10">
    <w:nsid w:val="79838CB2"/>
    <w:multiLevelType w:val="hybridMultilevel"/>
    <w:lvl w:ilvl="0">
      <w:lvlJc w:val="left"/>
      <w:lvlText w:val="•"/>
      <w:numFmt w:val="bullet"/>
      <w:start w:val="1"/>
    </w:lvl>
  </w:abstractNum>
  <w:abstractNum w:abstractNumId="11">
    <w:nsid w:val="4353D0CD"/>
    <w:multiLevelType w:val="hybridMultilevel"/>
    <w:lvl w:ilvl="0">
      <w:lvlJc w:val="left"/>
      <w:lvlText w:val="%1."/>
      <w:numFmt w:val="decimal"/>
      <w:start w:val="1"/>
    </w:lvl>
  </w:abstractNum>
  <w:abstractNum w:abstractNumId="12">
    <w:nsid w:val="B03E0C6"/>
    <w:multiLevelType w:val="hybridMultilevel"/>
    <w:lvl w:ilvl="0">
      <w:lvlJc w:val="left"/>
      <w:lvlText w:val="•"/>
      <w:numFmt w:val="bullet"/>
      <w:start w:val="1"/>
    </w:lvl>
  </w:abstractNum>
  <w:abstractNum w:abstractNumId="13">
    <w:nsid w:val="189A769B"/>
    <w:multiLevelType w:val="hybridMultilevel"/>
    <w:lvl w:ilvl="0">
      <w:lvlJc w:val="left"/>
      <w:lvlText w:val="•"/>
      <w:numFmt w:val="bullet"/>
      <w:start w:val="1"/>
    </w:lvl>
  </w:abstractNum>
  <w:abstractNum w:abstractNumId="14">
    <w:nsid w:val="54E49EB4"/>
    <w:multiLevelType w:val="hybridMultilevel"/>
    <w:lvl w:ilvl="0">
      <w:lvlJc w:val="left"/>
      <w:lvlText w:val="•"/>
      <w:numFmt w:val="bullet"/>
      <w:start w:val="1"/>
    </w:lvl>
    <w:lvl w:ilvl="1">
      <w:lvlJc w:val="left"/>
      <w:lvlText w:val="\endash "/>
      <w:numFmt w:val="bullet"/>
      <w:start w:val="1"/>
    </w:lvl>
  </w:abstractNum>
  <w:abstractNum w:abstractNumId="15">
    <w:nsid w:val="71F32454"/>
    <w:multiLevelType w:val="hybridMultilevel"/>
    <w:lvl w:ilvl="0">
      <w:lvlJc w:val="left"/>
      <w:lvlText w:val="•"/>
      <w:numFmt w:val="bullet"/>
      <w:start w:val="1"/>
    </w:lvl>
  </w:abstractNum>
  <w:abstractNum w:abstractNumId="16">
    <w:nsid w:val="2CA88611"/>
    <w:multiLevelType w:val="hybridMultilevel"/>
    <w:lvl w:ilvl="0">
      <w:lvlJc w:val="left"/>
      <w:lvlText w:val="∙"/>
      <w:numFmt w:val="bullet"/>
      <w:start w:val="1"/>
    </w:lvl>
  </w:abstractNum>
  <w:abstractNum w:abstractNumId="17">
    <w:nsid w:val="836C40E"/>
    <w:multiLevelType w:val="hybridMultilevel"/>
    <w:lvl w:ilvl="0">
      <w:lvlJc w:val="left"/>
      <w:lvlText w:val="∙"/>
      <w:numFmt w:val="bullet"/>
      <w:start w:val="1"/>
    </w:lvl>
  </w:abstractNum>
  <w:abstractNum w:abstractNumId="18">
    <w:nsid w:val="2901D82"/>
    <w:multiLevelType w:val="hybridMultilevel"/>
    <w:lvl w:ilvl="0">
      <w:lvlJc w:val="left"/>
      <w:lvlText w:val="∙"/>
      <w:numFmt w:val="bullet"/>
      <w:start w:val="1"/>
    </w:lvl>
  </w:abstractNum>
  <w:abstractNum w:abstractNumId="19">
    <w:nsid w:val="3A95F874"/>
    <w:multiLevelType w:val="hybridMultilevel"/>
    <w:lvl w:ilvl="0">
      <w:lvlJc w:val="left"/>
      <w:lvlText w:val="•"/>
      <w:numFmt w:val="bullet"/>
      <w:start w:val="1"/>
    </w:lvl>
  </w:abstractNum>
  <w:abstractNum w:abstractNumId="20">
    <w:nsid w:val="8138641"/>
    <w:multiLevelType w:val="hybridMultilevel"/>
    <w:lvl w:ilvl="0">
      <w:lvlJc w:val="left"/>
      <w:lvlText w:val="•"/>
      <w:numFmt w:val="bullet"/>
      <w:start w:val="1"/>
    </w:lvl>
  </w:abstractNum>
  <w:abstractNum w:abstractNumId="21">
    <w:nsid w:val="1E7FF521"/>
    <w:multiLevelType w:val="hybridMultilevel"/>
    <w:lvl w:ilvl="0">
      <w:lvlJc w:val="left"/>
      <w:lvlText w:val="•"/>
      <w:numFmt w:val="bullet"/>
      <w:start w:val="1"/>
    </w:lvl>
  </w:abstractNum>
  <w:abstractNum w:abstractNumId="22">
    <w:nsid w:val="7C3DBD3D"/>
    <w:multiLevelType w:val="hybridMultilevel"/>
    <w:lvl w:ilvl="0">
      <w:lvlJc w:val="left"/>
      <w:lvlText w:val="•"/>
      <w:numFmt w:val="bullet"/>
      <w:start w:val="1"/>
    </w:lvl>
  </w:abstractNum>
  <w:abstractNum w:abstractNumId="23">
    <w:nsid w:val="737B8DDC"/>
    <w:multiLevelType w:val="hybridMultilevel"/>
    <w:lvl w:ilvl="0">
      <w:lvlJc w:val="left"/>
      <w:lvlText w:val="•"/>
      <w:numFmt w:val="bullet"/>
      <w:start w:val="1"/>
    </w:lvl>
  </w:abstractNum>
  <w:abstractNum w:abstractNumId="24">
    <w:nsid w:val="6CEAF087"/>
    <w:multiLevelType w:val="hybridMultilevel"/>
    <w:lvl w:ilvl="0">
      <w:lvlJc w:val="left"/>
      <w:lvlText w:val="•"/>
      <w:numFmt w:val="bullet"/>
      <w:start w:val="1"/>
    </w:lvl>
  </w:abstractNum>
  <w:abstractNum w:abstractNumId="25">
    <w:nsid w:val="22221A70"/>
    <w:multiLevelType w:val="hybridMultilevel"/>
    <w:lvl w:ilvl="0">
      <w:lvlJc w:val="left"/>
      <w:lvlText w:val="•"/>
      <w:numFmt w:val="bullet"/>
      <w:start w:val="1"/>
    </w:lvl>
    <w:lvl w:ilvl="1">
      <w:lvlJc w:val="left"/>
      <w:lvlText w:val="(%2)"/>
      <w:numFmt w:val="lowerRoman"/>
      <w:start w:val="1"/>
    </w:lvl>
  </w:abstractNum>
  <w:abstractNum w:abstractNumId="26">
    <w:nsid w:val="4516DDE9"/>
    <w:multiLevelType w:val="hybridMultilevel"/>
    <w:lvl w:ilvl="0">
      <w:lvlJc w:val="left"/>
      <w:lvlText w:val="•"/>
      <w:numFmt w:val="bullet"/>
      <w:start w:val="1"/>
    </w:lvl>
  </w:abstractNum>
  <w:abstractNum w:abstractNumId="27">
    <w:nsid w:val="3006C83E"/>
    <w:multiLevelType w:val="hybridMultilevel"/>
    <w:lvl w:ilvl="0">
      <w:lvlJc w:val="left"/>
      <w:lvlText w:val="∙"/>
      <w:numFmt w:val="bullet"/>
      <w:start w:val="1"/>
    </w:lvl>
  </w:abstractNum>
  <w:abstractNum w:abstractNumId="28">
    <w:nsid w:val="614FD4A1"/>
    <w:multiLevelType w:val="hybridMultilevel"/>
    <w:lvl w:ilvl="0">
      <w:lvlJc w:val="left"/>
      <w:lvlText w:val="∙"/>
      <w:numFmt w:val="bullet"/>
      <w:start w:val="1"/>
    </w:lvl>
  </w:abstractNum>
  <w:abstractNum w:abstractNumId="29">
    <w:nsid w:val="419AC241"/>
    <w:multiLevelType w:val="hybridMultilevel"/>
    <w:lvl w:ilvl="0">
      <w:lvlJc w:val="left"/>
      <w:lvlText w:val="∙"/>
      <w:numFmt w:val="bullet"/>
      <w:start w:val="1"/>
    </w:lvl>
  </w:abstractNum>
  <w:abstractNum w:abstractNumId="30">
    <w:nsid w:val="5577F8E1"/>
    <w:multiLevelType w:val="hybridMultilevel"/>
    <w:lvl w:ilvl="0">
      <w:lvlJc w:val="left"/>
      <w:lvlText w:val="•"/>
      <w:numFmt w:val="bullet"/>
      <w:start w:val="1"/>
    </w:lvl>
  </w:abstractNum>
  <w:abstractNum w:abstractNumId="31">
    <w:nsid w:val="440BADFC"/>
    <w:multiLevelType w:val="hybridMultilevel"/>
    <w:lvl w:ilvl="0">
      <w:lvlJc w:val="left"/>
      <w:lvlText w:val="•"/>
      <w:numFmt w:val="bullet"/>
      <w:start w:val="1"/>
    </w:lvl>
  </w:abstractNum>
  <w:abstractNum w:abstractNumId="32">
    <w:nsid w:val="5072367"/>
    <w:multiLevelType w:val="hybridMultilevel"/>
    <w:lvl w:ilvl="0">
      <w:lvlJc w:val="left"/>
      <w:lvlText w:val="•"/>
      <w:numFmt w:val="bullet"/>
      <w:start w:val="1"/>
    </w:lvl>
  </w:abstractNum>
  <w:abstractNum w:abstractNumId="33">
    <w:nsid w:val="3804823E"/>
    <w:multiLevelType w:val="hybridMultilevel"/>
    <w:lvl w:ilvl="0">
      <w:lvlJc w:val="left"/>
      <w:lvlText w:val="•"/>
      <w:numFmt w:val="bullet"/>
      <w:start w:val="1"/>
    </w:lvl>
  </w:abstractNum>
  <w:abstractNum w:abstractNumId="34">
    <w:nsid w:val="77465F01"/>
    <w:multiLevelType w:val="hybridMultilevel"/>
    <w:lvl w:ilvl="0">
      <w:lvlJc w:val="left"/>
      <w:lvlText w:val="\endash "/>
      <w:numFmt w:val="bullet"/>
      <w:start w:val="1"/>
    </w:lvl>
  </w:abstractNum>
  <w:abstractNum w:abstractNumId="35">
    <w:nsid w:val="7724C67E"/>
    <w:multiLevelType w:val="hybridMultilevel"/>
    <w:lvl w:ilvl="0">
      <w:lvlJc w:val="left"/>
      <w:lvlText w:val="[%1]"/>
      <w:numFmt w:val="decimal"/>
      <w:start w:val="1"/>
    </w:lvl>
  </w:abstractNum>
  <w:abstractNum w:abstractNumId="36">
    <w:nsid w:val="5C482A97"/>
    <w:multiLevelType w:val="hybridMultilevel"/>
    <w:lvl w:ilvl="0">
      <w:lvlJc w:val="left"/>
      <w:lvlText w:val="[%1]"/>
      <w:numFmt w:val="decimal"/>
      <w:start w:val="14"/>
    </w:lvl>
  </w:abstractNum>
  <w:abstractNum w:abstractNumId="37">
    <w:nsid w:val="2463B9EA"/>
    <w:multiLevelType w:val="hybridMultilevel"/>
    <w:lvl w:ilvl="0">
      <w:lvlJc w:val="left"/>
      <w:lvlText w:val="[%1]"/>
      <w:numFmt w:val="decimal"/>
      <w:start w:val="42"/>
    </w:lvl>
  </w:abstractNum>
  <w:abstractNum w:abstractNumId="38">
    <w:nsid w:val="5E884ADC"/>
    <w:multiLevelType w:val="hybridMultilevel"/>
    <w:lvl w:ilvl="0">
      <w:lvlJc w:val="left"/>
      <w:lvlText w:val="[%1]"/>
      <w:numFmt w:val="decimal"/>
      <w:start w:val="7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1" /><Relationship Type="http://schemas.openxmlformats.org/officeDocument/2006/relationships/styles" Target="styles.xml" Id="rId2" /><Relationship Type="http://schemas.openxmlformats.org/officeDocument/2006/relationships/fontTable" Target="fontTable.xml" Id="rId3" /><Relationship Type="http://schemas.openxmlformats.org/officeDocument/2006/relationships/webSettings" Target="webSettings.xml" Id="rId4" /><Relationship Type="http://schemas.openxmlformats.org/officeDocument/2006/relationships/numbering" Target="numbering.xml" Id="rId11" /><Relationship Type="http://schemas.openxmlformats.org/officeDocument/2006/relationships/image" Target="media/image1.png" Id="rId12" /><Relationship Type="http://schemas.openxmlformats.org/officeDocument/2006/relationships/image" Target="media/image2.png" Id="rId13" /><Relationship Type="http://schemas.openxmlformats.org/officeDocument/2006/relationships/image" Target="media/image3.jpeg" Id="rId14" /><Relationship Type="http://schemas.openxmlformats.org/officeDocument/2006/relationships/image" Target="media/image4.png" Id="rId15" /><Relationship Type="http://schemas.openxmlformats.org/officeDocument/2006/relationships/image" Target="media/image5.png" Id="rId16" /><Relationship Type="http://schemas.openxmlformats.org/officeDocument/2006/relationships/image" Target="media/image6.png" Id="rId17" /><Relationship Type="http://schemas.openxmlformats.org/officeDocument/2006/relationships/image" Target="media/image7.png" Id="rId18" /><Relationship Type="http://schemas.openxmlformats.org/officeDocument/2006/relationships/image" Target="media/image8.png" Id="rId19" /><Relationship Type="http://schemas.openxmlformats.org/officeDocument/2006/relationships/image" Target="media/image9.jpeg" Id="rId20" /><Relationship Type="http://schemas.openxmlformats.org/officeDocument/2006/relationships/image" Target="media/image10.jpeg" Id="rId21" /><Relationship Type="http://schemas.openxmlformats.org/officeDocument/2006/relationships/hyperlink" Target="https://www.deepl.com/pro?cta=edit-document" TargetMode="External" Id="Rc1b66135482e4bd4" /><Relationship Type="http://schemas.openxmlformats.org/officeDocument/2006/relationships/image" Target="/media/image8.png" Id="Rdd4eddb4301e4b00" /></Relationships>
</file>

<file path=docProps/app.xml><?xml version="1.0" encoding="utf-8"?>
<ap:Properties xmlns:vt="http://schemas.openxmlformats.org/officeDocument/2006/docPropsVTypes" xmlns:ap="http://schemas.openxmlformats.org/officeDocument/2006/extended-properties">
  <ap:Template>Normal.dotm</ap:Template>
  <ap:TotalTime>0</ap:TotalTime>
  <ap:Pages>1</ap:Pages>
  <ap:Words>0</ap:Words>
  <ap:Characters>3</ap:Characters>
  <ap:Application>Microsoft Office Word</ap:Application>
  <ap:DocSecurity>0</ap:DocSecurity>
  <ap:Lines>1</ap:Lines>
  <ap:Paragraphs>1</ap:Paragraphs>
  <ap:ScaleCrop>false</ap:ScaleCrop>
  <ap:HeadingPairs>
    <vt:vector baseType="variant" size="2">
      <vt:variant>
        <vt:lpstr>Title</vt:lpstr>
      </vt:variant>
      <vt:variant>
        <vt:i4>1</vt:i4>
      </vt:variant>
    </vt:vector>
  </ap:HeadingPairs>
  <ap:TitlesOfParts>
    <vt:vector baseType="lpstr" size="1">
      <vt:lpstr/>
    </vt:vector>
  </ap:TitlesOfParts>
  <ap:Company/>
  <ap:LinksUpToDate>false</ap:LinksUpToDate>
  <ap:CharactersWithSpaces>3</ap:CharactersWithSpaces>
  <ap:SharedDoc>false</ap:SharedDoc>
  <ap:HyperlinksChanged>false</ap:HyperlinksChanged>
  <ap:AppVersion>14.0000</ap:AppVersion>
</ap:Properties>
</file>

<file path=docProps/core.xml><?xml version="1.0" encoding="utf-8"?>
<coreProperties xmlns:dc="http://purl.org/dc/elements/1.1/" xmlns:dcterms="http://purl.org/dc/terms/" xmlns:xsi="http://www.w3.org/2001/XMLSchema-instance" xmlns="http://schemas.openxmlformats.org/package/2006/metadata/core-properties">
  <dc:creator>Windows User</dc:creator>
  <lastModifiedBy>Windows User</lastModifiedBy>
  <revision>1</revision>
  <dcterms:created xsi:type="dcterms:W3CDTF">2023-11-08T13:33:53.0000000Z</dcterms:created>
  <dcterms:modified xsi:type="dcterms:W3CDTF">2023-11-08T13:33:53.0000000Z</dcterms:modified>
  <keywords>, docId:4690C926B03BF69B96DBB219A7C176E2</keywords>
</coreProperties>
</file>