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33" w:rsidRPr="00D460D8" w:rsidRDefault="00FC6F33" w:rsidP="00FC6F33">
      <w:pPr>
        <w:pStyle w:val="BodyText1"/>
        <w:pBdr>
          <w:top w:val="single" w:sz="12" w:space="1" w:color="auto"/>
          <w:bottom w:val="single" w:sz="12" w:space="1" w:color="auto"/>
        </w:pBdr>
        <w:spacing w:after="0"/>
        <w:rPr>
          <w:rFonts w:ascii="Arial" w:hAnsi="Arial" w:cs="Arial"/>
          <w:sz w:val="20"/>
        </w:rPr>
      </w:pPr>
      <w:r w:rsidRPr="00CE4191">
        <w:rPr>
          <w:rFonts w:ascii="Arial" w:hAnsi="Arial" w:cs="Arial"/>
          <w:noProof/>
          <w:sz w:val="36"/>
          <w:szCs w:val="36"/>
        </w:rPr>
        <w:t xml:space="preserve">Pyrex </w:t>
      </w:r>
      <w:r w:rsidRPr="00CE4191">
        <w:rPr>
          <w:rFonts w:ascii="Arial" w:hAnsi="Arial" w:cs="Arial"/>
          <w:noProof/>
          <w:color w:val="0000AC"/>
          <w:sz w:val="36"/>
          <w:szCs w:val="36"/>
        </w:rPr>
        <w:t>Journal</w:t>
      </w:r>
      <w:r w:rsidRPr="00CE4191">
        <w:rPr>
          <w:rFonts w:ascii="Arial" w:hAnsi="Arial" w:cs="Arial"/>
          <w:noProof/>
          <w:sz w:val="36"/>
          <w:szCs w:val="36"/>
        </w:rPr>
        <w:t xml:space="preserve"> </w:t>
      </w:r>
      <w:r w:rsidRPr="00CE4191">
        <w:rPr>
          <w:rFonts w:ascii="Arial" w:hAnsi="Arial" w:cs="Arial"/>
          <w:noProof/>
          <w:color w:val="4A442A"/>
          <w:sz w:val="36"/>
          <w:szCs w:val="36"/>
        </w:rPr>
        <w:t xml:space="preserve">of </w:t>
      </w:r>
      <w:r>
        <w:rPr>
          <w:rFonts w:ascii="Arial" w:hAnsi="Arial" w:cs="Arial"/>
          <w:noProof/>
          <w:color w:val="4A442A"/>
          <w:sz w:val="36"/>
          <w:szCs w:val="36"/>
        </w:rPr>
        <w:t>Medicine and Medical Sciences</w:t>
      </w:r>
    </w:p>
    <w:p w:rsidR="00FC6F33" w:rsidRPr="00F808F9" w:rsidRDefault="00FC6F33" w:rsidP="00FC6F33">
      <w:pPr>
        <w:pStyle w:val="BodyText1"/>
        <w:spacing w:after="0"/>
        <w:rPr>
          <w:rFonts w:ascii="Arial" w:hAnsi="Arial" w:cs="Arial"/>
          <w:sz w:val="20"/>
        </w:rPr>
      </w:pPr>
    </w:p>
    <w:p w:rsidR="00FC6F33" w:rsidRPr="00964F21" w:rsidRDefault="00FC6F33" w:rsidP="00FC6F33">
      <w:pPr>
        <w:pStyle w:val="BodyText1"/>
        <w:spacing w:after="0"/>
        <w:rPr>
          <w:rFonts w:ascii="Arial" w:hAnsi="Arial" w:cs="Arial"/>
          <w:sz w:val="20"/>
        </w:rPr>
      </w:pPr>
      <w:r w:rsidRPr="00964F21">
        <w:rPr>
          <w:rFonts w:ascii="Arial" w:hAnsi="Arial" w:cs="Arial"/>
          <w:sz w:val="20"/>
        </w:rPr>
        <w:t xml:space="preserve">Vol </w:t>
      </w:r>
      <w:r>
        <w:rPr>
          <w:rFonts w:ascii="Arial" w:hAnsi="Arial" w:cs="Arial"/>
          <w:sz w:val="20"/>
        </w:rPr>
        <w:t>3</w:t>
      </w:r>
      <w:r w:rsidRPr="00964F21">
        <w:rPr>
          <w:rFonts w:ascii="Arial" w:hAnsi="Arial" w:cs="Arial"/>
          <w:sz w:val="20"/>
        </w:rPr>
        <w:t xml:space="preserve"> (</w:t>
      </w:r>
      <w:r>
        <w:rPr>
          <w:rFonts w:ascii="Arial" w:hAnsi="Arial" w:cs="Arial"/>
          <w:sz w:val="20"/>
        </w:rPr>
        <w:t>4</w:t>
      </w:r>
      <w:r w:rsidRPr="00964F21">
        <w:rPr>
          <w:rFonts w:ascii="Arial" w:hAnsi="Arial" w:cs="Arial"/>
          <w:sz w:val="20"/>
        </w:rPr>
        <w:t>) pp.</w:t>
      </w:r>
      <w:r>
        <w:rPr>
          <w:rFonts w:ascii="Arial" w:hAnsi="Arial" w:cs="Arial"/>
          <w:sz w:val="20"/>
        </w:rPr>
        <w:t>13</w:t>
      </w:r>
      <w:r w:rsidRPr="00964F21">
        <w:rPr>
          <w:rFonts w:ascii="Arial" w:hAnsi="Arial" w:cs="Arial"/>
          <w:sz w:val="20"/>
        </w:rPr>
        <w:t>-</w:t>
      </w:r>
      <w:r>
        <w:rPr>
          <w:rFonts w:ascii="Arial" w:hAnsi="Arial" w:cs="Arial"/>
          <w:sz w:val="20"/>
        </w:rPr>
        <w:t>18</w:t>
      </w:r>
      <w:r w:rsidRPr="00964F21">
        <w:rPr>
          <w:rFonts w:ascii="Arial" w:hAnsi="Arial" w:cs="Arial"/>
          <w:sz w:val="20"/>
        </w:rPr>
        <w:t xml:space="preserve"> August, 2016</w:t>
      </w:r>
    </w:p>
    <w:p w:rsidR="00FC6F33" w:rsidRPr="00964F21" w:rsidRDefault="00FC6F33" w:rsidP="00FC6F33">
      <w:pPr>
        <w:pStyle w:val="BodyText1"/>
        <w:spacing w:after="0"/>
        <w:rPr>
          <w:rFonts w:ascii="Arial" w:hAnsi="Arial" w:cs="Arial"/>
          <w:sz w:val="20"/>
        </w:rPr>
      </w:pPr>
      <w:r w:rsidRPr="00964F21">
        <w:rPr>
          <w:rFonts w:ascii="Arial" w:hAnsi="Arial" w:cs="Arial"/>
          <w:sz w:val="20"/>
        </w:rPr>
        <w:t>Copyright © 2016 Pyrex Journals</w:t>
      </w:r>
    </w:p>
    <w:p w:rsidR="00FC6F33" w:rsidRPr="00964F21" w:rsidRDefault="00FC6F33" w:rsidP="00FC6F33">
      <w:pPr>
        <w:pStyle w:val="BodyText1"/>
        <w:spacing w:after="0"/>
        <w:rPr>
          <w:rFonts w:ascii="Arial" w:hAnsi="Arial" w:cs="Arial"/>
          <w:sz w:val="20"/>
        </w:rPr>
      </w:pPr>
      <w:r w:rsidRPr="00964F21">
        <w:rPr>
          <w:rFonts w:ascii="Arial" w:hAnsi="Arial" w:cs="Arial"/>
          <w:sz w:val="20"/>
        </w:rPr>
        <w:t>Author(s) retain the copyright of this article</w:t>
      </w:r>
    </w:p>
    <w:p w:rsidR="00FC6F33" w:rsidRPr="00964F21" w:rsidRDefault="00FC6F33" w:rsidP="00FC6F33">
      <w:pPr>
        <w:pStyle w:val="BodyText1"/>
        <w:spacing w:after="0"/>
        <w:rPr>
          <w:rFonts w:ascii="Arial" w:hAnsi="Arial" w:cs="Arial"/>
          <w:sz w:val="20"/>
        </w:rPr>
      </w:pPr>
      <w:r w:rsidRPr="00964F21">
        <w:rPr>
          <w:rFonts w:ascii="Arial" w:hAnsi="Arial" w:cs="Arial"/>
          <w:sz w:val="20"/>
        </w:rPr>
        <w:t>http://www.pyrexjournals.org/pj</w:t>
      </w:r>
      <w:r>
        <w:rPr>
          <w:rFonts w:ascii="Arial" w:hAnsi="Arial" w:cs="Arial"/>
          <w:sz w:val="20"/>
        </w:rPr>
        <w:t>mms</w:t>
      </w:r>
    </w:p>
    <w:p w:rsidR="00FC6F33" w:rsidRPr="00964F21" w:rsidRDefault="00FC6F33" w:rsidP="00FC6F33">
      <w:pPr>
        <w:pStyle w:val="BodyText1"/>
        <w:spacing w:after="0"/>
        <w:rPr>
          <w:rFonts w:ascii="Arial" w:hAnsi="Arial" w:cs="Arial"/>
          <w:sz w:val="20"/>
        </w:rPr>
      </w:pPr>
      <w:r w:rsidRPr="00964F21">
        <w:rPr>
          <w:rFonts w:ascii="Arial" w:hAnsi="Arial" w:cs="Arial"/>
          <w:sz w:val="20"/>
        </w:rPr>
        <w:t xml:space="preserve">ISSN: </w:t>
      </w:r>
      <w:r>
        <w:rPr>
          <w:rFonts w:ascii="Arial" w:hAnsi="Arial" w:cs="Arial"/>
          <w:sz w:val="20"/>
        </w:rPr>
        <w:t>2985-</w:t>
      </w:r>
      <w:r w:rsidRPr="00FC6F33">
        <w:t xml:space="preserve"> </w:t>
      </w:r>
      <w:r w:rsidRPr="00FC6F33">
        <w:rPr>
          <w:rFonts w:ascii="Arial" w:hAnsi="Arial" w:cs="Arial"/>
          <w:sz w:val="20"/>
        </w:rPr>
        <w:t>8828</w:t>
      </w:r>
    </w:p>
    <w:p w:rsidR="00FC6F33" w:rsidRPr="00964F21" w:rsidRDefault="00FC6F33" w:rsidP="00FC6F33">
      <w:pPr>
        <w:spacing w:after="0" w:line="240" w:lineRule="auto"/>
        <w:rPr>
          <w:rFonts w:ascii="Arial" w:eastAsia="Calibri" w:hAnsi="Arial" w:cs="Arial"/>
          <w:sz w:val="20"/>
          <w:szCs w:val="20"/>
        </w:rPr>
      </w:pPr>
    </w:p>
    <w:p w:rsidR="00FC6F33" w:rsidRDefault="00FC6F33" w:rsidP="00FC6F33">
      <w:pPr>
        <w:spacing w:after="0" w:line="240" w:lineRule="auto"/>
        <w:rPr>
          <w:rFonts w:ascii="Arial" w:eastAsia="Calibri" w:hAnsi="Arial" w:cs="Arial"/>
          <w:sz w:val="20"/>
          <w:szCs w:val="20"/>
        </w:rPr>
      </w:pPr>
    </w:p>
    <w:p w:rsidR="00FC6F33" w:rsidRPr="00964F21" w:rsidRDefault="00FC6F33" w:rsidP="00FC6F33">
      <w:pPr>
        <w:spacing w:after="0" w:line="240" w:lineRule="auto"/>
        <w:rPr>
          <w:rFonts w:ascii="Arial" w:eastAsia="Calibri" w:hAnsi="Arial" w:cs="Arial"/>
          <w:sz w:val="20"/>
          <w:szCs w:val="20"/>
        </w:rPr>
      </w:pPr>
    </w:p>
    <w:p w:rsidR="00FC6F33" w:rsidRPr="00FC6F33" w:rsidRDefault="00FC6F33" w:rsidP="00FC6F33">
      <w:pPr>
        <w:pStyle w:val="BodyText"/>
        <w:spacing w:after="0"/>
        <w:rPr>
          <w:rFonts w:ascii="Arial" w:hAnsi="Arial" w:cs="Arial"/>
          <w:noProof/>
        </w:rPr>
      </w:pPr>
      <w:r w:rsidRPr="00FC6F33">
        <w:rPr>
          <w:rFonts w:ascii="Arial" w:hAnsi="Arial" w:cs="Arial"/>
          <w:i/>
          <w:noProof/>
        </w:rPr>
        <w:t>Full Length Research paper</w:t>
      </w:r>
    </w:p>
    <w:p w:rsidR="00FC6F33" w:rsidRPr="00FC6F33" w:rsidRDefault="00FC6F33" w:rsidP="00FC6F33">
      <w:pPr>
        <w:spacing w:after="0" w:line="240" w:lineRule="auto"/>
        <w:jc w:val="both"/>
        <w:rPr>
          <w:rFonts w:ascii="Arial" w:hAnsi="Arial" w:cs="Arial"/>
          <w:bCs/>
          <w:sz w:val="20"/>
          <w:szCs w:val="20"/>
        </w:rPr>
      </w:pPr>
    </w:p>
    <w:p w:rsidR="00933BA2" w:rsidRPr="00FC6F33" w:rsidRDefault="00933BA2" w:rsidP="00FC6F33">
      <w:pPr>
        <w:spacing w:after="0" w:line="240" w:lineRule="auto"/>
        <w:jc w:val="center"/>
        <w:rPr>
          <w:rFonts w:ascii="Arial" w:hAnsi="Arial" w:cs="Arial"/>
          <w:b/>
          <w:bCs/>
          <w:sz w:val="40"/>
          <w:szCs w:val="40"/>
        </w:rPr>
      </w:pPr>
      <w:r w:rsidRPr="00FC6F33">
        <w:rPr>
          <w:rFonts w:ascii="Arial" w:hAnsi="Arial" w:cs="Arial"/>
          <w:b/>
          <w:bCs/>
          <w:sz w:val="40"/>
          <w:szCs w:val="40"/>
        </w:rPr>
        <w:t>The Application of CA 125 in the Diagnosis and Follow up of Ovarian Cancer</w:t>
      </w:r>
    </w:p>
    <w:p w:rsidR="00933BA2" w:rsidRPr="00FC6F33" w:rsidRDefault="00933BA2" w:rsidP="00FC6F33">
      <w:pPr>
        <w:spacing w:after="0" w:line="240" w:lineRule="auto"/>
        <w:jc w:val="center"/>
        <w:rPr>
          <w:rFonts w:ascii="Arial" w:hAnsi="Arial" w:cs="Arial"/>
          <w:sz w:val="20"/>
          <w:szCs w:val="20"/>
        </w:rPr>
      </w:pPr>
    </w:p>
    <w:p w:rsidR="00933BA2" w:rsidRPr="00FC6F33" w:rsidRDefault="00933BA2" w:rsidP="00FC6F33">
      <w:pPr>
        <w:spacing w:after="0" w:line="240" w:lineRule="auto"/>
        <w:jc w:val="center"/>
        <w:rPr>
          <w:rFonts w:ascii="Arial" w:hAnsi="Arial" w:cs="Arial"/>
          <w:b/>
          <w:bCs/>
          <w:sz w:val="24"/>
          <w:szCs w:val="24"/>
          <w:vertAlign w:val="superscript"/>
        </w:rPr>
      </w:pPr>
      <w:r w:rsidRPr="00FC6F33">
        <w:rPr>
          <w:rFonts w:ascii="Arial" w:hAnsi="Arial" w:cs="Arial"/>
          <w:b/>
          <w:bCs/>
          <w:sz w:val="24"/>
          <w:szCs w:val="24"/>
        </w:rPr>
        <w:t>Randa E. Moham</w:t>
      </w:r>
      <w:r w:rsidR="00EE641D" w:rsidRPr="00FC6F33">
        <w:rPr>
          <w:rFonts w:ascii="Arial" w:hAnsi="Arial" w:cs="Arial"/>
          <w:b/>
          <w:bCs/>
          <w:sz w:val="24"/>
          <w:szCs w:val="24"/>
        </w:rPr>
        <w:t>m</w:t>
      </w:r>
      <w:r w:rsidRPr="00FC6F33">
        <w:rPr>
          <w:rFonts w:ascii="Arial" w:hAnsi="Arial" w:cs="Arial"/>
          <w:b/>
          <w:bCs/>
          <w:sz w:val="24"/>
          <w:szCs w:val="24"/>
        </w:rPr>
        <w:t>ed</w:t>
      </w:r>
      <w:r w:rsidRPr="00FC6F33">
        <w:rPr>
          <w:rFonts w:ascii="Arial" w:hAnsi="Arial" w:cs="Arial"/>
          <w:b/>
          <w:bCs/>
          <w:sz w:val="24"/>
          <w:szCs w:val="24"/>
          <w:vertAlign w:val="superscript"/>
        </w:rPr>
        <w:t>1</w:t>
      </w:r>
      <w:r w:rsidRPr="00FC6F33">
        <w:rPr>
          <w:rFonts w:ascii="Arial" w:hAnsi="Arial" w:cs="Arial"/>
          <w:b/>
          <w:bCs/>
          <w:sz w:val="24"/>
          <w:szCs w:val="24"/>
        </w:rPr>
        <w:t>, Rania M. SidAhmed</w:t>
      </w:r>
      <w:r w:rsidR="00FC6F33">
        <w:rPr>
          <w:rFonts w:ascii="Arial" w:hAnsi="Arial" w:cs="Arial"/>
          <w:b/>
          <w:bCs/>
          <w:sz w:val="24"/>
          <w:szCs w:val="24"/>
          <w:vertAlign w:val="superscript"/>
        </w:rPr>
        <w:t>1</w:t>
      </w:r>
      <w:r w:rsidR="00F65720">
        <w:rPr>
          <w:rFonts w:ascii="Arial" w:hAnsi="Arial" w:cs="Arial"/>
          <w:b/>
          <w:bCs/>
          <w:sz w:val="24"/>
          <w:szCs w:val="24"/>
          <w:vertAlign w:val="superscript"/>
        </w:rPr>
        <w:t>*</w:t>
      </w:r>
      <w:bookmarkStart w:id="0" w:name="_GoBack"/>
      <w:bookmarkEnd w:id="0"/>
      <w:r w:rsidR="00EE641D" w:rsidRPr="00FC6F33">
        <w:rPr>
          <w:rFonts w:ascii="Arial" w:hAnsi="Arial" w:cs="Arial"/>
          <w:b/>
          <w:bCs/>
          <w:sz w:val="24"/>
          <w:szCs w:val="24"/>
        </w:rPr>
        <w:t xml:space="preserve">, Ahmed </w:t>
      </w:r>
      <w:r w:rsidRPr="00FC6F33">
        <w:rPr>
          <w:rFonts w:ascii="Arial" w:hAnsi="Arial" w:cs="Arial"/>
          <w:b/>
          <w:bCs/>
          <w:sz w:val="24"/>
          <w:szCs w:val="24"/>
        </w:rPr>
        <w:t>M</w:t>
      </w:r>
      <w:r w:rsidR="00EE641D" w:rsidRPr="00FC6F33">
        <w:rPr>
          <w:rFonts w:ascii="Arial" w:hAnsi="Arial" w:cs="Arial"/>
          <w:b/>
          <w:bCs/>
          <w:sz w:val="24"/>
          <w:szCs w:val="24"/>
        </w:rPr>
        <w:t>. Alhaj</w:t>
      </w:r>
      <w:r w:rsidR="00FC6F33">
        <w:rPr>
          <w:rFonts w:ascii="Arial" w:hAnsi="Arial" w:cs="Arial"/>
          <w:b/>
          <w:bCs/>
          <w:sz w:val="24"/>
          <w:szCs w:val="24"/>
          <w:vertAlign w:val="superscript"/>
        </w:rPr>
        <w:t>2</w:t>
      </w:r>
    </w:p>
    <w:p w:rsidR="00FC6F33" w:rsidRPr="00FC6F33" w:rsidRDefault="00FC6F33" w:rsidP="00FC6F33">
      <w:pPr>
        <w:spacing w:after="0" w:line="240" w:lineRule="auto"/>
        <w:jc w:val="center"/>
        <w:rPr>
          <w:rFonts w:ascii="Arial" w:hAnsi="Arial" w:cs="Arial"/>
          <w:b/>
          <w:bCs/>
          <w:sz w:val="20"/>
          <w:szCs w:val="20"/>
        </w:rPr>
      </w:pPr>
    </w:p>
    <w:p w:rsidR="00933BA2" w:rsidRPr="00FC6F33" w:rsidRDefault="00933BA2" w:rsidP="00FC6F33">
      <w:pPr>
        <w:spacing w:after="0" w:line="240" w:lineRule="auto"/>
        <w:jc w:val="center"/>
        <w:rPr>
          <w:rFonts w:ascii="Arial" w:hAnsi="Arial" w:cs="Arial"/>
          <w:sz w:val="20"/>
          <w:szCs w:val="20"/>
        </w:rPr>
      </w:pPr>
      <w:r w:rsidRPr="00FC6F33">
        <w:rPr>
          <w:rFonts w:ascii="Arial" w:hAnsi="Arial" w:cs="Arial"/>
          <w:sz w:val="20"/>
          <w:szCs w:val="20"/>
          <w:vertAlign w:val="superscript"/>
        </w:rPr>
        <w:t>1</w:t>
      </w:r>
      <w:r w:rsidRPr="00FC6F33">
        <w:rPr>
          <w:rFonts w:ascii="Arial" w:hAnsi="Arial" w:cs="Arial"/>
          <w:sz w:val="20"/>
          <w:szCs w:val="20"/>
        </w:rPr>
        <w:t>Department of Histopathology and Cytology, Faculty of Medical Laboratory Sciences, University of Gezira - P.O.Box 20 - Wad Medani,Sudan.</w:t>
      </w:r>
    </w:p>
    <w:p w:rsidR="00933BA2" w:rsidRDefault="00FC6F33" w:rsidP="00FC6F33">
      <w:pPr>
        <w:spacing w:after="0" w:line="240" w:lineRule="auto"/>
        <w:jc w:val="center"/>
        <w:rPr>
          <w:rFonts w:ascii="Arial" w:hAnsi="Arial" w:cs="Arial"/>
          <w:sz w:val="20"/>
          <w:szCs w:val="20"/>
        </w:rPr>
      </w:pPr>
      <w:r>
        <w:rPr>
          <w:rFonts w:ascii="Arial" w:hAnsi="Arial" w:cs="Arial"/>
          <w:sz w:val="20"/>
          <w:szCs w:val="20"/>
          <w:vertAlign w:val="superscript"/>
        </w:rPr>
        <w:t>2</w:t>
      </w:r>
      <w:r w:rsidR="00B54234" w:rsidRPr="00FC6F33">
        <w:rPr>
          <w:rFonts w:ascii="Arial" w:hAnsi="Arial" w:cs="Arial"/>
          <w:sz w:val="20"/>
          <w:szCs w:val="20"/>
        </w:rPr>
        <w:t>Department of O</w:t>
      </w:r>
      <w:r w:rsidR="00933BA2" w:rsidRPr="00FC6F33">
        <w:rPr>
          <w:rFonts w:ascii="Arial" w:hAnsi="Arial" w:cs="Arial"/>
          <w:sz w:val="20"/>
          <w:szCs w:val="20"/>
        </w:rPr>
        <w:t>ncology, International Institute of Cancer- P.O.Box 20- Wad Medani, Sudan.</w:t>
      </w:r>
    </w:p>
    <w:p w:rsidR="00FC6F33" w:rsidRDefault="00FC6F33" w:rsidP="00FC6F33">
      <w:pPr>
        <w:spacing w:after="0" w:line="240" w:lineRule="auto"/>
        <w:jc w:val="center"/>
        <w:rPr>
          <w:rFonts w:ascii="Arial" w:hAnsi="Arial" w:cs="Arial"/>
          <w:sz w:val="20"/>
          <w:szCs w:val="20"/>
        </w:rPr>
      </w:pPr>
    </w:p>
    <w:p w:rsidR="00FC6F33" w:rsidRDefault="00FC6F33" w:rsidP="00FC6F33">
      <w:pPr>
        <w:spacing w:after="0" w:line="240" w:lineRule="auto"/>
        <w:jc w:val="center"/>
        <w:rPr>
          <w:rFonts w:ascii="Arial" w:hAnsi="Arial" w:cs="Arial"/>
          <w:sz w:val="20"/>
          <w:szCs w:val="20"/>
        </w:rPr>
      </w:pPr>
      <w:r>
        <w:rPr>
          <w:rFonts w:ascii="Arial" w:hAnsi="Arial" w:cs="Arial"/>
          <w:sz w:val="20"/>
          <w:szCs w:val="20"/>
        </w:rPr>
        <w:t>Accepted: 21</w:t>
      </w:r>
      <w:r w:rsidRPr="00FC6F33">
        <w:rPr>
          <w:rFonts w:ascii="Arial" w:hAnsi="Arial" w:cs="Arial"/>
          <w:sz w:val="20"/>
          <w:szCs w:val="20"/>
          <w:vertAlign w:val="superscript"/>
        </w:rPr>
        <w:t>st</w:t>
      </w:r>
      <w:r>
        <w:rPr>
          <w:rFonts w:ascii="Arial" w:hAnsi="Arial" w:cs="Arial"/>
          <w:sz w:val="20"/>
          <w:szCs w:val="20"/>
        </w:rPr>
        <w:t xml:space="preserve"> August 2016</w:t>
      </w:r>
    </w:p>
    <w:p w:rsidR="00FC6F33" w:rsidRPr="00FC6F33" w:rsidRDefault="00FC6F33" w:rsidP="00FC6F33">
      <w:pPr>
        <w:pBdr>
          <w:bottom w:val="single" w:sz="4" w:space="1" w:color="auto"/>
        </w:pBdr>
        <w:spacing w:after="0" w:line="240" w:lineRule="auto"/>
        <w:ind w:left="360" w:right="396"/>
        <w:jc w:val="both"/>
        <w:rPr>
          <w:rFonts w:ascii="Arial" w:hAnsi="Arial" w:cs="Arial"/>
          <w:b/>
          <w:i/>
          <w:sz w:val="20"/>
          <w:szCs w:val="20"/>
        </w:rPr>
      </w:pPr>
      <w:r w:rsidRPr="00FC6F33">
        <w:rPr>
          <w:rFonts w:ascii="Arial" w:hAnsi="Arial" w:cs="Arial"/>
          <w:b/>
          <w:i/>
          <w:sz w:val="20"/>
          <w:szCs w:val="20"/>
        </w:rPr>
        <w:t>Abstract</w:t>
      </w:r>
    </w:p>
    <w:p w:rsidR="00FC6F33" w:rsidRPr="00FC6F33" w:rsidRDefault="00FC6F33" w:rsidP="00FC6F33">
      <w:pPr>
        <w:spacing w:after="0" w:line="240" w:lineRule="auto"/>
        <w:ind w:left="360" w:right="396"/>
        <w:jc w:val="both"/>
        <w:rPr>
          <w:rFonts w:ascii="Arial" w:hAnsi="Arial" w:cs="Arial"/>
          <w:b/>
          <w:sz w:val="20"/>
          <w:szCs w:val="20"/>
        </w:rPr>
      </w:pPr>
      <w:r w:rsidRPr="00FC6F33">
        <w:rPr>
          <w:rFonts w:ascii="Arial" w:hAnsi="Arial" w:cs="Arial"/>
          <w:b/>
          <w:sz w:val="20"/>
          <w:szCs w:val="20"/>
        </w:rPr>
        <w:t>Ovarian cancer represents the sixth most commonly diagnosed cancer among women in the world, and causes more deaths per year than any other cancer of the female reproductive system. Despite the high incidence and mortality rates, the etiology of this disease is poorly understood. The main objective of this study is to detect the relation of CA 125 levels with ‎the diagnosis and follow up of ovarian cancer patients, and to assess its role in the ‎diagnosis and follow up of ovarian cancer in Sudanese patients. Ovarian cancer Samples were examined for the socio-demographic characteristics, histological and cytological features and the CA 125 levels, which was measured from the serum of ovarian canc</w:t>
      </w:r>
      <w:r>
        <w:rPr>
          <w:rFonts w:ascii="Arial" w:hAnsi="Arial" w:cs="Arial"/>
          <w:b/>
          <w:sz w:val="20"/>
          <w:szCs w:val="20"/>
        </w:rPr>
        <w:t>er patients using Electrochemil</w:t>
      </w:r>
      <w:r w:rsidRPr="00FC6F33">
        <w:rPr>
          <w:rFonts w:ascii="Arial" w:hAnsi="Arial" w:cs="Arial"/>
          <w:b/>
          <w:sz w:val="20"/>
          <w:szCs w:val="20"/>
        </w:rPr>
        <w:t>minescence techniques by Roche Cobs e 411 instrument. Laboratory analysis of selected 124 ovarian cancer samples showed the following: CA125 level elevated (more than 35U/ml)  in 94 samples (75.8%) in the first reading of CA125 (before treatment), in the second sample (after treatment) showed increasing of CA125 level in 74 samples (59.68%), and the third sample (after treatment) showed increase of CA125 in 54 (43.55%), this result showed gradual  reduction in CA125 levels from first reading, to  second , and to third, in which the first samples mean was 1160_1837, second samples  mean was 510_930 and the means of third samples was 94_167. In conclusion CA125 levels elevated in ovarian cancer patients (75.8%) and these levels decreased with the ongoing therapy, which is important in the follow up of patients. The study recommended the using of CA125 in diagnosis and follow-up of ovarian cancer patients. Further studies should be done using large sample size.</w:t>
      </w:r>
    </w:p>
    <w:p w:rsidR="00FC6F33" w:rsidRPr="00FC6F33" w:rsidRDefault="00FC6F33" w:rsidP="00FC6F33">
      <w:pPr>
        <w:spacing w:after="0" w:line="240" w:lineRule="auto"/>
        <w:ind w:left="360" w:right="396"/>
        <w:jc w:val="both"/>
        <w:rPr>
          <w:rFonts w:ascii="Arial" w:hAnsi="Arial" w:cs="Arial"/>
          <w:b/>
          <w:sz w:val="20"/>
          <w:szCs w:val="20"/>
        </w:rPr>
      </w:pPr>
    </w:p>
    <w:p w:rsidR="00FC6F33" w:rsidRDefault="00FC6F33" w:rsidP="00FC6F33">
      <w:pPr>
        <w:pBdr>
          <w:bottom w:val="single" w:sz="4" w:space="1" w:color="auto"/>
        </w:pBdr>
        <w:spacing w:after="0" w:line="240" w:lineRule="auto"/>
        <w:ind w:left="360" w:right="396"/>
        <w:jc w:val="both"/>
        <w:rPr>
          <w:rFonts w:ascii="Arial" w:hAnsi="Arial" w:cs="Arial"/>
          <w:sz w:val="20"/>
          <w:szCs w:val="20"/>
        </w:rPr>
      </w:pPr>
      <w:r w:rsidRPr="00FC6F33">
        <w:rPr>
          <w:rFonts w:ascii="Arial" w:hAnsi="Arial" w:cs="Arial"/>
          <w:b/>
          <w:sz w:val="20"/>
          <w:szCs w:val="20"/>
        </w:rPr>
        <w:t>Keywords:</w:t>
      </w:r>
      <w:r w:rsidRPr="00FC6F33">
        <w:rPr>
          <w:rFonts w:ascii="Arial" w:hAnsi="Arial" w:cs="Arial"/>
          <w:sz w:val="20"/>
          <w:szCs w:val="20"/>
        </w:rPr>
        <w:t xml:space="preserve"> Ovarian cancer diagnosis; H&amp;E; Electrochemiluminescence; Sudan</w:t>
      </w:r>
      <w:r>
        <w:rPr>
          <w:rFonts w:ascii="Arial" w:hAnsi="Arial" w:cs="Arial"/>
          <w:sz w:val="20"/>
          <w:szCs w:val="20"/>
        </w:rPr>
        <w:t>.</w:t>
      </w:r>
    </w:p>
    <w:p w:rsidR="00FC6F33" w:rsidRDefault="00FC6F33" w:rsidP="00FC6F33">
      <w:pPr>
        <w:spacing w:after="0" w:line="240" w:lineRule="auto"/>
        <w:ind w:left="360" w:right="396"/>
        <w:jc w:val="both"/>
        <w:rPr>
          <w:rFonts w:ascii="Arial" w:hAnsi="Arial" w:cs="Arial"/>
          <w:sz w:val="20"/>
          <w:szCs w:val="20"/>
        </w:rPr>
      </w:pPr>
    </w:p>
    <w:p w:rsidR="0027037B" w:rsidRPr="00FC6F33" w:rsidRDefault="0027037B" w:rsidP="00FC6F33">
      <w:pPr>
        <w:spacing w:after="0" w:line="240" w:lineRule="auto"/>
        <w:ind w:left="360" w:right="396"/>
        <w:jc w:val="both"/>
        <w:rPr>
          <w:rFonts w:ascii="Arial" w:hAnsi="Arial" w:cs="Arial"/>
          <w:sz w:val="20"/>
          <w:szCs w:val="20"/>
        </w:rPr>
      </w:pPr>
    </w:p>
    <w:p w:rsidR="0027037B" w:rsidRPr="0027037B" w:rsidRDefault="00FC6F33" w:rsidP="00FC6F33">
      <w:pPr>
        <w:spacing w:after="0" w:line="240" w:lineRule="auto"/>
        <w:jc w:val="both"/>
        <w:rPr>
          <w:rFonts w:ascii="Arial" w:hAnsi="Arial" w:cs="Arial"/>
          <w:b/>
          <w:sz w:val="20"/>
          <w:szCs w:val="20"/>
        </w:rPr>
      </w:pPr>
      <w:r w:rsidRPr="0027037B">
        <w:rPr>
          <w:rFonts w:ascii="Arial" w:hAnsi="Arial" w:cs="Arial"/>
          <w:b/>
          <w:sz w:val="20"/>
          <w:szCs w:val="20"/>
        </w:rPr>
        <w:t>INTRODUCT</w:t>
      </w:r>
      <w:r w:rsidR="0027037B" w:rsidRPr="0027037B">
        <w:rPr>
          <w:rFonts w:ascii="Arial" w:hAnsi="Arial" w:cs="Arial"/>
          <w:b/>
          <w:sz w:val="20"/>
          <w:szCs w:val="20"/>
        </w:rPr>
        <w:t>ION</w:t>
      </w:r>
    </w:p>
    <w:p w:rsidR="0027037B" w:rsidRDefault="0027037B" w:rsidP="00FC6F33">
      <w:pPr>
        <w:spacing w:after="0" w:line="240" w:lineRule="auto"/>
        <w:jc w:val="both"/>
        <w:rPr>
          <w:rFonts w:ascii="Arial" w:hAnsi="Arial" w:cs="Arial"/>
          <w:sz w:val="20"/>
          <w:szCs w:val="20"/>
        </w:rPr>
      </w:pPr>
    </w:p>
    <w:p w:rsidR="00BD1E34" w:rsidRDefault="00BD1E34" w:rsidP="00FC6F33">
      <w:pPr>
        <w:spacing w:after="0" w:line="240" w:lineRule="auto"/>
        <w:jc w:val="both"/>
        <w:rPr>
          <w:rFonts w:ascii="Arial" w:hAnsi="Arial" w:cs="Arial"/>
          <w:sz w:val="20"/>
          <w:szCs w:val="20"/>
        </w:rPr>
        <w:sectPr w:rsidR="00BD1E34" w:rsidSect="00FC6F33">
          <w:pgSz w:w="12240" w:h="15840" w:code="1"/>
          <w:pgMar w:top="576" w:right="720" w:bottom="1008" w:left="864" w:header="706" w:footer="706" w:gutter="0"/>
          <w:cols w:space="708"/>
          <w:docGrid w:linePitch="360"/>
        </w:sectPr>
      </w:pPr>
    </w:p>
    <w:p w:rsidR="00BD1E34" w:rsidRDefault="00E217CD" w:rsidP="00FC6F33">
      <w:pPr>
        <w:spacing w:after="0" w:line="240" w:lineRule="auto"/>
        <w:jc w:val="both"/>
        <w:rPr>
          <w:rFonts w:ascii="Arial" w:hAnsi="Arial" w:cs="Arial"/>
          <w:sz w:val="20"/>
          <w:szCs w:val="20"/>
        </w:rPr>
      </w:pPr>
      <w:r w:rsidRPr="00FC6F33">
        <w:rPr>
          <w:rFonts w:ascii="Arial" w:hAnsi="Arial" w:cs="Arial"/>
          <w:sz w:val="20"/>
          <w:szCs w:val="20"/>
        </w:rPr>
        <w:lastRenderedPageBreak/>
        <w:t>T</w:t>
      </w:r>
      <w:r w:rsidR="008469BB" w:rsidRPr="00FC6F33">
        <w:rPr>
          <w:rFonts w:ascii="Arial" w:hAnsi="Arial" w:cs="Arial"/>
          <w:sz w:val="20"/>
          <w:szCs w:val="20"/>
        </w:rPr>
        <w:t>he</w:t>
      </w:r>
      <w:r w:rsidRPr="00FC6F33">
        <w:rPr>
          <w:rFonts w:ascii="Arial" w:hAnsi="Arial" w:cs="Arial"/>
          <w:sz w:val="20"/>
          <w:szCs w:val="20"/>
        </w:rPr>
        <w:t xml:space="preserve">re </w:t>
      </w:r>
      <w:r w:rsidR="00EE641D" w:rsidRPr="00FC6F33">
        <w:rPr>
          <w:rFonts w:ascii="Arial" w:hAnsi="Arial" w:cs="Arial"/>
          <w:sz w:val="20"/>
          <w:szCs w:val="20"/>
        </w:rPr>
        <w:t>are</w:t>
      </w:r>
      <w:r w:rsidR="008469BB" w:rsidRPr="00FC6F33">
        <w:rPr>
          <w:rFonts w:ascii="Arial" w:hAnsi="Arial" w:cs="Arial"/>
          <w:sz w:val="20"/>
          <w:szCs w:val="20"/>
        </w:rPr>
        <w:t xml:space="preserve"> 11</w:t>
      </w:r>
      <w:r w:rsidR="008469BB" w:rsidRPr="00FC6F33">
        <w:rPr>
          <w:rFonts w:ascii="Arial" w:hAnsi="Arial" w:cs="Arial"/>
          <w:sz w:val="20"/>
          <w:szCs w:val="20"/>
          <w:vertAlign w:val="superscript"/>
        </w:rPr>
        <w:t>th</w:t>
      </w:r>
      <w:r w:rsidR="008469BB" w:rsidRPr="00FC6F33">
        <w:rPr>
          <w:rFonts w:ascii="Arial" w:hAnsi="Arial" w:cs="Arial"/>
          <w:sz w:val="20"/>
          <w:szCs w:val="20"/>
        </w:rPr>
        <w:t xml:space="preserve"> most common cancer</w:t>
      </w:r>
      <w:r w:rsidR="00EE641D" w:rsidRPr="00FC6F33">
        <w:rPr>
          <w:rFonts w:ascii="Arial" w:hAnsi="Arial" w:cs="Arial"/>
          <w:sz w:val="20"/>
          <w:szCs w:val="20"/>
        </w:rPr>
        <w:t>s</w:t>
      </w:r>
      <w:r w:rsidR="008469BB" w:rsidRPr="00FC6F33">
        <w:rPr>
          <w:rFonts w:ascii="Arial" w:hAnsi="Arial" w:cs="Arial"/>
          <w:sz w:val="20"/>
          <w:szCs w:val="20"/>
        </w:rPr>
        <w:t xml:space="preserve"> among women, ovarian cancer is the fourth leading cause of cancer-related death among women, and is the deadliest of gynecologic cancers. Mortality rates are slightly higher for Caucasian women than for A</w:t>
      </w:r>
      <w:r w:rsidR="008C5622" w:rsidRPr="00FC6F33">
        <w:rPr>
          <w:rFonts w:ascii="Arial" w:hAnsi="Arial" w:cs="Arial"/>
          <w:sz w:val="20"/>
          <w:szCs w:val="20"/>
        </w:rPr>
        <w:t xml:space="preserve">frican-American women </w:t>
      </w:r>
      <w:r w:rsidR="008C5622" w:rsidRPr="00533E79">
        <w:rPr>
          <w:rFonts w:ascii="Arial" w:hAnsi="Arial" w:cs="Arial"/>
          <w:sz w:val="20"/>
          <w:szCs w:val="20"/>
        </w:rPr>
        <w:t>(</w:t>
      </w:r>
      <w:r w:rsidR="00533E79" w:rsidRPr="00533E79">
        <w:rPr>
          <w:rFonts w:ascii="Arial" w:hAnsi="Arial" w:cs="Arial"/>
          <w:sz w:val="20"/>
          <w:szCs w:val="20"/>
        </w:rPr>
        <w:t>WHO, 2014</w:t>
      </w:r>
      <w:r w:rsidR="008469BB" w:rsidRPr="00533E79">
        <w:rPr>
          <w:rFonts w:ascii="Arial" w:hAnsi="Arial" w:cs="Arial"/>
          <w:sz w:val="20"/>
          <w:szCs w:val="20"/>
        </w:rPr>
        <w:t>)</w:t>
      </w:r>
      <w:r w:rsidRPr="00FC6F33">
        <w:rPr>
          <w:rFonts w:ascii="Arial" w:hAnsi="Arial" w:cs="Arial"/>
          <w:sz w:val="20"/>
          <w:szCs w:val="20"/>
        </w:rPr>
        <w:t xml:space="preserve">. </w:t>
      </w:r>
      <w:r w:rsidR="008469BB" w:rsidRPr="00FC6F33">
        <w:rPr>
          <w:rFonts w:ascii="Arial" w:hAnsi="Arial" w:cs="Arial"/>
          <w:sz w:val="20"/>
          <w:szCs w:val="20"/>
        </w:rPr>
        <w:t xml:space="preserve">During </w:t>
      </w:r>
      <w:r w:rsidR="002C1BD4" w:rsidRPr="00FC6F33">
        <w:rPr>
          <w:rFonts w:ascii="Arial" w:hAnsi="Arial" w:cs="Arial"/>
          <w:sz w:val="20"/>
          <w:szCs w:val="20"/>
        </w:rPr>
        <w:t>the years (</w:t>
      </w:r>
      <w:r w:rsidR="008469BB" w:rsidRPr="00FC6F33">
        <w:rPr>
          <w:rFonts w:ascii="Arial" w:hAnsi="Arial" w:cs="Arial"/>
          <w:sz w:val="20"/>
          <w:szCs w:val="20"/>
        </w:rPr>
        <w:t>2009–2010</w:t>
      </w:r>
      <w:r w:rsidR="002C1BD4" w:rsidRPr="00FC6F33">
        <w:rPr>
          <w:rFonts w:ascii="Arial" w:hAnsi="Arial" w:cs="Arial"/>
          <w:sz w:val="20"/>
          <w:szCs w:val="20"/>
        </w:rPr>
        <w:t>)</w:t>
      </w:r>
      <w:r w:rsidR="008469BB" w:rsidRPr="00FC6F33">
        <w:rPr>
          <w:rFonts w:ascii="Arial" w:hAnsi="Arial" w:cs="Arial"/>
          <w:sz w:val="20"/>
          <w:szCs w:val="20"/>
        </w:rPr>
        <w:t xml:space="preserve">, 6771 new cancer cases were registered in Sudan. Of those, 3646 </w:t>
      </w:r>
    </w:p>
    <w:p w:rsidR="00BD1E34" w:rsidRDefault="00BD1E34" w:rsidP="00FC6F33">
      <w:pPr>
        <w:spacing w:after="0" w:line="240" w:lineRule="auto"/>
        <w:jc w:val="both"/>
        <w:rPr>
          <w:rFonts w:ascii="Arial" w:hAnsi="Arial" w:cs="Arial"/>
          <w:sz w:val="20"/>
          <w:szCs w:val="20"/>
        </w:rPr>
      </w:pPr>
    </w:p>
    <w:p w:rsidR="00BD1E34" w:rsidRDefault="00BD1E34" w:rsidP="00FC6F33">
      <w:pPr>
        <w:spacing w:after="0" w:line="240" w:lineRule="auto"/>
        <w:jc w:val="both"/>
        <w:rPr>
          <w:rFonts w:ascii="Arial" w:hAnsi="Arial" w:cs="Arial"/>
          <w:sz w:val="20"/>
          <w:szCs w:val="20"/>
        </w:rPr>
      </w:pPr>
    </w:p>
    <w:p w:rsidR="00BD1E34" w:rsidRPr="00BD1E34" w:rsidRDefault="00266A49" w:rsidP="00FC6F33">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139700</wp:posOffset>
                </wp:positionV>
                <wp:extent cx="2145665" cy="0"/>
                <wp:effectExtent l="9525" t="7620" r="6985"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05pt;margin-top:11pt;width:168.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GN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"/>
            </w:pict>
          </mc:Fallback>
        </mc:AlternateContent>
      </w:r>
    </w:p>
    <w:p w:rsidR="00BD1E34" w:rsidRPr="00BD1E34" w:rsidRDefault="00BD1E34" w:rsidP="00FC6F33">
      <w:pPr>
        <w:spacing w:after="0" w:line="240" w:lineRule="auto"/>
        <w:jc w:val="both"/>
        <w:rPr>
          <w:rFonts w:ascii="Arial" w:hAnsi="Arial" w:cs="Arial"/>
          <w:sz w:val="18"/>
          <w:szCs w:val="18"/>
        </w:rPr>
      </w:pPr>
      <w:r w:rsidRPr="00BD1E34">
        <w:rPr>
          <w:rFonts w:ascii="Arial" w:hAnsi="Arial" w:cs="Arial"/>
          <w:sz w:val="18"/>
          <w:szCs w:val="18"/>
        </w:rPr>
        <w:t>Corresponding author email: raniamahgoub21@gmail.com</w:t>
      </w:r>
    </w:p>
    <w:p w:rsidR="002C1743" w:rsidRPr="00FC6F33" w:rsidRDefault="008469BB" w:rsidP="00FC6F33">
      <w:pPr>
        <w:spacing w:after="0" w:line="240" w:lineRule="auto"/>
        <w:jc w:val="both"/>
        <w:rPr>
          <w:rFonts w:ascii="Arial" w:hAnsi="Arial" w:cs="Arial"/>
          <w:sz w:val="20"/>
          <w:szCs w:val="20"/>
        </w:rPr>
      </w:pPr>
      <w:r w:rsidRPr="00FC6F33">
        <w:rPr>
          <w:rFonts w:ascii="Arial" w:hAnsi="Arial" w:cs="Arial"/>
          <w:sz w:val="20"/>
          <w:szCs w:val="20"/>
        </w:rPr>
        <w:lastRenderedPageBreak/>
        <w:t xml:space="preserve">(53.8%) cases were in women and 3125 (46.2%) were in men. The most commonly diagnosed cancer among women was breast followed by leukemia, cervix, and </w:t>
      </w:r>
      <w:r w:rsidR="008C5622" w:rsidRPr="00FC6F33">
        <w:rPr>
          <w:rFonts w:ascii="Arial" w:hAnsi="Arial" w:cs="Arial"/>
          <w:sz w:val="20"/>
          <w:szCs w:val="20"/>
        </w:rPr>
        <w:t>ovar</w:t>
      </w:r>
      <w:r w:rsidR="00533E79">
        <w:rPr>
          <w:rFonts w:ascii="Arial" w:hAnsi="Arial" w:cs="Arial"/>
          <w:sz w:val="20"/>
          <w:szCs w:val="20"/>
        </w:rPr>
        <w:t xml:space="preserve">y </w:t>
      </w:r>
      <w:r w:rsidR="00533E79" w:rsidRPr="00533E79">
        <w:rPr>
          <w:rFonts w:ascii="Arial" w:hAnsi="Arial" w:cs="Arial"/>
          <w:sz w:val="20"/>
          <w:szCs w:val="20"/>
        </w:rPr>
        <w:t>(WHO, 2014)</w:t>
      </w:r>
      <w:r w:rsidR="008C5622" w:rsidRPr="00FC6F33">
        <w:rPr>
          <w:rFonts w:ascii="Arial" w:hAnsi="Arial" w:cs="Arial"/>
          <w:sz w:val="20"/>
          <w:szCs w:val="20"/>
        </w:rPr>
        <w:t xml:space="preserve">. </w:t>
      </w:r>
      <w:r w:rsidRPr="00FC6F33">
        <w:rPr>
          <w:rFonts w:ascii="Arial" w:hAnsi="Arial" w:cs="Arial"/>
          <w:sz w:val="20"/>
          <w:szCs w:val="20"/>
        </w:rPr>
        <w:t>Serum level of CA125 is used to monitor response to chemotherapy, relapse, and disease progression in ovarian cancer patients. In Sudan the diagnosis of ovarian canc</w:t>
      </w:r>
      <w:r w:rsidR="00EE641D" w:rsidRPr="00FC6F33">
        <w:rPr>
          <w:rFonts w:ascii="Arial" w:hAnsi="Arial" w:cs="Arial"/>
          <w:sz w:val="20"/>
          <w:szCs w:val="20"/>
        </w:rPr>
        <w:t>er detected by using ultrasound</w:t>
      </w:r>
      <w:r w:rsidRPr="00FC6F33">
        <w:rPr>
          <w:rFonts w:ascii="Arial" w:hAnsi="Arial" w:cs="Arial"/>
          <w:sz w:val="20"/>
          <w:szCs w:val="20"/>
        </w:rPr>
        <w:t>,</w:t>
      </w:r>
      <w:r w:rsidR="008C5622" w:rsidRPr="00FC6F33">
        <w:rPr>
          <w:rFonts w:ascii="Arial" w:hAnsi="Arial" w:cs="Arial"/>
          <w:sz w:val="20"/>
          <w:szCs w:val="20"/>
        </w:rPr>
        <w:t xml:space="preserve"> </w:t>
      </w:r>
      <w:r w:rsidR="00EE641D" w:rsidRPr="00FC6F33">
        <w:rPr>
          <w:rFonts w:ascii="Arial" w:hAnsi="Arial" w:cs="Arial"/>
          <w:sz w:val="20"/>
          <w:szCs w:val="20"/>
        </w:rPr>
        <w:t xml:space="preserve">CA125 levels, </w:t>
      </w:r>
      <w:r w:rsidRPr="00FC6F33">
        <w:rPr>
          <w:rFonts w:ascii="Arial" w:hAnsi="Arial" w:cs="Arial"/>
          <w:sz w:val="20"/>
          <w:szCs w:val="20"/>
        </w:rPr>
        <w:t xml:space="preserve">and fine needle aspiration or biopsy (FNA) for </w:t>
      </w:r>
      <w:r w:rsidR="008C5622" w:rsidRPr="00FC6F33">
        <w:rPr>
          <w:rFonts w:ascii="Arial" w:hAnsi="Arial" w:cs="Arial"/>
          <w:sz w:val="20"/>
          <w:szCs w:val="20"/>
        </w:rPr>
        <w:t>histological diagnosis</w:t>
      </w:r>
      <w:r w:rsidR="00533E79">
        <w:rPr>
          <w:rFonts w:ascii="Arial" w:hAnsi="Arial" w:cs="Arial"/>
          <w:sz w:val="20"/>
          <w:szCs w:val="20"/>
        </w:rPr>
        <w:t xml:space="preserve"> (SJPH, 2015).</w:t>
      </w:r>
    </w:p>
    <w:p w:rsidR="00516649" w:rsidRDefault="00113942" w:rsidP="00533E79">
      <w:pPr>
        <w:spacing w:after="0" w:line="240" w:lineRule="auto"/>
        <w:ind w:firstLine="180"/>
        <w:jc w:val="both"/>
        <w:rPr>
          <w:rFonts w:ascii="Arial" w:hAnsi="Arial" w:cs="Arial"/>
          <w:sz w:val="20"/>
          <w:szCs w:val="20"/>
        </w:rPr>
      </w:pPr>
      <w:r w:rsidRPr="00FC6F33">
        <w:rPr>
          <w:rFonts w:ascii="Arial" w:hAnsi="Arial" w:cs="Arial"/>
          <w:sz w:val="20"/>
          <w:szCs w:val="20"/>
        </w:rPr>
        <w:t xml:space="preserve">A tumor marker is a biomarker found in the blood, urine, or body tissues that can be elevated </w:t>
      </w:r>
      <w:r w:rsidRPr="00FC6F33">
        <w:rPr>
          <w:rFonts w:ascii="Arial" w:hAnsi="Arial" w:cs="Arial"/>
          <w:sz w:val="20"/>
          <w:szCs w:val="20"/>
          <w:cs/>
        </w:rPr>
        <w:t>‎</w:t>
      </w:r>
      <w:r w:rsidRPr="00FC6F33">
        <w:rPr>
          <w:rFonts w:ascii="Arial" w:hAnsi="Arial" w:cs="Arial"/>
          <w:sz w:val="20"/>
          <w:szCs w:val="20"/>
        </w:rPr>
        <w:t xml:space="preserve">in cancer, </w:t>
      </w:r>
    </w:p>
    <w:p w:rsidR="00516649" w:rsidRDefault="001E39B6" w:rsidP="00516649">
      <w:pPr>
        <w:spacing w:after="0" w:line="240" w:lineRule="auto"/>
        <w:jc w:val="both"/>
        <w:rPr>
          <w:rFonts w:ascii="Arial" w:hAnsi="Arial" w:cs="Arial"/>
          <w:sz w:val="20"/>
          <w:szCs w:val="20"/>
        </w:rPr>
      </w:pPr>
      <w:r>
        <w:rPr>
          <w:rFonts w:ascii="Arial" w:hAnsi="Arial" w:cs="Arial"/>
          <w:sz w:val="20"/>
          <w:szCs w:val="20"/>
        </w:rPr>
        <w:lastRenderedPageBreak/>
        <w:t>J. Med. Med. Sci. 14</w:t>
      </w:r>
    </w:p>
    <w:p w:rsidR="00516649" w:rsidRDefault="00516649" w:rsidP="00516649">
      <w:pPr>
        <w:spacing w:after="0" w:line="240" w:lineRule="auto"/>
        <w:jc w:val="both"/>
        <w:rPr>
          <w:rFonts w:ascii="Arial" w:hAnsi="Arial" w:cs="Arial"/>
          <w:sz w:val="20"/>
          <w:szCs w:val="20"/>
        </w:rPr>
      </w:pPr>
    </w:p>
    <w:p w:rsidR="00516649" w:rsidRDefault="00516649" w:rsidP="00516649">
      <w:pPr>
        <w:spacing w:after="0" w:line="240" w:lineRule="auto"/>
        <w:jc w:val="both"/>
        <w:rPr>
          <w:rFonts w:ascii="Arial" w:hAnsi="Arial" w:cs="Arial"/>
          <w:sz w:val="20"/>
          <w:szCs w:val="20"/>
        </w:rPr>
      </w:pPr>
    </w:p>
    <w:p w:rsidR="00516649" w:rsidRDefault="00516649" w:rsidP="00516649">
      <w:pPr>
        <w:spacing w:after="0" w:line="240" w:lineRule="auto"/>
        <w:jc w:val="both"/>
        <w:rPr>
          <w:rFonts w:ascii="Arial" w:hAnsi="Arial" w:cs="Arial"/>
          <w:sz w:val="20"/>
          <w:szCs w:val="20"/>
        </w:rPr>
      </w:pPr>
    </w:p>
    <w:p w:rsidR="00113942" w:rsidRPr="00FC6F33" w:rsidRDefault="00113942" w:rsidP="00516649">
      <w:pPr>
        <w:spacing w:after="0" w:line="240" w:lineRule="auto"/>
        <w:jc w:val="both"/>
        <w:rPr>
          <w:rFonts w:ascii="Arial" w:hAnsi="Arial" w:cs="Arial"/>
          <w:sz w:val="20"/>
          <w:szCs w:val="20"/>
        </w:rPr>
      </w:pPr>
      <w:r w:rsidRPr="00FC6F33">
        <w:rPr>
          <w:rFonts w:ascii="Arial" w:hAnsi="Arial" w:cs="Arial"/>
          <w:sz w:val="20"/>
          <w:szCs w:val="20"/>
        </w:rPr>
        <w:t xml:space="preserve">among other tissue types. There are many different tumor markers, each indicative of </w:t>
      </w:r>
      <w:r w:rsidRPr="00FC6F33">
        <w:rPr>
          <w:rFonts w:ascii="Arial" w:hAnsi="Arial" w:cs="Arial"/>
          <w:sz w:val="20"/>
          <w:szCs w:val="20"/>
          <w:cs/>
        </w:rPr>
        <w:t>‎</w:t>
      </w:r>
      <w:r w:rsidRPr="00FC6F33">
        <w:rPr>
          <w:rFonts w:ascii="Arial" w:hAnsi="Arial" w:cs="Arial"/>
          <w:sz w:val="20"/>
          <w:szCs w:val="20"/>
        </w:rPr>
        <w:t xml:space="preserve">a particular disease process, and they are used in oncology to help detect the presence of </w:t>
      </w:r>
      <w:r w:rsidRPr="00FC6F33">
        <w:rPr>
          <w:rFonts w:ascii="Arial" w:hAnsi="Arial" w:cs="Arial"/>
          <w:sz w:val="20"/>
          <w:szCs w:val="20"/>
          <w:cs/>
        </w:rPr>
        <w:t>‎</w:t>
      </w:r>
      <w:r w:rsidR="003C1472" w:rsidRPr="00FC6F33">
        <w:rPr>
          <w:rFonts w:ascii="Arial" w:hAnsi="Arial" w:cs="Arial"/>
          <w:sz w:val="20"/>
          <w:szCs w:val="20"/>
        </w:rPr>
        <w:t>cancer</w:t>
      </w:r>
      <w:r w:rsidR="006556C4" w:rsidRPr="00FC6F33">
        <w:rPr>
          <w:rFonts w:ascii="Arial" w:hAnsi="Arial" w:cs="Arial"/>
          <w:sz w:val="20"/>
          <w:szCs w:val="20"/>
        </w:rPr>
        <w:t xml:space="preserve">. </w:t>
      </w:r>
      <w:r w:rsidRPr="00FC6F33">
        <w:rPr>
          <w:rFonts w:ascii="Arial" w:hAnsi="Arial" w:cs="Arial"/>
          <w:sz w:val="20"/>
          <w:szCs w:val="20"/>
        </w:rPr>
        <w:t xml:space="preserve">Most tumor markers are tumor antigens, but not all tumor antigens can </w:t>
      </w:r>
      <w:r w:rsidRPr="00FC6F33">
        <w:rPr>
          <w:rFonts w:ascii="Arial" w:hAnsi="Arial" w:cs="Arial"/>
          <w:sz w:val="20"/>
          <w:szCs w:val="20"/>
          <w:cs/>
        </w:rPr>
        <w:t>‎</w:t>
      </w:r>
      <w:r w:rsidR="00A21FCC" w:rsidRPr="00FC6F33">
        <w:rPr>
          <w:rFonts w:ascii="Arial" w:hAnsi="Arial" w:cs="Arial"/>
          <w:sz w:val="20"/>
          <w:szCs w:val="20"/>
        </w:rPr>
        <w:t>be used as tumor markers</w:t>
      </w:r>
      <w:r w:rsidR="00533E79">
        <w:rPr>
          <w:rFonts w:ascii="Arial" w:hAnsi="Arial" w:cs="Arial"/>
          <w:sz w:val="20"/>
          <w:szCs w:val="20"/>
        </w:rPr>
        <w:t xml:space="preserve"> (</w:t>
      </w:r>
      <w:r w:rsidR="00533E79" w:rsidRPr="00533E79">
        <w:rPr>
          <w:rFonts w:ascii="Arial" w:hAnsi="Arial" w:cs="Arial"/>
          <w:sz w:val="20"/>
          <w:szCs w:val="20"/>
        </w:rPr>
        <w:t>Brandtzaeg</w:t>
      </w:r>
      <w:r w:rsidR="00533E79">
        <w:rPr>
          <w:rFonts w:ascii="Arial" w:hAnsi="Arial" w:cs="Arial"/>
          <w:sz w:val="20"/>
          <w:szCs w:val="20"/>
        </w:rPr>
        <w:t xml:space="preserve">, 1998). </w:t>
      </w:r>
      <w:r w:rsidRPr="00FC6F33">
        <w:rPr>
          <w:rFonts w:ascii="Arial" w:hAnsi="Arial" w:cs="Arial"/>
          <w:sz w:val="20"/>
          <w:szCs w:val="20"/>
        </w:rPr>
        <w:t>CA 125 is a protein that is a so-called tumor marker or biomarker, CA 125 is present in greater concentration in ovarian cancer cells than in other cells. It was first identified in the early 1980s, and the function of the CA 125 protein is not currently u</w:t>
      </w:r>
      <w:r w:rsidR="00B36648" w:rsidRPr="00FC6F33">
        <w:rPr>
          <w:rFonts w:ascii="Arial" w:hAnsi="Arial" w:cs="Arial"/>
          <w:sz w:val="20"/>
          <w:szCs w:val="20"/>
        </w:rPr>
        <w:t>nderstood</w:t>
      </w:r>
      <w:r w:rsidR="009359DC">
        <w:rPr>
          <w:rFonts w:ascii="Arial" w:hAnsi="Arial" w:cs="Arial"/>
          <w:sz w:val="20"/>
          <w:szCs w:val="20"/>
        </w:rPr>
        <w:t xml:space="preserve"> (</w:t>
      </w:r>
      <w:r w:rsidR="009359DC" w:rsidRPr="00533E79">
        <w:rPr>
          <w:rFonts w:ascii="Arial" w:hAnsi="Arial" w:cs="Arial"/>
          <w:sz w:val="20"/>
          <w:szCs w:val="20"/>
        </w:rPr>
        <w:t>Suprasert and Chalapati</w:t>
      </w:r>
      <w:r w:rsidR="009359DC">
        <w:rPr>
          <w:rFonts w:ascii="Arial" w:hAnsi="Arial" w:cs="Arial"/>
          <w:sz w:val="20"/>
          <w:szCs w:val="20"/>
        </w:rPr>
        <w:t>, 2013).</w:t>
      </w:r>
      <w:r w:rsidR="006556C4" w:rsidRPr="00FC6F33">
        <w:rPr>
          <w:rFonts w:ascii="Arial" w:hAnsi="Arial" w:cs="Arial"/>
          <w:sz w:val="20"/>
          <w:szCs w:val="20"/>
        </w:rPr>
        <w:t xml:space="preserve"> </w:t>
      </w:r>
      <w:r w:rsidRPr="00FC6F33">
        <w:rPr>
          <w:rFonts w:ascii="Arial" w:hAnsi="Arial" w:cs="Arial"/>
          <w:sz w:val="20"/>
          <w:szCs w:val="20"/>
        </w:rPr>
        <w:t>CA 125 is usually measured from a venous blood sample. It can also be measured in fluid from the chest or abdominal cavity. The tests currently in use are all based upon the use of an antibody that is directed against the CA 125 protein (monoclonal antibody technique).</w:t>
      </w:r>
      <w:r w:rsidR="006556C4" w:rsidRPr="00FC6F33">
        <w:rPr>
          <w:rFonts w:ascii="Arial" w:hAnsi="Arial" w:cs="Arial"/>
          <w:sz w:val="20"/>
          <w:szCs w:val="20"/>
        </w:rPr>
        <w:t xml:space="preserve"> </w:t>
      </w:r>
      <w:r w:rsidRPr="00FC6F33">
        <w:rPr>
          <w:rFonts w:ascii="Arial" w:hAnsi="Arial" w:cs="Arial"/>
          <w:sz w:val="20"/>
          <w:szCs w:val="20"/>
        </w:rPr>
        <w:t>The normal values for CA 125 may vary slightly among individual laboratories. In most laboratories, th</w:t>
      </w:r>
      <w:r w:rsidR="00B36648" w:rsidRPr="00FC6F33">
        <w:rPr>
          <w:rFonts w:ascii="Arial" w:hAnsi="Arial" w:cs="Arial"/>
          <w:sz w:val="20"/>
          <w:szCs w:val="20"/>
        </w:rPr>
        <w:t>e normal value is 0-35 units/ml</w:t>
      </w:r>
      <w:r w:rsidR="00533E79">
        <w:rPr>
          <w:rFonts w:ascii="Arial" w:hAnsi="Arial" w:cs="Arial"/>
          <w:sz w:val="20"/>
          <w:szCs w:val="20"/>
        </w:rPr>
        <w:t xml:space="preserve"> (</w:t>
      </w:r>
      <w:r w:rsidR="00533E79" w:rsidRPr="00533E79">
        <w:rPr>
          <w:rFonts w:ascii="Arial" w:hAnsi="Arial" w:cs="Arial"/>
          <w:sz w:val="20"/>
          <w:szCs w:val="20"/>
        </w:rPr>
        <w:t>Suprasert and Chalapati</w:t>
      </w:r>
      <w:r w:rsidR="00533E79">
        <w:rPr>
          <w:rFonts w:ascii="Arial" w:hAnsi="Arial" w:cs="Arial"/>
          <w:sz w:val="20"/>
          <w:szCs w:val="20"/>
        </w:rPr>
        <w:t>, 2013).</w:t>
      </w:r>
    </w:p>
    <w:p w:rsidR="00A21FCC" w:rsidRDefault="00113942" w:rsidP="00533E79">
      <w:pPr>
        <w:spacing w:after="0" w:line="240" w:lineRule="auto"/>
        <w:ind w:firstLine="180"/>
        <w:jc w:val="both"/>
        <w:rPr>
          <w:rFonts w:ascii="Arial" w:hAnsi="Arial" w:cs="Arial"/>
          <w:sz w:val="20"/>
          <w:szCs w:val="20"/>
        </w:rPr>
      </w:pPr>
      <w:r w:rsidRPr="00FC6F33">
        <w:rPr>
          <w:rFonts w:ascii="Arial" w:hAnsi="Arial" w:cs="Arial"/>
          <w:sz w:val="20"/>
          <w:szCs w:val="20"/>
        </w:rPr>
        <w:t>The potential role of CA-125 for the early detection of ovarian cancer is controversial and has not yet been adopted for widespread screening efforts in asymptomatic women.</w:t>
      </w:r>
      <w:r w:rsidR="006556C4" w:rsidRPr="00FC6F33">
        <w:rPr>
          <w:rFonts w:ascii="Arial" w:hAnsi="Arial" w:cs="Arial"/>
          <w:sz w:val="20"/>
          <w:szCs w:val="20"/>
        </w:rPr>
        <w:t xml:space="preserve"> Although CA 125 has been used clinically for over 20 years, its use in some settings is still poorly defined, and the social and emotional impact of t</w:t>
      </w:r>
      <w:r w:rsidR="008D459B" w:rsidRPr="00FC6F33">
        <w:rPr>
          <w:rFonts w:ascii="Arial" w:hAnsi="Arial" w:cs="Arial"/>
          <w:sz w:val="20"/>
          <w:szCs w:val="20"/>
        </w:rPr>
        <w:t>his test on patients is immense</w:t>
      </w:r>
      <w:r w:rsidR="009359DC">
        <w:rPr>
          <w:rFonts w:ascii="Arial" w:hAnsi="Arial" w:cs="Arial"/>
          <w:sz w:val="20"/>
          <w:szCs w:val="20"/>
        </w:rPr>
        <w:t xml:space="preserve"> (</w:t>
      </w:r>
      <w:r w:rsidR="009359DC" w:rsidRPr="009359DC">
        <w:rPr>
          <w:rFonts w:ascii="Arial" w:hAnsi="Arial" w:cs="Arial"/>
          <w:sz w:val="20"/>
          <w:szCs w:val="20"/>
        </w:rPr>
        <w:t xml:space="preserve">Pepin </w:t>
      </w:r>
      <w:r w:rsidR="009359DC" w:rsidRPr="00091C83">
        <w:rPr>
          <w:rFonts w:ascii="Arial" w:hAnsi="Arial" w:cs="Arial"/>
          <w:i/>
          <w:sz w:val="20"/>
          <w:szCs w:val="20"/>
        </w:rPr>
        <w:t>et al.,</w:t>
      </w:r>
      <w:r w:rsidR="009359DC" w:rsidRPr="009359DC">
        <w:rPr>
          <w:rFonts w:ascii="Arial" w:hAnsi="Arial" w:cs="Arial"/>
          <w:sz w:val="20"/>
          <w:szCs w:val="20"/>
        </w:rPr>
        <w:t xml:space="preserve"> 2011</w:t>
      </w:r>
      <w:r w:rsidR="009359DC">
        <w:rPr>
          <w:rFonts w:ascii="Arial" w:hAnsi="Arial" w:cs="Arial"/>
          <w:sz w:val="20"/>
          <w:szCs w:val="20"/>
        </w:rPr>
        <w:t>).</w:t>
      </w:r>
      <w:r w:rsidR="006556C4" w:rsidRPr="00FC6F33">
        <w:rPr>
          <w:rFonts w:ascii="Arial" w:hAnsi="Arial" w:cs="Arial"/>
          <w:sz w:val="20"/>
          <w:szCs w:val="20"/>
        </w:rPr>
        <w:t xml:space="preserve"> </w:t>
      </w:r>
    </w:p>
    <w:p w:rsidR="0027037B" w:rsidRDefault="0027037B" w:rsidP="00FC6F33">
      <w:pPr>
        <w:spacing w:after="0" w:line="240" w:lineRule="auto"/>
        <w:jc w:val="both"/>
        <w:rPr>
          <w:rFonts w:ascii="Arial" w:hAnsi="Arial" w:cs="Arial"/>
          <w:sz w:val="20"/>
          <w:szCs w:val="20"/>
        </w:rPr>
      </w:pPr>
    </w:p>
    <w:p w:rsidR="0027037B" w:rsidRPr="00FC6F33" w:rsidRDefault="0027037B" w:rsidP="00FC6F33">
      <w:pPr>
        <w:spacing w:after="0" w:line="240" w:lineRule="auto"/>
        <w:jc w:val="both"/>
        <w:rPr>
          <w:rFonts w:ascii="Arial" w:hAnsi="Arial" w:cs="Arial"/>
          <w:sz w:val="20"/>
          <w:szCs w:val="20"/>
        </w:rPr>
      </w:pPr>
    </w:p>
    <w:p w:rsidR="00127CE1" w:rsidRPr="00FC6F33" w:rsidRDefault="00127CE1" w:rsidP="00FC6F33">
      <w:pPr>
        <w:spacing w:after="0" w:line="240" w:lineRule="auto"/>
        <w:jc w:val="both"/>
        <w:rPr>
          <w:rFonts w:ascii="Arial" w:hAnsi="Arial" w:cs="Arial"/>
          <w:sz w:val="20"/>
          <w:szCs w:val="20"/>
        </w:rPr>
      </w:pPr>
      <w:r w:rsidRPr="00FC6F33">
        <w:rPr>
          <w:rFonts w:ascii="Arial" w:hAnsi="Arial" w:cs="Arial"/>
          <w:b/>
          <w:bCs/>
          <w:sz w:val="20"/>
          <w:szCs w:val="20"/>
        </w:rPr>
        <w:t>DEFINITION OF STUDY AND STUDY AREA</w:t>
      </w:r>
    </w:p>
    <w:p w:rsidR="0027037B" w:rsidRPr="00516649" w:rsidRDefault="0027037B" w:rsidP="00FC6F33">
      <w:pPr>
        <w:spacing w:after="0" w:line="240" w:lineRule="auto"/>
        <w:jc w:val="both"/>
        <w:rPr>
          <w:rFonts w:ascii="Arial" w:hAnsi="Arial" w:cs="Arial"/>
          <w:sz w:val="18"/>
          <w:szCs w:val="18"/>
        </w:rPr>
      </w:pPr>
    </w:p>
    <w:p w:rsidR="00AE165D" w:rsidRDefault="00127CE1" w:rsidP="00FC6F33">
      <w:pPr>
        <w:spacing w:after="0" w:line="240" w:lineRule="auto"/>
        <w:jc w:val="both"/>
        <w:rPr>
          <w:rFonts w:ascii="Arial" w:hAnsi="Arial" w:cs="Arial"/>
          <w:sz w:val="20"/>
          <w:szCs w:val="20"/>
        </w:rPr>
      </w:pPr>
      <w:r w:rsidRPr="00FC6F33">
        <w:rPr>
          <w:rFonts w:ascii="Arial" w:hAnsi="Arial" w:cs="Arial"/>
          <w:sz w:val="20"/>
          <w:szCs w:val="20"/>
        </w:rPr>
        <w:t>Retrospective and hospital case</w:t>
      </w:r>
      <w:r w:rsidR="009359DC">
        <w:rPr>
          <w:rFonts w:ascii="Arial" w:hAnsi="Arial" w:cs="Arial"/>
          <w:sz w:val="20"/>
          <w:szCs w:val="20"/>
        </w:rPr>
        <w:t xml:space="preserve"> study to assess the role of CA</w:t>
      </w:r>
      <w:r w:rsidRPr="00FC6F33">
        <w:rPr>
          <w:rFonts w:ascii="Arial" w:hAnsi="Arial" w:cs="Arial"/>
          <w:sz w:val="20"/>
          <w:szCs w:val="20"/>
        </w:rPr>
        <w:t>125 levels in the diagnosis and follow up</w:t>
      </w:r>
      <w:r w:rsidR="00AE165D" w:rsidRPr="00FC6F33">
        <w:rPr>
          <w:rFonts w:ascii="Arial" w:hAnsi="Arial" w:cs="Arial"/>
          <w:sz w:val="20"/>
          <w:szCs w:val="20"/>
        </w:rPr>
        <w:t xml:space="preserve"> of </w:t>
      </w:r>
      <w:r w:rsidR="009359DC">
        <w:rPr>
          <w:rFonts w:ascii="Arial" w:hAnsi="Arial" w:cs="Arial"/>
          <w:sz w:val="20"/>
          <w:szCs w:val="20"/>
        </w:rPr>
        <w:t>ovarian cancer,</w:t>
      </w:r>
      <w:r w:rsidRPr="00FC6F33">
        <w:rPr>
          <w:rFonts w:ascii="Arial" w:hAnsi="Arial" w:cs="Arial"/>
          <w:sz w:val="20"/>
          <w:szCs w:val="20"/>
        </w:rPr>
        <w:t xml:space="preserve"> </w:t>
      </w:r>
      <w:r w:rsidR="009359DC">
        <w:rPr>
          <w:rFonts w:ascii="Arial" w:hAnsi="Arial" w:cs="Arial"/>
          <w:sz w:val="20"/>
          <w:szCs w:val="20"/>
        </w:rPr>
        <w:t>t</w:t>
      </w:r>
      <w:r w:rsidR="00B36648" w:rsidRPr="00FC6F33">
        <w:rPr>
          <w:rFonts w:ascii="Arial" w:hAnsi="Arial" w:cs="Arial"/>
          <w:sz w:val="20"/>
          <w:szCs w:val="20"/>
        </w:rPr>
        <w:t>his study was done in</w:t>
      </w:r>
      <w:r w:rsidR="00AE165D" w:rsidRPr="00FC6F33">
        <w:rPr>
          <w:rFonts w:ascii="Arial" w:hAnsi="Arial" w:cs="Arial"/>
          <w:sz w:val="20"/>
          <w:szCs w:val="20"/>
        </w:rPr>
        <w:t xml:space="preserve"> the National cancer institute</w:t>
      </w:r>
      <w:r w:rsidR="006F2D86" w:rsidRPr="00FC6F33">
        <w:rPr>
          <w:rFonts w:ascii="Arial" w:hAnsi="Arial" w:cs="Arial"/>
          <w:sz w:val="20"/>
          <w:szCs w:val="20"/>
        </w:rPr>
        <w:t xml:space="preserve"> (NCI)</w:t>
      </w:r>
      <w:r w:rsidR="00AE165D" w:rsidRPr="00FC6F33">
        <w:rPr>
          <w:rFonts w:ascii="Arial" w:hAnsi="Arial" w:cs="Arial"/>
          <w:sz w:val="20"/>
          <w:szCs w:val="20"/>
        </w:rPr>
        <w:t>, Wad</w:t>
      </w:r>
      <w:r w:rsidR="006F2D86" w:rsidRPr="00FC6F33">
        <w:rPr>
          <w:rFonts w:ascii="Arial" w:hAnsi="Arial" w:cs="Arial"/>
          <w:sz w:val="20"/>
          <w:szCs w:val="20"/>
        </w:rPr>
        <w:t xml:space="preserve"> Medani, Gezira state - Sudan</w:t>
      </w:r>
      <w:r w:rsidRPr="00FC6F33">
        <w:rPr>
          <w:rFonts w:ascii="Arial" w:hAnsi="Arial" w:cs="Arial"/>
          <w:sz w:val="20"/>
          <w:szCs w:val="20"/>
        </w:rPr>
        <w:t>.</w:t>
      </w:r>
      <w:r w:rsidR="00AE165D" w:rsidRPr="00FC6F33">
        <w:rPr>
          <w:rFonts w:ascii="Arial" w:hAnsi="Arial" w:cs="Arial"/>
          <w:sz w:val="20"/>
          <w:szCs w:val="20"/>
        </w:rPr>
        <w:t xml:space="preserve"> The NCI is refere</w:t>
      </w:r>
      <w:r w:rsidR="006F2D86" w:rsidRPr="00FC6F33">
        <w:rPr>
          <w:rFonts w:ascii="Arial" w:hAnsi="Arial" w:cs="Arial"/>
          <w:sz w:val="20"/>
          <w:szCs w:val="20"/>
        </w:rPr>
        <w:t>nces hospital in central Sudan,</w:t>
      </w:r>
      <w:r w:rsidR="00AE165D" w:rsidRPr="00FC6F33">
        <w:rPr>
          <w:rFonts w:ascii="Arial" w:hAnsi="Arial" w:cs="Arial"/>
          <w:sz w:val="20"/>
          <w:szCs w:val="20"/>
        </w:rPr>
        <w:t xml:space="preserve"> established in 1999 as the second cancer center in Sudan. It is the only cancer center outside the capital of Sudan, Khartoum.</w:t>
      </w:r>
      <w:r w:rsidR="00091C83">
        <w:rPr>
          <w:rFonts w:ascii="Arial" w:hAnsi="Arial" w:cs="Arial"/>
          <w:sz w:val="20"/>
          <w:szCs w:val="20"/>
        </w:rPr>
        <w:t xml:space="preserve"> </w:t>
      </w:r>
      <w:r w:rsidR="00AE165D" w:rsidRPr="00FC6F33">
        <w:rPr>
          <w:rFonts w:ascii="Arial" w:hAnsi="Arial" w:cs="Arial"/>
          <w:sz w:val="20"/>
          <w:szCs w:val="20"/>
        </w:rPr>
        <w:t>All discovered patients who attended NCI clinic during the study period from Jan 2013 to June 2015</w:t>
      </w:r>
      <w:r w:rsidR="00924732" w:rsidRPr="00FC6F33">
        <w:rPr>
          <w:rFonts w:ascii="Arial" w:hAnsi="Arial" w:cs="Arial"/>
          <w:sz w:val="20"/>
          <w:szCs w:val="20"/>
        </w:rPr>
        <w:t>,</w:t>
      </w:r>
      <w:r w:rsidR="00AE165D" w:rsidRPr="00FC6F33">
        <w:rPr>
          <w:rFonts w:ascii="Arial" w:hAnsi="Arial" w:cs="Arial"/>
          <w:sz w:val="20"/>
          <w:szCs w:val="20"/>
        </w:rPr>
        <w:t xml:space="preserve"> and was diagnosed histologically with ovarian cancer and agreed to participate.</w:t>
      </w:r>
    </w:p>
    <w:p w:rsidR="0027037B" w:rsidRDefault="0027037B" w:rsidP="00FC6F33">
      <w:pPr>
        <w:spacing w:after="0" w:line="240" w:lineRule="auto"/>
        <w:jc w:val="both"/>
        <w:rPr>
          <w:rFonts w:ascii="Arial" w:hAnsi="Arial" w:cs="Arial"/>
          <w:sz w:val="20"/>
          <w:szCs w:val="20"/>
        </w:rPr>
      </w:pPr>
    </w:p>
    <w:p w:rsidR="0027037B" w:rsidRPr="00FC6F33" w:rsidRDefault="0027037B" w:rsidP="00FC6F33">
      <w:pPr>
        <w:spacing w:after="0" w:line="240" w:lineRule="auto"/>
        <w:jc w:val="both"/>
        <w:rPr>
          <w:rFonts w:ascii="Arial" w:hAnsi="Arial" w:cs="Arial"/>
          <w:sz w:val="20"/>
          <w:szCs w:val="20"/>
        </w:rPr>
      </w:pPr>
    </w:p>
    <w:p w:rsidR="00383428" w:rsidRPr="00FC6F33" w:rsidRDefault="00383428" w:rsidP="00FC6F33">
      <w:pPr>
        <w:pStyle w:val="ListParagraph"/>
        <w:tabs>
          <w:tab w:val="right" w:pos="0"/>
          <w:tab w:val="right" w:pos="1080"/>
        </w:tabs>
        <w:spacing w:after="0" w:line="240" w:lineRule="auto"/>
        <w:ind w:left="0"/>
        <w:rPr>
          <w:rFonts w:ascii="Arial" w:hAnsi="Arial" w:cs="Arial"/>
          <w:b/>
          <w:bCs/>
          <w:sz w:val="20"/>
          <w:szCs w:val="20"/>
        </w:rPr>
      </w:pPr>
      <w:bookmarkStart w:id="1" w:name="OLE_LINK15"/>
      <w:bookmarkStart w:id="2" w:name="OLE_LINK16"/>
      <w:r w:rsidRPr="00FC6F33">
        <w:rPr>
          <w:rFonts w:ascii="Arial" w:hAnsi="Arial" w:cs="Arial"/>
          <w:b/>
          <w:bCs/>
          <w:sz w:val="20"/>
          <w:szCs w:val="20"/>
        </w:rPr>
        <w:t>THE ORDINARY HAEMATOXYLIN AND EOSIN (H&amp;E) STAIN</w:t>
      </w:r>
      <w:bookmarkEnd w:id="1"/>
      <w:bookmarkEnd w:id="2"/>
    </w:p>
    <w:p w:rsidR="00D048F8" w:rsidRPr="00FC6F33" w:rsidRDefault="00D048F8" w:rsidP="00FC6F33">
      <w:pPr>
        <w:pStyle w:val="ListParagraph"/>
        <w:tabs>
          <w:tab w:val="right" w:pos="0"/>
          <w:tab w:val="right" w:pos="1080"/>
        </w:tabs>
        <w:spacing w:after="0" w:line="240" w:lineRule="auto"/>
        <w:ind w:left="0"/>
        <w:rPr>
          <w:rFonts w:ascii="Arial" w:hAnsi="Arial" w:cs="Arial"/>
          <w:b/>
          <w:bCs/>
          <w:sz w:val="20"/>
          <w:szCs w:val="20"/>
        </w:rPr>
      </w:pPr>
    </w:p>
    <w:p w:rsidR="00383428" w:rsidRPr="00FC6F33" w:rsidRDefault="00383428" w:rsidP="00FC6F33">
      <w:pPr>
        <w:pStyle w:val="ListParagraph"/>
        <w:tabs>
          <w:tab w:val="right" w:pos="0"/>
          <w:tab w:val="right" w:pos="1080"/>
        </w:tabs>
        <w:spacing w:after="0" w:line="240" w:lineRule="auto"/>
        <w:ind w:left="0"/>
        <w:rPr>
          <w:rFonts w:ascii="Arial" w:hAnsi="Arial" w:cs="Arial"/>
          <w:sz w:val="20"/>
          <w:szCs w:val="20"/>
        </w:rPr>
      </w:pPr>
      <w:r w:rsidRPr="00FC6F33">
        <w:rPr>
          <w:rFonts w:ascii="Arial" w:hAnsi="Arial" w:cs="Arial"/>
          <w:sz w:val="20"/>
          <w:szCs w:val="20"/>
        </w:rPr>
        <w:t>The formalin fixed specimens of prostate samples were dewaxed, hydrated in descending grades of alcohol concentration, at 100%, 95% through 70% to distilled water for 2 minutes in each stage. For staining of the nucleus, the sections treated with Mayer’s Haematoxylin for 8 minutes and differentiated by rinsing in acid alcohol for seconds, bluing in running tap water for 8minutes, counterstaining in Eosin for 1 minute, and rinsed in water. The sections dehydrated in 70% alcohol through 95% and 100% alcohol, and then blotted in a filter paper, cleared in xylene and mounted in DPX, after that the smears were ready for microscopic examination.</w:t>
      </w:r>
    </w:p>
    <w:p w:rsidR="00383428" w:rsidRDefault="00383428" w:rsidP="00FC6F33">
      <w:pPr>
        <w:pStyle w:val="ListParagraph"/>
        <w:tabs>
          <w:tab w:val="right" w:pos="0"/>
          <w:tab w:val="right" w:pos="1080"/>
        </w:tabs>
        <w:spacing w:after="0" w:line="240" w:lineRule="auto"/>
        <w:ind w:left="0"/>
        <w:rPr>
          <w:rFonts w:ascii="Arial" w:hAnsi="Arial" w:cs="Arial"/>
          <w:sz w:val="20"/>
          <w:szCs w:val="20"/>
        </w:rPr>
      </w:pPr>
    </w:p>
    <w:p w:rsidR="00516649" w:rsidRDefault="00516649" w:rsidP="00FC6F33">
      <w:pPr>
        <w:pStyle w:val="ListParagraph"/>
        <w:tabs>
          <w:tab w:val="right" w:pos="0"/>
          <w:tab w:val="right" w:pos="1080"/>
        </w:tabs>
        <w:spacing w:after="0" w:line="240" w:lineRule="auto"/>
        <w:ind w:left="0"/>
        <w:rPr>
          <w:rFonts w:ascii="Arial" w:hAnsi="Arial" w:cs="Arial"/>
          <w:sz w:val="20"/>
          <w:szCs w:val="20"/>
        </w:rPr>
      </w:pPr>
    </w:p>
    <w:p w:rsidR="00516649" w:rsidRDefault="00516649" w:rsidP="00FC6F33">
      <w:pPr>
        <w:pStyle w:val="ListParagraph"/>
        <w:tabs>
          <w:tab w:val="right" w:pos="0"/>
          <w:tab w:val="right" w:pos="1080"/>
        </w:tabs>
        <w:spacing w:after="0" w:line="240" w:lineRule="auto"/>
        <w:ind w:left="0"/>
        <w:rPr>
          <w:rFonts w:ascii="Arial" w:hAnsi="Arial" w:cs="Arial"/>
          <w:sz w:val="20"/>
          <w:szCs w:val="20"/>
        </w:rPr>
      </w:pPr>
    </w:p>
    <w:p w:rsidR="00516649" w:rsidRPr="00FC6F33" w:rsidRDefault="00516649" w:rsidP="00FC6F33">
      <w:pPr>
        <w:pStyle w:val="ListParagraph"/>
        <w:tabs>
          <w:tab w:val="right" w:pos="0"/>
          <w:tab w:val="right" w:pos="1080"/>
        </w:tabs>
        <w:spacing w:after="0" w:line="240" w:lineRule="auto"/>
        <w:ind w:left="0"/>
        <w:rPr>
          <w:rFonts w:ascii="Arial" w:hAnsi="Arial" w:cs="Arial"/>
          <w:sz w:val="20"/>
          <w:szCs w:val="20"/>
        </w:rPr>
      </w:pPr>
    </w:p>
    <w:p w:rsidR="00383428" w:rsidRPr="00091C83" w:rsidRDefault="00091C83" w:rsidP="00FC6F33">
      <w:pPr>
        <w:pStyle w:val="ListParagraph"/>
        <w:tabs>
          <w:tab w:val="right" w:pos="0"/>
        </w:tabs>
        <w:spacing w:after="0" w:line="240" w:lineRule="auto"/>
        <w:ind w:left="0"/>
        <w:rPr>
          <w:rFonts w:ascii="Arial" w:hAnsi="Arial" w:cs="Arial"/>
          <w:b/>
          <w:sz w:val="20"/>
          <w:szCs w:val="20"/>
        </w:rPr>
      </w:pPr>
      <w:r w:rsidRPr="00091C83">
        <w:rPr>
          <w:rFonts w:ascii="Arial" w:hAnsi="Arial" w:cs="Arial"/>
          <w:b/>
          <w:sz w:val="20"/>
          <w:szCs w:val="20"/>
        </w:rPr>
        <w:t>Interpretation of the Results</w:t>
      </w:r>
    </w:p>
    <w:p w:rsidR="00091C83" w:rsidRPr="00FC6F33" w:rsidRDefault="00091C83" w:rsidP="00FC6F33">
      <w:pPr>
        <w:pStyle w:val="ListParagraph"/>
        <w:tabs>
          <w:tab w:val="right" w:pos="0"/>
        </w:tabs>
        <w:spacing w:after="0" w:line="240" w:lineRule="auto"/>
        <w:ind w:left="0"/>
        <w:rPr>
          <w:rFonts w:ascii="Arial" w:hAnsi="Arial" w:cs="Arial"/>
          <w:sz w:val="20"/>
          <w:szCs w:val="20"/>
        </w:rPr>
      </w:pPr>
    </w:p>
    <w:p w:rsidR="00383428" w:rsidRDefault="00383428" w:rsidP="00FC6F33">
      <w:pPr>
        <w:pStyle w:val="ListParagraph"/>
        <w:tabs>
          <w:tab w:val="right" w:pos="0"/>
        </w:tabs>
        <w:spacing w:after="0" w:line="240" w:lineRule="auto"/>
        <w:ind w:left="0"/>
        <w:rPr>
          <w:rFonts w:ascii="Arial" w:hAnsi="Arial" w:cs="Arial"/>
          <w:sz w:val="20"/>
          <w:szCs w:val="20"/>
        </w:rPr>
      </w:pPr>
      <w:r w:rsidRPr="00FC6F33">
        <w:rPr>
          <w:rFonts w:ascii="Arial" w:hAnsi="Arial" w:cs="Arial"/>
          <w:sz w:val="20"/>
          <w:szCs w:val="20"/>
        </w:rPr>
        <w:t xml:space="preserve">Nucleus; deep blue </w:t>
      </w:r>
      <w:r w:rsidR="00091C83" w:rsidRPr="00FC6F33">
        <w:rPr>
          <w:rFonts w:ascii="Arial" w:hAnsi="Arial" w:cs="Arial"/>
          <w:sz w:val="20"/>
          <w:szCs w:val="20"/>
        </w:rPr>
        <w:t>color</w:t>
      </w:r>
      <w:r w:rsidRPr="00FC6F33">
        <w:rPr>
          <w:rFonts w:ascii="Arial" w:hAnsi="Arial" w:cs="Arial"/>
          <w:sz w:val="20"/>
          <w:szCs w:val="20"/>
        </w:rPr>
        <w:t>. Cytoplasm and background tissue; pink colour. RBCs; orange colou</w:t>
      </w:r>
      <w:r w:rsidR="00091C83">
        <w:rPr>
          <w:rFonts w:ascii="Arial" w:hAnsi="Arial" w:cs="Arial"/>
          <w:sz w:val="20"/>
          <w:szCs w:val="20"/>
        </w:rPr>
        <w:t xml:space="preserve">r </w:t>
      </w:r>
      <w:r w:rsidR="00091C83" w:rsidRPr="00091C83">
        <w:rPr>
          <w:rFonts w:ascii="Arial" w:hAnsi="Arial" w:cs="Arial"/>
          <w:sz w:val="20"/>
          <w:szCs w:val="20"/>
        </w:rPr>
        <w:t>(John et al., 1996; Grogan, 1992)</w:t>
      </w:r>
      <w:r w:rsidR="00091C83">
        <w:rPr>
          <w:rFonts w:ascii="Arial" w:hAnsi="Arial" w:cs="Arial"/>
          <w:sz w:val="20"/>
          <w:szCs w:val="20"/>
        </w:rPr>
        <w:t>.</w:t>
      </w:r>
    </w:p>
    <w:p w:rsidR="0027037B" w:rsidRDefault="0027037B" w:rsidP="00FC6F33">
      <w:pPr>
        <w:pStyle w:val="ListParagraph"/>
        <w:tabs>
          <w:tab w:val="right" w:pos="0"/>
        </w:tabs>
        <w:spacing w:after="0" w:line="240" w:lineRule="auto"/>
        <w:ind w:left="0"/>
        <w:rPr>
          <w:rFonts w:ascii="Arial" w:hAnsi="Arial" w:cs="Arial"/>
          <w:sz w:val="20"/>
          <w:szCs w:val="20"/>
        </w:rPr>
      </w:pPr>
    </w:p>
    <w:p w:rsidR="0027037B" w:rsidRPr="00FC6F33" w:rsidRDefault="0027037B" w:rsidP="00FC6F33">
      <w:pPr>
        <w:pStyle w:val="ListParagraph"/>
        <w:tabs>
          <w:tab w:val="right" w:pos="0"/>
        </w:tabs>
        <w:spacing w:after="0" w:line="240" w:lineRule="auto"/>
        <w:ind w:left="0"/>
        <w:rPr>
          <w:rFonts w:ascii="Arial" w:hAnsi="Arial" w:cs="Arial"/>
          <w:sz w:val="20"/>
          <w:szCs w:val="20"/>
        </w:rPr>
      </w:pPr>
    </w:p>
    <w:p w:rsidR="00383428" w:rsidRPr="00FC6F33" w:rsidRDefault="00383428" w:rsidP="00FC6F33">
      <w:pPr>
        <w:spacing w:after="0" w:line="240" w:lineRule="auto"/>
        <w:jc w:val="both"/>
        <w:rPr>
          <w:rFonts w:ascii="Arial" w:hAnsi="Arial" w:cs="Arial"/>
          <w:b/>
          <w:bCs/>
          <w:sz w:val="20"/>
          <w:szCs w:val="20"/>
        </w:rPr>
      </w:pPr>
      <w:r w:rsidRPr="00FC6F33">
        <w:rPr>
          <w:rFonts w:ascii="Arial" w:hAnsi="Arial" w:cs="Arial"/>
          <w:b/>
          <w:bCs/>
          <w:sz w:val="20"/>
          <w:szCs w:val="20"/>
        </w:rPr>
        <w:t>THE CA 125 TEST</w:t>
      </w:r>
    </w:p>
    <w:p w:rsidR="0027037B" w:rsidRDefault="0027037B" w:rsidP="00FC6F33">
      <w:pPr>
        <w:spacing w:after="0" w:line="240" w:lineRule="auto"/>
        <w:jc w:val="both"/>
        <w:rPr>
          <w:rFonts w:ascii="Arial" w:hAnsi="Arial" w:cs="Arial"/>
          <w:sz w:val="20"/>
          <w:szCs w:val="20"/>
        </w:rPr>
      </w:pPr>
    </w:p>
    <w:p w:rsidR="00383428" w:rsidRDefault="00091C83" w:rsidP="00FC6F33">
      <w:pPr>
        <w:spacing w:after="0" w:line="240" w:lineRule="auto"/>
        <w:jc w:val="both"/>
        <w:rPr>
          <w:rFonts w:ascii="Arial" w:hAnsi="Arial" w:cs="Arial"/>
          <w:sz w:val="20"/>
          <w:szCs w:val="20"/>
        </w:rPr>
      </w:pPr>
      <w:r>
        <w:rPr>
          <w:rFonts w:ascii="Arial" w:hAnsi="Arial" w:cs="Arial"/>
          <w:sz w:val="20"/>
          <w:szCs w:val="20"/>
        </w:rPr>
        <w:t>Sandwich principle,</w:t>
      </w:r>
      <w:r w:rsidR="00383428" w:rsidRPr="00FC6F33">
        <w:rPr>
          <w:rFonts w:ascii="Arial" w:hAnsi="Arial" w:cs="Arial"/>
          <w:sz w:val="20"/>
          <w:szCs w:val="20"/>
        </w:rPr>
        <w:t xml:space="preserve"> </w:t>
      </w:r>
      <w:r>
        <w:rPr>
          <w:rFonts w:ascii="Arial" w:hAnsi="Arial" w:cs="Arial"/>
          <w:sz w:val="20"/>
          <w:szCs w:val="20"/>
        </w:rPr>
        <w:t>t</w:t>
      </w:r>
      <w:r w:rsidR="00383428" w:rsidRPr="00FC6F33">
        <w:rPr>
          <w:rFonts w:ascii="Arial" w:hAnsi="Arial" w:cs="Arial"/>
          <w:sz w:val="20"/>
          <w:szCs w:val="20"/>
        </w:rPr>
        <w:t>otal duration of assay: 18 minutes.</w:t>
      </w:r>
    </w:p>
    <w:p w:rsidR="00091C83" w:rsidRPr="00FC6F33" w:rsidRDefault="00091C83" w:rsidP="00FC6F33">
      <w:pPr>
        <w:spacing w:after="0" w:line="240" w:lineRule="auto"/>
        <w:jc w:val="both"/>
        <w:rPr>
          <w:rFonts w:ascii="Arial" w:hAnsi="Arial" w:cs="Arial"/>
          <w:sz w:val="20"/>
          <w:szCs w:val="20"/>
        </w:rPr>
      </w:pPr>
    </w:p>
    <w:p w:rsidR="00091C83" w:rsidRPr="00091C83" w:rsidRDefault="00091C83" w:rsidP="00FC6F33">
      <w:pPr>
        <w:spacing w:after="0" w:line="240" w:lineRule="auto"/>
        <w:jc w:val="both"/>
        <w:rPr>
          <w:rFonts w:ascii="Arial" w:hAnsi="Arial" w:cs="Arial"/>
          <w:b/>
          <w:sz w:val="20"/>
          <w:szCs w:val="20"/>
        </w:rPr>
      </w:pPr>
      <w:r w:rsidRPr="00091C83">
        <w:rPr>
          <w:rFonts w:ascii="Arial" w:hAnsi="Arial" w:cs="Arial"/>
          <w:b/>
          <w:sz w:val="20"/>
          <w:szCs w:val="20"/>
        </w:rPr>
        <w:t>1st incubation</w:t>
      </w:r>
      <w:r w:rsidR="00383428" w:rsidRPr="00091C83">
        <w:rPr>
          <w:rFonts w:ascii="Arial" w:hAnsi="Arial" w:cs="Arial"/>
          <w:b/>
          <w:sz w:val="20"/>
          <w:szCs w:val="20"/>
        </w:rPr>
        <w:t xml:space="preserve"> </w:t>
      </w:r>
    </w:p>
    <w:p w:rsidR="00091C83" w:rsidRDefault="00091C83" w:rsidP="00FC6F33">
      <w:pPr>
        <w:spacing w:after="0" w:line="240" w:lineRule="auto"/>
        <w:jc w:val="both"/>
        <w:rPr>
          <w:rFonts w:ascii="Arial" w:hAnsi="Arial" w:cs="Arial"/>
          <w:sz w:val="20"/>
          <w:szCs w:val="20"/>
        </w:rPr>
      </w:pPr>
    </w:p>
    <w:p w:rsidR="00383428" w:rsidRPr="00FC6F33" w:rsidRDefault="00383428" w:rsidP="00FC6F33">
      <w:pPr>
        <w:spacing w:after="0" w:line="240" w:lineRule="auto"/>
        <w:jc w:val="both"/>
        <w:rPr>
          <w:rFonts w:ascii="Arial" w:hAnsi="Arial" w:cs="Arial"/>
          <w:sz w:val="20"/>
          <w:szCs w:val="20"/>
        </w:rPr>
      </w:pPr>
      <w:r w:rsidRPr="00FC6F33">
        <w:rPr>
          <w:rFonts w:ascii="Arial" w:hAnsi="Arial" w:cs="Arial"/>
          <w:sz w:val="20"/>
          <w:szCs w:val="20"/>
        </w:rPr>
        <w:t>20μL of sample, a biotinylated monoclonal CA 125 specific antibody, and a monoclonal CA 125 specific antibody l</w:t>
      </w:r>
      <w:r w:rsidR="009779B4" w:rsidRPr="00FC6F33">
        <w:rPr>
          <w:rFonts w:ascii="Arial" w:hAnsi="Arial" w:cs="Arial"/>
          <w:sz w:val="20"/>
          <w:szCs w:val="20"/>
        </w:rPr>
        <w:t>abeled with a ruthenium complex</w:t>
      </w:r>
      <w:r w:rsidRPr="00FC6F33">
        <w:rPr>
          <w:rFonts w:ascii="Arial" w:hAnsi="Arial" w:cs="Arial"/>
          <w:sz w:val="20"/>
          <w:szCs w:val="20"/>
        </w:rPr>
        <w:t>) form a sandwich complex.</w:t>
      </w:r>
    </w:p>
    <w:p w:rsidR="00091C83" w:rsidRDefault="00091C83" w:rsidP="00FC6F33">
      <w:pPr>
        <w:spacing w:after="0" w:line="240" w:lineRule="auto"/>
        <w:jc w:val="both"/>
        <w:rPr>
          <w:rFonts w:ascii="Arial" w:hAnsi="Arial" w:cs="Arial"/>
          <w:sz w:val="20"/>
          <w:szCs w:val="20"/>
        </w:rPr>
      </w:pPr>
    </w:p>
    <w:p w:rsidR="00091C83" w:rsidRPr="00091C83" w:rsidRDefault="00091C83" w:rsidP="00FC6F33">
      <w:pPr>
        <w:spacing w:after="0" w:line="240" w:lineRule="auto"/>
        <w:jc w:val="both"/>
        <w:rPr>
          <w:rFonts w:ascii="Arial" w:hAnsi="Arial" w:cs="Arial"/>
          <w:b/>
          <w:sz w:val="20"/>
          <w:szCs w:val="20"/>
        </w:rPr>
      </w:pPr>
      <w:r w:rsidRPr="00091C83">
        <w:rPr>
          <w:rFonts w:ascii="Arial" w:hAnsi="Arial" w:cs="Arial"/>
          <w:b/>
          <w:sz w:val="20"/>
          <w:szCs w:val="20"/>
        </w:rPr>
        <w:t>2nd incubation</w:t>
      </w:r>
      <w:r w:rsidR="00383428" w:rsidRPr="00091C83">
        <w:rPr>
          <w:rFonts w:ascii="Arial" w:hAnsi="Arial" w:cs="Arial"/>
          <w:b/>
          <w:sz w:val="20"/>
          <w:szCs w:val="20"/>
        </w:rPr>
        <w:t xml:space="preserve"> </w:t>
      </w:r>
    </w:p>
    <w:p w:rsidR="00091C83" w:rsidRDefault="00091C83" w:rsidP="00FC6F33">
      <w:pPr>
        <w:spacing w:after="0" w:line="240" w:lineRule="auto"/>
        <w:jc w:val="both"/>
        <w:rPr>
          <w:rFonts w:ascii="Arial" w:hAnsi="Arial" w:cs="Arial"/>
          <w:sz w:val="20"/>
          <w:szCs w:val="20"/>
        </w:rPr>
      </w:pPr>
    </w:p>
    <w:p w:rsidR="00383428" w:rsidRDefault="00383428" w:rsidP="00FC6F33">
      <w:pPr>
        <w:spacing w:after="0" w:line="240" w:lineRule="auto"/>
        <w:jc w:val="both"/>
        <w:rPr>
          <w:rFonts w:ascii="Arial" w:hAnsi="Arial" w:cs="Arial"/>
          <w:sz w:val="20"/>
          <w:szCs w:val="20"/>
        </w:rPr>
      </w:pPr>
      <w:r w:rsidRPr="00FC6F33">
        <w:rPr>
          <w:rFonts w:ascii="Arial" w:hAnsi="Arial" w:cs="Arial"/>
          <w:sz w:val="20"/>
          <w:szCs w:val="20"/>
        </w:rPr>
        <w:t>After addition of str</w:t>
      </w:r>
      <w:r w:rsidR="00091C83">
        <w:rPr>
          <w:rFonts w:ascii="Arial" w:hAnsi="Arial" w:cs="Arial"/>
          <w:sz w:val="20"/>
          <w:szCs w:val="20"/>
        </w:rPr>
        <w:t>eptavidin-coated micro particles,</w:t>
      </w:r>
      <w:r w:rsidRPr="00FC6F33">
        <w:rPr>
          <w:rFonts w:ascii="Arial" w:hAnsi="Arial" w:cs="Arial"/>
          <w:sz w:val="20"/>
          <w:szCs w:val="20"/>
        </w:rPr>
        <w:t xml:space="preserve"> the complex becomes bound to the solid phase via interaction of biotin and streptavidin.</w:t>
      </w:r>
      <w:r w:rsidR="00091C83">
        <w:rPr>
          <w:rFonts w:ascii="Arial" w:hAnsi="Arial" w:cs="Arial"/>
          <w:sz w:val="20"/>
          <w:szCs w:val="20"/>
        </w:rPr>
        <w:t xml:space="preserve"> </w:t>
      </w:r>
      <w:r w:rsidRPr="00FC6F33">
        <w:rPr>
          <w:rFonts w:ascii="Arial" w:hAnsi="Arial" w:cs="Arial"/>
          <w:sz w:val="20"/>
          <w:szCs w:val="20"/>
        </w:rPr>
        <w:t>The reaction mixture is aspirated into the measuring cell where the microparticles are magnetically captured onto the surface of the electrode. Unbound substances are then removed with ProCell/ProCell M. Application of a voltage to the electrode then induces chemiluminescent emission which is measured by a photomultiplier.</w:t>
      </w:r>
      <w:r w:rsidR="00091C83">
        <w:rPr>
          <w:rFonts w:ascii="Arial" w:hAnsi="Arial" w:cs="Arial"/>
          <w:sz w:val="20"/>
          <w:szCs w:val="20"/>
        </w:rPr>
        <w:t xml:space="preserve"> </w:t>
      </w:r>
      <w:r w:rsidRPr="00FC6F33">
        <w:rPr>
          <w:rFonts w:ascii="Arial" w:hAnsi="Arial" w:cs="Arial"/>
          <w:sz w:val="20"/>
          <w:szCs w:val="20"/>
        </w:rPr>
        <w:t>Results are determined via a calibration curve which is instrument specif</w:t>
      </w:r>
      <w:r w:rsidR="009779B4" w:rsidRPr="00FC6F33">
        <w:rPr>
          <w:rFonts w:ascii="Arial" w:hAnsi="Arial" w:cs="Arial"/>
          <w:sz w:val="20"/>
          <w:szCs w:val="20"/>
        </w:rPr>
        <w:t>ically generated by two</w:t>
      </w:r>
      <w:r w:rsidRPr="00FC6F33">
        <w:rPr>
          <w:rFonts w:ascii="Arial" w:hAnsi="Arial" w:cs="Arial"/>
          <w:sz w:val="20"/>
          <w:szCs w:val="20"/>
        </w:rPr>
        <w:t xml:space="preserve"> </w:t>
      </w:r>
      <w:r w:rsidR="00091C83" w:rsidRPr="00FC6F33">
        <w:rPr>
          <w:rFonts w:ascii="Arial" w:hAnsi="Arial" w:cs="Arial"/>
          <w:sz w:val="20"/>
          <w:szCs w:val="20"/>
        </w:rPr>
        <w:t>point’s</w:t>
      </w:r>
      <w:r w:rsidRPr="00FC6F33">
        <w:rPr>
          <w:rFonts w:ascii="Arial" w:hAnsi="Arial" w:cs="Arial"/>
          <w:sz w:val="20"/>
          <w:szCs w:val="20"/>
        </w:rPr>
        <w:t xml:space="preserve"> calibration and a master curve provided via the reagent barcode.</w:t>
      </w:r>
      <w:r w:rsidR="009779B4" w:rsidRPr="00FC6F33">
        <w:rPr>
          <w:rFonts w:ascii="Arial" w:hAnsi="Arial" w:cs="Arial"/>
          <w:sz w:val="20"/>
          <w:szCs w:val="20"/>
        </w:rPr>
        <w:t xml:space="preserve"> </w:t>
      </w:r>
      <w:r w:rsidRPr="00FC6F33">
        <w:rPr>
          <w:rFonts w:ascii="Arial" w:hAnsi="Arial" w:cs="Arial"/>
          <w:sz w:val="20"/>
          <w:szCs w:val="20"/>
        </w:rPr>
        <w:t>&lt; 35 unit/ml is normal level and &gt; 35 unit/m</w:t>
      </w:r>
      <w:r w:rsidR="00296191" w:rsidRPr="00FC6F33">
        <w:rPr>
          <w:rFonts w:ascii="Arial" w:hAnsi="Arial" w:cs="Arial"/>
          <w:sz w:val="20"/>
          <w:szCs w:val="20"/>
        </w:rPr>
        <w:t>l is abnormal or elevated level</w:t>
      </w:r>
      <w:r w:rsidR="00091C83">
        <w:rPr>
          <w:rFonts w:ascii="Arial" w:hAnsi="Arial" w:cs="Arial"/>
          <w:sz w:val="20"/>
          <w:szCs w:val="20"/>
        </w:rPr>
        <w:t xml:space="preserve"> </w:t>
      </w:r>
      <w:r w:rsidR="00091C83" w:rsidRPr="00091C83">
        <w:rPr>
          <w:rFonts w:ascii="Arial" w:hAnsi="Arial" w:cs="Arial"/>
          <w:sz w:val="20"/>
          <w:szCs w:val="20"/>
        </w:rPr>
        <w:t>(Nadji and Morales, 1983)</w:t>
      </w:r>
      <w:r w:rsidR="00091C83">
        <w:rPr>
          <w:rFonts w:ascii="Arial" w:hAnsi="Arial" w:cs="Arial"/>
          <w:sz w:val="20"/>
          <w:szCs w:val="20"/>
        </w:rPr>
        <w:t>.</w:t>
      </w:r>
    </w:p>
    <w:p w:rsidR="0027037B" w:rsidRDefault="0027037B" w:rsidP="00FC6F33">
      <w:pPr>
        <w:spacing w:after="0" w:line="240" w:lineRule="auto"/>
        <w:jc w:val="both"/>
        <w:rPr>
          <w:rFonts w:ascii="Arial" w:hAnsi="Arial" w:cs="Arial"/>
          <w:sz w:val="20"/>
          <w:szCs w:val="20"/>
        </w:rPr>
      </w:pPr>
    </w:p>
    <w:p w:rsidR="0027037B" w:rsidRPr="00FC6F33" w:rsidRDefault="0027037B" w:rsidP="00FC6F33">
      <w:pPr>
        <w:spacing w:after="0" w:line="240" w:lineRule="auto"/>
        <w:jc w:val="both"/>
        <w:rPr>
          <w:rFonts w:ascii="Arial" w:hAnsi="Arial" w:cs="Arial"/>
          <w:sz w:val="20"/>
          <w:szCs w:val="20"/>
        </w:rPr>
      </w:pPr>
    </w:p>
    <w:p w:rsidR="00AE165D" w:rsidRPr="00FC6F33" w:rsidRDefault="00081AC7" w:rsidP="00FC6F33">
      <w:pPr>
        <w:spacing w:after="0" w:line="240" w:lineRule="auto"/>
        <w:jc w:val="both"/>
        <w:rPr>
          <w:rFonts w:ascii="Arial" w:hAnsi="Arial" w:cs="Arial"/>
          <w:sz w:val="20"/>
          <w:szCs w:val="20"/>
        </w:rPr>
      </w:pPr>
      <w:r w:rsidRPr="00FC6F33">
        <w:rPr>
          <w:rFonts w:ascii="Arial" w:hAnsi="Arial" w:cs="Arial"/>
          <w:b/>
          <w:bCs/>
          <w:sz w:val="20"/>
          <w:szCs w:val="20"/>
        </w:rPr>
        <w:t>RESULTS</w:t>
      </w:r>
    </w:p>
    <w:p w:rsidR="0027037B" w:rsidRPr="0027037B" w:rsidRDefault="0027037B" w:rsidP="00FC6F33">
      <w:pPr>
        <w:pStyle w:val="Caption"/>
        <w:spacing w:after="0"/>
        <w:jc w:val="both"/>
        <w:rPr>
          <w:rFonts w:ascii="Arial" w:hAnsi="Arial" w:cs="Arial"/>
          <w:b w:val="0"/>
          <w:noProof/>
          <w:sz w:val="20"/>
          <w:szCs w:val="20"/>
        </w:rPr>
      </w:pPr>
    </w:p>
    <w:p w:rsidR="00FB21EC" w:rsidRPr="00FC6F33" w:rsidRDefault="00FB21EC" w:rsidP="00FC6F33">
      <w:pPr>
        <w:pStyle w:val="Caption"/>
        <w:spacing w:after="0"/>
        <w:jc w:val="both"/>
        <w:rPr>
          <w:rFonts w:ascii="Arial" w:hAnsi="Arial" w:cs="Arial"/>
          <w:sz w:val="20"/>
          <w:szCs w:val="20"/>
        </w:rPr>
      </w:pPr>
      <w:r w:rsidRPr="00FC6F33">
        <w:rPr>
          <w:rFonts w:ascii="Arial" w:hAnsi="Arial" w:cs="Arial"/>
          <w:noProof/>
          <w:sz w:val="20"/>
          <w:szCs w:val="20"/>
        </w:rPr>
        <w:t>First CA 125 levels and histological staging(diagnosis)</w:t>
      </w:r>
    </w:p>
    <w:p w:rsidR="0027037B" w:rsidRDefault="0027037B" w:rsidP="00FC6F33">
      <w:pPr>
        <w:spacing w:after="0" w:line="240" w:lineRule="auto"/>
        <w:jc w:val="both"/>
        <w:rPr>
          <w:rFonts w:ascii="Arial" w:hAnsi="Arial" w:cs="Arial"/>
          <w:sz w:val="20"/>
          <w:szCs w:val="20"/>
        </w:rPr>
      </w:pPr>
    </w:p>
    <w:p w:rsidR="00184066" w:rsidRPr="00FC6F33" w:rsidRDefault="00184066" w:rsidP="00FC6F33">
      <w:pPr>
        <w:spacing w:after="0" w:line="240" w:lineRule="auto"/>
        <w:jc w:val="both"/>
        <w:rPr>
          <w:rFonts w:ascii="Arial" w:hAnsi="Arial" w:cs="Arial"/>
          <w:noProof/>
          <w:sz w:val="20"/>
          <w:szCs w:val="20"/>
        </w:rPr>
      </w:pPr>
      <w:r w:rsidRPr="00FC6F33">
        <w:rPr>
          <w:rFonts w:ascii="Arial" w:hAnsi="Arial" w:cs="Arial"/>
          <w:sz w:val="20"/>
          <w:szCs w:val="20"/>
        </w:rPr>
        <w:t xml:space="preserve">There were elevated levels of CA 125 in 94 (75.80%) in the first diagnosis of the study </w:t>
      </w:r>
      <w:r w:rsidR="00D435A8" w:rsidRPr="00FC6F33">
        <w:rPr>
          <w:rFonts w:ascii="Arial" w:hAnsi="Arial" w:cs="Arial"/>
          <w:sz w:val="20"/>
          <w:szCs w:val="20"/>
        </w:rPr>
        <w:t>population</w:t>
      </w:r>
      <w:r w:rsidRPr="00FC6F33">
        <w:rPr>
          <w:rFonts w:ascii="Arial" w:hAnsi="Arial" w:cs="Arial"/>
          <w:sz w:val="20"/>
          <w:szCs w:val="20"/>
        </w:rPr>
        <w:t xml:space="preserve"> and the means of the first level were 1160_1837. Increasing of CA 125 level was </w:t>
      </w:r>
      <w:r w:rsidR="00D435A8" w:rsidRPr="00FC6F33">
        <w:rPr>
          <w:rStyle w:val="shorttext"/>
          <w:rFonts w:ascii="Arial" w:hAnsi="Arial" w:cs="Arial"/>
          <w:color w:val="222222"/>
          <w:sz w:val="20"/>
          <w:szCs w:val="20"/>
        </w:rPr>
        <w:t>direct proportion</w:t>
      </w:r>
      <w:r w:rsidRPr="00FC6F33">
        <w:rPr>
          <w:rFonts w:ascii="Arial" w:hAnsi="Arial" w:cs="Arial"/>
          <w:sz w:val="20"/>
          <w:szCs w:val="20"/>
        </w:rPr>
        <w:t xml:space="preserve"> with the stage of tumor (</w:t>
      </w:r>
      <w:r w:rsidRPr="00FC6F33">
        <w:rPr>
          <w:rFonts w:ascii="Arial" w:hAnsi="Arial" w:cs="Arial"/>
          <w:noProof/>
          <w:sz w:val="20"/>
          <w:szCs w:val="20"/>
        </w:rPr>
        <w:t>table</w:t>
      </w:r>
      <w:r w:rsidR="00091C83">
        <w:rPr>
          <w:rFonts w:ascii="Arial" w:hAnsi="Arial" w:cs="Arial"/>
          <w:noProof/>
          <w:sz w:val="20"/>
          <w:szCs w:val="20"/>
        </w:rPr>
        <w:t xml:space="preserve"> </w:t>
      </w:r>
      <w:r w:rsidRPr="00FC6F33">
        <w:rPr>
          <w:rFonts w:ascii="Arial" w:hAnsi="Arial" w:cs="Arial"/>
          <w:noProof/>
          <w:sz w:val="20"/>
          <w:szCs w:val="20"/>
        </w:rPr>
        <w:t>1).</w:t>
      </w:r>
    </w:p>
    <w:p w:rsidR="0027037B" w:rsidRPr="00516649" w:rsidRDefault="0027037B" w:rsidP="00FC6F33">
      <w:pPr>
        <w:pStyle w:val="Caption"/>
        <w:spacing w:after="0"/>
        <w:jc w:val="both"/>
        <w:rPr>
          <w:rFonts w:ascii="Arial" w:hAnsi="Arial" w:cs="Arial"/>
          <w:b w:val="0"/>
          <w:noProof/>
          <w:sz w:val="18"/>
          <w:szCs w:val="18"/>
        </w:rPr>
      </w:pPr>
    </w:p>
    <w:p w:rsidR="0041636E" w:rsidRPr="00FC6F33" w:rsidRDefault="0041636E" w:rsidP="00FC6F33">
      <w:pPr>
        <w:pStyle w:val="Caption"/>
        <w:spacing w:after="0"/>
        <w:jc w:val="both"/>
        <w:rPr>
          <w:rFonts w:ascii="Arial" w:hAnsi="Arial" w:cs="Arial"/>
          <w:sz w:val="20"/>
          <w:szCs w:val="20"/>
        </w:rPr>
      </w:pPr>
      <w:r w:rsidRPr="00FC6F33">
        <w:rPr>
          <w:rFonts w:ascii="Arial" w:hAnsi="Arial" w:cs="Arial"/>
          <w:noProof/>
          <w:sz w:val="20"/>
          <w:szCs w:val="20"/>
        </w:rPr>
        <w:t>First CA125 levels and first ultrasound findings(diagnosis)</w:t>
      </w:r>
    </w:p>
    <w:p w:rsidR="0027037B" w:rsidRDefault="0027037B" w:rsidP="00FC6F33">
      <w:pPr>
        <w:spacing w:after="0" w:line="240" w:lineRule="auto"/>
        <w:jc w:val="both"/>
        <w:rPr>
          <w:rFonts w:ascii="Arial" w:hAnsi="Arial" w:cs="Arial"/>
          <w:sz w:val="20"/>
          <w:szCs w:val="20"/>
        </w:rPr>
      </w:pPr>
    </w:p>
    <w:p w:rsidR="00516649" w:rsidRDefault="0041636E" w:rsidP="00FC6F33">
      <w:pPr>
        <w:spacing w:after="0" w:line="240" w:lineRule="auto"/>
        <w:jc w:val="both"/>
        <w:rPr>
          <w:rFonts w:ascii="Arial" w:hAnsi="Arial" w:cs="Arial"/>
          <w:sz w:val="20"/>
          <w:szCs w:val="20"/>
        </w:rPr>
      </w:pPr>
      <w:r w:rsidRPr="00FC6F33">
        <w:rPr>
          <w:rFonts w:ascii="Arial" w:hAnsi="Arial" w:cs="Arial"/>
          <w:sz w:val="20"/>
          <w:szCs w:val="20"/>
        </w:rPr>
        <w:t xml:space="preserve">There was close relation between the first CA125 levels and ultrasound findings, all patients that had any degree of ascites had elevated CA125level. According to ascites classification, the highest group is those with massive ascites (52 cases); in which 43cases had elevated CA125 level (&gt;35 ml) and 9 cases had normal CA125 level </w:t>
      </w:r>
      <w:r w:rsidRPr="00091C83">
        <w:rPr>
          <w:rFonts w:ascii="Arial" w:hAnsi="Arial" w:cs="Arial"/>
          <w:sz w:val="20"/>
          <w:szCs w:val="20"/>
        </w:rPr>
        <w:t>(</w:t>
      </w:r>
      <w:r w:rsidRPr="00091C83">
        <w:rPr>
          <w:rFonts w:ascii="Arial" w:hAnsi="Arial" w:cs="Arial"/>
          <w:bCs/>
          <w:sz w:val="20"/>
          <w:szCs w:val="20"/>
        </w:rPr>
        <w:t>&lt;35).</w:t>
      </w:r>
      <w:r w:rsidRPr="00FC6F33">
        <w:rPr>
          <w:rFonts w:ascii="Arial" w:hAnsi="Arial" w:cs="Arial"/>
          <w:sz w:val="20"/>
          <w:szCs w:val="20"/>
        </w:rPr>
        <w:t xml:space="preserve"> The low</w:t>
      </w:r>
      <w:r w:rsidR="00F97874" w:rsidRPr="00FC6F33">
        <w:rPr>
          <w:rFonts w:ascii="Arial" w:hAnsi="Arial" w:cs="Arial"/>
          <w:sz w:val="20"/>
          <w:szCs w:val="20"/>
        </w:rPr>
        <w:t>est group those who had no ascites</w:t>
      </w:r>
      <w:r w:rsidR="00516649">
        <w:rPr>
          <w:rFonts w:ascii="Arial" w:hAnsi="Arial" w:cs="Arial"/>
          <w:sz w:val="20"/>
          <w:szCs w:val="20"/>
        </w:rPr>
        <w:t xml:space="preserve"> </w:t>
      </w:r>
      <w:r w:rsidRPr="00FC6F33">
        <w:rPr>
          <w:rFonts w:ascii="Arial" w:hAnsi="Arial" w:cs="Arial"/>
          <w:sz w:val="20"/>
          <w:szCs w:val="20"/>
        </w:rPr>
        <w:t>(9 cases);</w:t>
      </w:r>
      <w:r w:rsidR="00516649">
        <w:rPr>
          <w:rFonts w:ascii="Arial" w:hAnsi="Arial" w:cs="Arial"/>
          <w:sz w:val="20"/>
          <w:szCs w:val="20"/>
        </w:rPr>
        <w:t xml:space="preserve">  </w:t>
      </w:r>
      <w:r w:rsidRPr="00FC6F33">
        <w:rPr>
          <w:rFonts w:ascii="Arial" w:hAnsi="Arial" w:cs="Arial"/>
          <w:sz w:val="20"/>
          <w:szCs w:val="20"/>
        </w:rPr>
        <w:t xml:space="preserve"> in which 3 cases had normal CA125 level and </w:t>
      </w:r>
    </w:p>
    <w:p w:rsidR="00516649" w:rsidRDefault="00516649" w:rsidP="00FC6F33">
      <w:pPr>
        <w:spacing w:after="0" w:line="240" w:lineRule="auto"/>
        <w:jc w:val="both"/>
        <w:rPr>
          <w:rFonts w:ascii="Arial" w:hAnsi="Arial" w:cs="Arial"/>
          <w:sz w:val="20"/>
          <w:szCs w:val="20"/>
        </w:rPr>
        <w:sectPr w:rsidR="00516649" w:rsidSect="00BD1E34">
          <w:type w:val="continuous"/>
          <w:pgSz w:w="12240" w:h="15840" w:code="1"/>
          <w:pgMar w:top="576" w:right="720" w:bottom="1008" w:left="864" w:header="706" w:footer="706" w:gutter="0"/>
          <w:cols w:num="2" w:space="432"/>
          <w:docGrid w:linePitch="360"/>
        </w:sectPr>
      </w:pPr>
    </w:p>
    <w:p w:rsidR="00516649" w:rsidRDefault="001E39B6" w:rsidP="001E39B6">
      <w:pPr>
        <w:spacing w:after="0" w:line="240" w:lineRule="auto"/>
        <w:jc w:val="right"/>
        <w:rPr>
          <w:rFonts w:ascii="Arial" w:hAnsi="Arial" w:cs="Arial"/>
          <w:sz w:val="20"/>
          <w:szCs w:val="20"/>
        </w:rPr>
      </w:pPr>
      <w:r w:rsidRPr="001E39B6">
        <w:rPr>
          <w:rFonts w:ascii="Arial" w:hAnsi="Arial" w:cs="Arial"/>
          <w:sz w:val="20"/>
          <w:szCs w:val="20"/>
        </w:rPr>
        <w:lastRenderedPageBreak/>
        <w:t>SidAhmed</w:t>
      </w:r>
      <w:r>
        <w:rPr>
          <w:rFonts w:ascii="Arial" w:hAnsi="Arial" w:cs="Arial"/>
          <w:sz w:val="20"/>
          <w:szCs w:val="20"/>
        </w:rPr>
        <w:t>. 15</w:t>
      </w:r>
    </w:p>
    <w:p w:rsidR="00516649" w:rsidRDefault="00516649" w:rsidP="00FC6F33">
      <w:pPr>
        <w:spacing w:after="0" w:line="240" w:lineRule="auto"/>
        <w:jc w:val="both"/>
        <w:rPr>
          <w:rFonts w:ascii="Arial" w:hAnsi="Arial" w:cs="Arial"/>
          <w:sz w:val="20"/>
          <w:szCs w:val="20"/>
        </w:rPr>
      </w:pPr>
    </w:p>
    <w:p w:rsidR="00516649" w:rsidRDefault="00516649" w:rsidP="00FC6F33">
      <w:pPr>
        <w:spacing w:after="0" w:line="240" w:lineRule="auto"/>
        <w:jc w:val="both"/>
        <w:rPr>
          <w:rFonts w:ascii="Arial" w:hAnsi="Arial" w:cs="Arial"/>
          <w:sz w:val="20"/>
          <w:szCs w:val="20"/>
        </w:rPr>
      </w:pPr>
    </w:p>
    <w:p w:rsidR="00516649" w:rsidRDefault="00516649" w:rsidP="00FC6F33">
      <w:pPr>
        <w:spacing w:after="0" w:line="240" w:lineRule="auto"/>
        <w:jc w:val="both"/>
        <w:rPr>
          <w:rFonts w:ascii="Arial" w:hAnsi="Arial" w:cs="Arial"/>
          <w:sz w:val="20"/>
          <w:szCs w:val="20"/>
        </w:rPr>
      </w:pPr>
    </w:p>
    <w:p w:rsidR="00516649" w:rsidRPr="00516649" w:rsidRDefault="00516649" w:rsidP="00516649">
      <w:pPr>
        <w:pStyle w:val="Caption"/>
        <w:spacing w:after="0"/>
        <w:ind w:firstLine="1260"/>
        <w:jc w:val="both"/>
        <w:rPr>
          <w:rFonts w:ascii="Arial" w:hAnsi="Arial" w:cs="Arial"/>
          <w:noProof/>
          <w:sz w:val="20"/>
          <w:szCs w:val="20"/>
        </w:rPr>
      </w:pPr>
      <w:bookmarkStart w:id="3" w:name="_Toc427201373"/>
      <w:r w:rsidRPr="00516649">
        <w:rPr>
          <w:rFonts w:ascii="Arial" w:hAnsi="Arial" w:cs="Arial"/>
          <w:sz w:val="20"/>
          <w:szCs w:val="20"/>
        </w:rPr>
        <w:t>Table</w:t>
      </w:r>
      <w:r>
        <w:rPr>
          <w:rFonts w:ascii="Arial" w:hAnsi="Arial" w:cs="Arial"/>
          <w:sz w:val="20"/>
          <w:szCs w:val="20"/>
        </w:rPr>
        <w:t xml:space="preserve"> </w:t>
      </w:r>
      <w:r w:rsidRPr="00516649">
        <w:rPr>
          <w:rFonts w:ascii="Arial" w:hAnsi="Arial" w:cs="Arial"/>
          <w:sz w:val="20"/>
          <w:szCs w:val="20"/>
        </w:rPr>
        <w:t>1</w:t>
      </w:r>
      <w:r w:rsidR="00B626B5">
        <w:rPr>
          <w:rFonts w:ascii="Arial" w:hAnsi="Arial" w:cs="Arial"/>
          <w:noProof/>
          <w:sz w:val="20"/>
          <w:szCs w:val="20"/>
        </w:rPr>
        <w:t>.</w:t>
      </w:r>
      <w:r w:rsidRPr="00516649">
        <w:rPr>
          <w:rFonts w:ascii="Arial" w:hAnsi="Arial" w:cs="Arial"/>
          <w:noProof/>
          <w:sz w:val="20"/>
          <w:szCs w:val="20"/>
        </w:rPr>
        <w:t xml:space="preserve"> </w:t>
      </w:r>
      <w:r w:rsidRPr="00516649">
        <w:rPr>
          <w:rFonts w:ascii="Arial" w:hAnsi="Arial" w:cs="Arial"/>
          <w:b w:val="0"/>
          <w:noProof/>
          <w:sz w:val="20"/>
          <w:szCs w:val="20"/>
        </w:rPr>
        <w:t>First CA 125 levels and histological staging</w:t>
      </w:r>
      <w:bookmarkEnd w:id="3"/>
      <w:r>
        <w:rPr>
          <w:rFonts w:ascii="Arial" w:hAnsi="Arial" w:cs="Arial"/>
          <w:b w:val="0"/>
          <w:noProof/>
          <w:sz w:val="20"/>
          <w:szCs w:val="20"/>
        </w:rPr>
        <w:t xml:space="preserve"> </w:t>
      </w:r>
      <w:r w:rsidRPr="00516649">
        <w:rPr>
          <w:rFonts w:ascii="Arial" w:hAnsi="Arial" w:cs="Arial"/>
          <w:b w:val="0"/>
          <w:noProof/>
          <w:sz w:val="20"/>
          <w:szCs w:val="20"/>
        </w:rPr>
        <w:t>(diagnosis)</w:t>
      </w:r>
    </w:p>
    <w:p w:rsidR="00516649" w:rsidRPr="00516649" w:rsidRDefault="00516649" w:rsidP="00516649">
      <w:pPr>
        <w:spacing w:after="0" w:line="240" w:lineRule="auto"/>
        <w:rPr>
          <w:rFonts w:ascii="Arial" w:hAnsi="Arial" w:cs="Arial"/>
          <w:sz w:val="20"/>
          <w:szCs w:val="20"/>
        </w:rPr>
      </w:pPr>
    </w:p>
    <w:tbl>
      <w:tblPr>
        <w:tblStyle w:val="TableGrid"/>
        <w:tblW w:w="0" w:type="auto"/>
        <w:jc w:val="center"/>
        <w:tblInd w:w="-4421"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2160"/>
        <w:gridCol w:w="2055"/>
        <w:gridCol w:w="1595"/>
      </w:tblGrid>
      <w:tr w:rsidR="00516649" w:rsidRPr="00516649" w:rsidTr="00516649">
        <w:trPr>
          <w:jc w:val="center"/>
        </w:trPr>
        <w:tc>
          <w:tcPr>
            <w:tcW w:w="2240" w:type="dxa"/>
            <w:tcBorders>
              <w:top w:val="single" w:sz="6" w:space="0" w:color="auto"/>
              <w:bottom w:val="single" w:sz="6" w:space="0" w:color="auto"/>
            </w:tcBorders>
            <w:vAlign w:val="center"/>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Stage</w:t>
            </w:r>
          </w:p>
          <w:p w:rsidR="00516649" w:rsidRPr="00516649" w:rsidRDefault="00516649" w:rsidP="00516649">
            <w:pPr>
              <w:jc w:val="both"/>
              <w:rPr>
                <w:rFonts w:ascii="Arial" w:hAnsi="Arial" w:cs="Arial"/>
                <w:b/>
                <w:bCs/>
                <w:sz w:val="20"/>
                <w:szCs w:val="20"/>
              </w:rPr>
            </w:pPr>
          </w:p>
        </w:tc>
        <w:tc>
          <w:tcPr>
            <w:tcW w:w="2160" w:type="dxa"/>
            <w:tcBorders>
              <w:top w:val="single" w:sz="6" w:space="0" w:color="auto"/>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&lt;35</w:t>
            </w:r>
          </w:p>
        </w:tc>
        <w:tc>
          <w:tcPr>
            <w:tcW w:w="2055" w:type="dxa"/>
            <w:tcBorders>
              <w:top w:val="single" w:sz="6" w:space="0" w:color="auto"/>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&gt;35</w:t>
            </w:r>
          </w:p>
        </w:tc>
        <w:tc>
          <w:tcPr>
            <w:tcW w:w="1595" w:type="dxa"/>
            <w:tcBorders>
              <w:top w:val="single" w:sz="6" w:space="0" w:color="auto"/>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Total</w:t>
            </w:r>
          </w:p>
        </w:tc>
      </w:tr>
      <w:tr w:rsidR="00516649" w:rsidRPr="00516649" w:rsidTr="00516649">
        <w:trPr>
          <w:jc w:val="center"/>
        </w:trPr>
        <w:tc>
          <w:tcPr>
            <w:tcW w:w="2240" w:type="dxa"/>
            <w:tcBorders>
              <w:top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I</w:t>
            </w:r>
          </w:p>
        </w:tc>
        <w:tc>
          <w:tcPr>
            <w:tcW w:w="2160" w:type="dxa"/>
            <w:tcBorders>
              <w:top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5</w:t>
            </w:r>
          </w:p>
        </w:tc>
        <w:tc>
          <w:tcPr>
            <w:tcW w:w="2055" w:type="dxa"/>
            <w:tcBorders>
              <w:top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w:t>
            </w:r>
          </w:p>
        </w:tc>
        <w:tc>
          <w:tcPr>
            <w:tcW w:w="1595" w:type="dxa"/>
            <w:tcBorders>
              <w:top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6</w:t>
            </w:r>
          </w:p>
        </w:tc>
      </w:tr>
      <w:tr w:rsidR="00516649" w:rsidRPr="00516649" w:rsidTr="00516649">
        <w:trPr>
          <w:jc w:val="center"/>
        </w:trPr>
        <w:tc>
          <w:tcPr>
            <w:tcW w:w="224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II</w:t>
            </w:r>
          </w:p>
        </w:tc>
        <w:tc>
          <w:tcPr>
            <w:tcW w:w="216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7</w:t>
            </w:r>
          </w:p>
        </w:tc>
        <w:tc>
          <w:tcPr>
            <w:tcW w:w="205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20</w:t>
            </w:r>
          </w:p>
        </w:tc>
        <w:tc>
          <w:tcPr>
            <w:tcW w:w="159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27</w:t>
            </w:r>
          </w:p>
        </w:tc>
      </w:tr>
      <w:tr w:rsidR="00516649" w:rsidRPr="00516649" w:rsidTr="00516649">
        <w:trPr>
          <w:jc w:val="center"/>
        </w:trPr>
        <w:tc>
          <w:tcPr>
            <w:tcW w:w="224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III</w:t>
            </w:r>
          </w:p>
        </w:tc>
        <w:tc>
          <w:tcPr>
            <w:tcW w:w="216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8</w:t>
            </w:r>
          </w:p>
        </w:tc>
        <w:tc>
          <w:tcPr>
            <w:tcW w:w="205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41</w:t>
            </w:r>
          </w:p>
        </w:tc>
        <w:tc>
          <w:tcPr>
            <w:tcW w:w="159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49</w:t>
            </w:r>
          </w:p>
        </w:tc>
      </w:tr>
      <w:tr w:rsidR="00516649" w:rsidRPr="00516649" w:rsidTr="00516649">
        <w:trPr>
          <w:jc w:val="center"/>
        </w:trPr>
        <w:tc>
          <w:tcPr>
            <w:tcW w:w="224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IV</w:t>
            </w:r>
          </w:p>
        </w:tc>
        <w:tc>
          <w:tcPr>
            <w:tcW w:w="216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10</w:t>
            </w:r>
          </w:p>
        </w:tc>
        <w:tc>
          <w:tcPr>
            <w:tcW w:w="205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32</w:t>
            </w:r>
          </w:p>
        </w:tc>
        <w:tc>
          <w:tcPr>
            <w:tcW w:w="159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42</w:t>
            </w:r>
          </w:p>
        </w:tc>
      </w:tr>
      <w:tr w:rsidR="00516649" w:rsidRPr="00516649" w:rsidTr="00516649">
        <w:trPr>
          <w:trHeight w:val="318"/>
          <w:jc w:val="center"/>
        </w:trPr>
        <w:tc>
          <w:tcPr>
            <w:tcW w:w="2240" w:type="dxa"/>
          </w:tcPr>
          <w:p w:rsidR="00516649" w:rsidRPr="00516649" w:rsidRDefault="00516649" w:rsidP="00516649">
            <w:pPr>
              <w:jc w:val="both"/>
              <w:rPr>
                <w:rFonts w:ascii="Arial" w:hAnsi="Arial" w:cs="Arial"/>
                <w:bCs/>
                <w:sz w:val="20"/>
                <w:szCs w:val="20"/>
              </w:rPr>
            </w:pPr>
          </w:p>
        </w:tc>
        <w:tc>
          <w:tcPr>
            <w:tcW w:w="2160"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fldChar w:fldCharType="begin"/>
            </w:r>
            <w:r w:rsidRPr="00516649">
              <w:rPr>
                <w:rFonts w:ascii="Arial" w:hAnsi="Arial" w:cs="Arial"/>
                <w:bCs/>
                <w:sz w:val="20"/>
                <w:szCs w:val="20"/>
              </w:rPr>
              <w:instrText xml:space="preserve"> =SUM(ABOVE) </w:instrText>
            </w:r>
            <w:r w:rsidRPr="00516649">
              <w:rPr>
                <w:rFonts w:ascii="Arial" w:hAnsi="Arial" w:cs="Arial"/>
                <w:bCs/>
                <w:sz w:val="20"/>
                <w:szCs w:val="20"/>
              </w:rPr>
              <w:fldChar w:fldCharType="separate"/>
            </w:r>
            <w:r w:rsidRPr="00516649">
              <w:rPr>
                <w:rFonts w:ascii="Arial" w:hAnsi="Arial" w:cs="Arial"/>
                <w:bCs/>
                <w:noProof/>
                <w:sz w:val="20"/>
                <w:szCs w:val="20"/>
              </w:rPr>
              <w:t>30</w:t>
            </w:r>
            <w:r w:rsidRPr="00516649">
              <w:rPr>
                <w:rFonts w:ascii="Arial" w:hAnsi="Arial" w:cs="Arial"/>
                <w:bCs/>
                <w:sz w:val="20"/>
                <w:szCs w:val="20"/>
              </w:rPr>
              <w:fldChar w:fldCharType="end"/>
            </w:r>
          </w:p>
        </w:tc>
        <w:tc>
          <w:tcPr>
            <w:tcW w:w="205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fldChar w:fldCharType="begin"/>
            </w:r>
            <w:r w:rsidRPr="00516649">
              <w:rPr>
                <w:rFonts w:ascii="Arial" w:hAnsi="Arial" w:cs="Arial"/>
                <w:bCs/>
                <w:sz w:val="20"/>
                <w:szCs w:val="20"/>
              </w:rPr>
              <w:instrText xml:space="preserve"> =SUM(ABOVE) </w:instrText>
            </w:r>
            <w:r w:rsidRPr="00516649">
              <w:rPr>
                <w:rFonts w:ascii="Arial" w:hAnsi="Arial" w:cs="Arial"/>
                <w:bCs/>
                <w:sz w:val="20"/>
                <w:szCs w:val="20"/>
              </w:rPr>
              <w:fldChar w:fldCharType="separate"/>
            </w:r>
            <w:r w:rsidRPr="00516649">
              <w:rPr>
                <w:rFonts w:ascii="Arial" w:hAnsi="Arial" w:cs="Arial"/>
                <w:bCs/>
                <w:noProof/>
                <w:sz w:val="20"/>
                <w:szCs w:val="20"/>
              </w:rPr>
              <w:t>94</w:t>
            </w:r>
            <w:r w:rsidRPr="00516649">
              <w:rPr>
                <w:rFonts w:ascii="Arial" w:hAnsi="Arial" w:cs="Arial"/>
                <w:bCs/>
                <w:sz w:val="20"/>
                <w:szCs w:val="20"/>
              </w:rPr>
              <w:fldChar w:fldCharType="end"/>
            </w:r>
          </w:p>
        </w:tc>
        <w:tc>
          <w:tcPr>
            <w:tcW w:w="1595" w:type="dxa"/>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fldChar w:fldCharType="begin"/>
            </w:r>
            <w:r w:rsidRPr="00516649">
              <w:rPr>
                <w:rFonts w:ascii="Arial" w:hAnsi="Arial" w:cs="Arial"/>
                <w:bCs/>
                <w:sz w:val="20"/>
                <w:szCs w:val="20"/>
              </w:rPr>
              <w:instrText xml:space="preserve"> =SUM(ABOVE) </w:instrText>
            </w:r>
            <w:r w:rsidRPr="00516649">
              <w:rPr>
                <w:rFonts w:ascii="Arial" w:hAnsi="Arial" w:cs="Arial"/>
                <w:bCs/>
                <w:sz w:val="20"/>
                <w:szCs w:val="20"/>
              </w:rPr>
              <w:fldChar w:fldCharType="separate"/>
            </w:r>
            <w:r w:rsidRPr="00516649">
              <w:rPr>
                <w:rFonts w:ascii="Arial" w:hAnsi="Arial" w:cs="Arial"/>
                <w:bCs/>
                <w:noProof/>
                <w:sz w:val="20"/>
                <w:szCs w:val="20"/>
              </w:rPr>
              <w:t>124</w:t>
            </w:r>
            <w:r w:rsidRPr="00516649">
              <w:rPr>
                <w:rFonts w:ascii="Arial" w:hAnsi="Arial" w:cs="Arial"/>
                <w:bCs/>
                <w:sz w:val="20"/>
                <w:szCs w:val="20"/>
              </w:rPr>
              <w:fldChar w:fldCharType="end"/>
            </w:r>
          </w:p>
        </w:tc>
      </w:tr>
    </w:tbl>
    <w:p w:rsidR="00516649" w:rsidRDefault="00516649" w:rsidP="00516649">
      <w:pPr>
        <w:spacing w:after="0" w:line="240" w:lineRule="auto"/>
        <w:jc w:val="both"/>
        <w:rPr>
          <w:rFonts w:ascii="Arial" w:hAnsi="Arial" w:cs="Arial"/>
          <w:sz w:val="20"/>
          <w:szCs w:val="20"/>
        </w:rPr>
      </w:pPr>
    </w:p>
    <w:p w:rsidR="00516649" w:rsidRDefault="00516649" w:rsidP="00516649">
      <w:pPr>
        <w:spacing w:after="0" w:line="240" w:lineRule="auto"/>
        <w:jc w:val="both"/>
        <w:rPr>
          <w:rFonts w:ascii="Arial" w:hAnsi="Arial" w:cs="Arial"/>
          <w:sz w:val="20"/>
          <w:szCs w:val="20"/>
        </w:rPr>
      </w:pPr>
    </w:p>
    <w:p w:rsidR="00516649" w:rsidRPr="00516649" w:rsidRDefault="00516649" w:rsidP="00516649">
      <w:pPr>
        <w:pStyle w:val="Caption"/>
        <w:spacing w:after="0"/>
        <w:ind w:firstLine="1260"/>
        <w:jc w:val="both"/>
        <w:rPr>
          <w:rFonts w:ascii="Arial" w:hAnsi="Arial" w:cs="Arial"/>
          <w:noProof/>
          <w:sz w:val="20"/>
          <w:szCs w:val="20"/>
        </w:rPr>
      </w:pPr>
      <w:bookmarkStart w:id="4" w:name="_Toc427201374"/>
      <w:r w:rsidRPr="00516649">
        <w:rPr>
          <w:rFonts w:ascii="Arial" w:hAnsi="Arial" w:cs="Arial"/>
          <w:sz w:val="20"/>
          <w:szCs w:val="20"/>
        </w:rPr>
        <w:t>Table</w:t>
      </w:r>
      <w:r>
        <w:rPr>
          <w:rFonts w:ascii="Arial" w:hAnsi="Arial" w:cs="Arial"/>
          <w:sz w:val="20"/>
          <w:szCs w:val="20"/>
        </w:rPr>
        <w:t xml:space="preserve"> </w:t>
      </w:r>
      <w:r w:rsidRPr="00516649">
        <w:rPr>
          <w:rFonts w:ascii="Arial" w:hAnsi="Arial" w:cs="Arial"/>
          <w:sz w:val="20"/>
          <w:szCs w:val="20"/>
        </w:rPr>
        <w:t>2</w:t>
      </w:r>
      <w:r w:rsidR="00B626B5">
        <w:rPr>
          <w:rFonts w:ascii="Arial" w:hAnsi="Arial" w:cs="Arial"/>
          <w:sz w:val="20"/>
          <w:szCs w:val="20"/>
        </w:rPr>
        <w:t>.</w:t>
      </w:r>
      <w:r w:rsidRPr="00516649">
        <w:rPr>
          <w:rFonts w:ascii="Arial" w:hAnsi="Arial" w:cs="Arial"/>
          <w:noProof/>
          <w:sz w:val="20"/>
          <w:szCs w:val="20"/>
        </w:rPr>
        <w:t xml:space="preserve"> </w:t>
      </w:r>
      <w:r w:rsidRPr="00516649">
        <w:rPr>
          <w:rFonts w:ascii="Arial" w:hAnsi="Arial" w:cs="Arial"/>
          <w:b w:val="0"/>
          <w:noProof/>
          <w:sz w:val="20"/>
          <w:szCs w:val="20"/>
        </w:rPr>
        <w:t>First CA125 levels and first ultrasound findings</w:t>
      </w:r>
      <w:bookmarkEnd w:id="4"/>
      <w:r>
        <w:rPr>
          <w:rFonts w:ascii="Arial" w:hAnsi="Arial" w:cs="Arial"/>
          <w:b w:val="0"/>
          <w:noProof/>
          <w:sz w:val="20"/>
          <w:szCs w:val="20"/>
        </w:rPr>
        <w:t xml:space="preserve"> </w:t>
      </w:r>
      <w:r w:rsidRPr="00516649">
        <w:rPr>
          <w:rFonts w:ascii="Arial" w:hAnsi="Arial" w:cs="Arial"/>
          <w:b w:val="0"/>
          <w:noProof/>
          <w:sz w:val="20"/>
          <w:szCs w:val="20"/>
        </w:rPr>
        <w:t>(diagnosis)</w:t>
      </w:r>
    </w:p>
    <w:p w:rsidR="00516649" w:rsidRPr="00516649" w:rsidRDefault="00516649" w:rsidP="00516649">
      <w:pPr>
        <w:spacing w:after="0" w:line="240" w:lineRule="auto"/>
        <w:rPr>
          <w:rFonts w:ascii="Arial" w:hAnsi="Arial" w:cs="Arial"/>
          <w:sz w:val="20"/>
          <w:szCs w:val="20"/>
        </w:rPr>
      </w:pPr>
    </w:p>
    <w:tbl>
      <w:tblPr>
        <w:tblStyle w:val="TableGrid"/>
        <w:tblW w:w="0" w:type="auto"/>
        <w:jc w:val="center"/>
        <w:tblInd w:w="-1868"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1757"/>
        <w:gridCol w:w="1535"/>
        <w:gridCol w:w="1710"/>
        <w:gridCol w:w="1620"/>
        <w:gridCol w:w="1401"/>
      </w:tblGrid>
      <w:tr w:rsidR="00516649" w:rsidRPr="00516649" w:rsidTr="00516649">
        <w:trPr>
          <w:jc w:val="center"/>
        </w:trPr>
        <w:tc>
          <w:tcPr>
            <w:tcW w:w="3292" w:type="dxa"/>
            <w:gridSpan w:val="2"/>
            <w:tcBorders>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Ultrasound findings</w:t>
            </w:r>
          </w:p>
        </w:tc>
        <w:tc>
          <w:tcPr>
            <w:tcW w:w="1710" w:type="dxa"/>
            <w:tcBorders>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&lt;35</w:t>
            </w:r>
          </w:p>
        </w:tc>
        <w:tc>
          <w:tcPr>
            <w:tcW w:w="1620" w:type="dxa"/>
            <w:tcBorders>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&gt;35</w:t>
            </w:r>
          </w:p>
        </w:tc>
        <w:tc>
          <w:tcPr>
            <w:tcW w:w="1401" w:type="dxa"/>
            <w:tcBorders>
              <w:bottom w:val="single" w:sz="6" w:space="0" w:color="auto"/>
            </w:tcBorders>
          </w:tcPr>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Total</w:t>
            </w:r>
          </w:p>
          <w:p w:rsidR="00516649" w:rsidRPr="00516649" w:rsidRDefault="00516649" w:rsidP="00516649">
            <w:pPr>
              <w:jc w:val="both"/>
              <w:rPr>
                <w:rFonts w:ascii="Arial" w:hAnsi="Arial" w:cs="Arial"/>
                <w:b/>
                <w:bCs/>
                <w:sz w:val="20"/>
                <w:szCs w:val="20"/>
              </w:rPr>
            </w:pPr>
            <w:r w:rsidRPr="00516649">
              <w:rPr>
                <w:rFonts w:ascii="Arial" w:hAnsi="Arial" w:cs="Arial"/>
                <w:b/>
                <w:bCs/>
                <w:sz w:val="20"/>
                <w:szCs w:val="20"/>
              </w:rPr>
              <w:t xml:space="preserve"> </w:t>
            </w:r>
          </w:p>
        </w:tc>
      </w:tr>
      <w:tr w:rsidR="00516649" w:rsidRPr="00516649" w:rsidTr="00516649">
        <w:trPr>
          <w:jc w:val="center"/>
        </w:trPr>
        <w:tc>
          <w:tcPr>
            <w:tcW w:w="1757" w:type="dxa"/>
            <w:vMerge w:val="restart"/>
            <w:tcBorders>
              <w:top w:val="single" w:sz="6" w:space="0" w:color="auto"/>
              <w:bottom w:val="nil"/>
            </w:tcBorders>
            <w:vAlign w:val="center"/>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Ascites</w:t>
            </w:r>
          </w:p>
        </w:tc>
        <w:tc>
          <w:tcPr>
            <w:tcW w:w="1535" w:type="dxa"/>
            <w:tcBorders>
              <w:top w:val="single" w:sz="6" w:space="0" w:color="auto"/>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No ascites</w:t>
            </w:r>
          </w:p>
        </w:tc>
        <w:tc>
          <w:tcPr>
            <w:tcW w:w="1710" w:type="dxa"/>
            <w:tcBorders>
              <w:top w:val="single" w:sz="6" w:space="0" w:color="auto"/>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w:t>
            </w:r>
          </w:p>
        </w:tc>
        <w:tc>
          <w:tcPr>
            <w:tcW w:w="1620" w:type="dxa"/>
            <w:tcBorders>
              <w:top w:val="single" w:sz="6" w:space="0" w:color="auto"/>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6</w:t>
            </w:r>
          </w:p>
        </w:tc>
        <w:tc>
          <w:tcPr>
            <w:tcW w:w="1401" w:type="dxa"/>
            <w:tcBorders>
              <w:top w:val="single" w:sz="6" w:space="0" w:color="auto"/>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9</w:t>
            </w:r>
          </w:p>
        </w:tc>
      </w:tr>
      <w:tr w:rsidR="00516649" w:rsidRPr="00516649" w:rsidTr="00516649">
        <w:trPr>
          <w:jc w:val="center"/>
        </w:trPr>
        <w:tc>
          <w:tcPr>
            <w:tcW w:w="1757" w:type="dxa"/>
            <w:vMerge/>
            <w:tcBorders>
              <w:top w:val="nil"/>
              <w:bottom w:val="nil"/>
            </w:tcBorders>
            <w:vAlign w:val="center"/>
          </w:tcPr>
          <w:p w:rsidR="00516649" w:rsidRPr="00516649" w:rsidRDefault="00516649" w:rsidP="00516649">
            <w:pPr>
              <w:jc w:val="both"/>
              <w:rPr>
                <w:rFonts w:ascii="Arial" w:hAnsi="Arial" w:cs="Arial"/>
                <w:bCs/>
                <w:sz w:val="20"/>
                <w:szCs w:val="20"/>
              </w:rPr>
            </w:pP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Mild</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7</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13</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20</w:t>
            </w:r>
          </w:p>
        </w:tc>
      </w:tr>
      <w:tr w:rsidR="00516649" w:rsidRPr="00516649" w:rsidTr="00516649">
        <w:trPr>
          <w:jc w:val="center"/>
        </w:trPr>
        <w:tc>
          <w:tcPr>
            <w:tcW w:w="1757" w:type="dxa"/>
            <w:vMerge/>
            <w:tcBorders>
              <w:top w:val="nil"/>
              <w:bottom w:val="nil"/>
            </w:tcBorders>
            <w:vAlign w:val="center"/>
          </w:tcPr>
          <w:p w:rsidR="00516649" w:rsidRPr="00516649" w:rsidRDefault="00516649" w:rsidP="00516649">
            <w:pPr>
              <w:jc w:val="both"/>
              <w:rPr>
                <w:rFonts w:ascii="Arial" w:hAnsi="Arial" w:cs="Arial"/>
                <w:bCs/>
                <w:sz w:val="20"/>
                <w:szCs w:val="20"/>
              </w:rPr>
            </w:pP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Moderate</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11</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32</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43</w:t>
            </w:r>
          </w:p>
        </w:tc>
      </w:tr>
      <w:tr w:rsidR="00516649" w:rsidRPr="00516649" w:rsidTr="00516649">
        <w:trPr>
          <w:jc w:val="center"/>
        </w:trPr>
        <w:tc>
          <w:tcPr>
            <w:tcW w:w="1757" w:type="dxa"/>
            <w:vMerge/>
            <w:tcBorders>
              <w:top w:val="nil"/>
              <w:bottom w:val="nil"/>
            </w:tcBorders>
            <w:vAlign w:val="center"/>
          </w:tcPr>
          <w:p w:rsidR="00516649" w:rsidRPr="00516649" w:rsidRDefault="00516649" w:rsidP="00516649">
            <w:pPr>
              <w:jc w:val="both"/>
              <w:rPr>
                <w:rFonts w:ascii="Arial" w:hAnsi="Arial" w:cs="Arial"/>
                <w:bCs/>
                <w:sz w:val="20"/>
                <w:szCs w:val="20"/>
              </w:rPr>
            </w:pP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Massive</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9</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43</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52</w:t>
            </w:r>
          </w:p>
        </w:tc>
      </w:tr>
      <w:tr w:rsidR="00516649" w:rsidRPr="00516649" w:rsidTr="00516649">
        <w:trPr>
          <w:jc w:val="center"/>
        </w:trPr>
        <w:tc>
          <w:tcPr>
            <w:tcW w:w="1757" w:type="dxa"/>
            <w:vMerge w:val="restart"/>
            <w:tcBorders>
              <w:top w:val="nil"/>
              <w:bottom w:val="nil"/>
            </w:tcBorders>
            <w:vAlign w:val="center"/>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Pelvic mass</w:t>
            </w: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Yes</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19</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72</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91</w:t>
            </w:r>
          </w:p>
        </w:tc>
      </w:tr>
      <w:tr w:rsidR="00516649" w:rsidRPr="00516649" w:rsidTr="00516649">
        <w:trPr>
          <w:jc w:val="center"/>
        </w:trPr>
        <w:tc>
          <w:tcPr>
            <w:tcW w:w="1757" w:type="dxa"/>
            <w:vMerge/>
            <w:tcBorders>
              <w:top w:val="nil"/>
              <w:bottom w:val="nil"/>
            </w:tcBorders>
            <w:vAlign w:val="center"/>
          </w:tcPr>
          <w:p w:rsidR="00516649" w:rsidRPr="00516649" w:rsidRDefault="00516649" w:rsidP="00516649">
            <w:pPr>
              <w:jc w:val="both"/>
              <w:rPr>
                <w:rFonts w:ascii="Arial" w:hAnsi="Arial" w:cs="Arial"/>
                <w:bCs/>
                <w:sz w:val="20"/>
                <w:szCs w:val="20"/>
              </w:rPr>
            </w:pP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No</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11</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22</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33</w:t>
            </w:r>
          </w:p>
        </w:tc>
      </w:tr>
      <w:tr w:rsidR="00516649" w:rsidRPr="00516649" w:rsidTr="00516649">
        <w:trPr>
          <w:jc w:val="center"/>
        </w:trPr>
        <w:tc>
          <w:tcPr>
            <w:tcW w:w="1757" w:type="dxa"/>
            <w:vMerge w:val="restart"/>
            <w:tcBorders>
              <w:top w:val="nil"/>
              <w:bottom w:val="nil"/>
            </w:tcBorders>
            <w:vAlign w:val="center"/>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Cyst</w:t>
            </w: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Yes</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15</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70</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85</w:t>
            </w:r>
          </w:p>
        </w:tc>
      </w:tr>
      <w:tr w:rsidR="00516649" w:rsidRPr="00516649" w:rsidTr="00516649">
        <w:trPr>
          <w:jc w:val="center"/>
        </w:trPr>
        <w:tc>
          <w:tcPr>
            <w:tcW w:w="1757" w:type="dxa"/>
            <w:vMerge/>
            <w:tcBorders>
              <w:top w:val="nil"/>
              <w:bottom w:val="nil"/>
            </w:tcBorders>
            <w:vAlign w:val="center"/>
          </w:tcPr>
          <w:p w:rsidR="00516649" w:rsidRPr="00516649" w:rsidRDefault="00516649" w:rsidP="00516649">
            <w:pPr>
              <w:jc w:val="both"/>
              <w:rPr>
                <w:rFonts w:ascii="Arial" w:hAnsi="Arial" w:cs="Arial"/>
                <w:bCs/>
                <w:sz w:val="20"/>
                <w:szCs w:val="20"/>
              </w:rPr>
            </w:pPr>
          </w:p>
        </w:tc>
        <w:tc>
          <w:tcPr>
            <w:tcW w:w="1535"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No</w:t>
            </w:r>
          </w:p>
        </w:tc>
        <w:tc>
          <w:tcPr>
            <w:tcW w:w="171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15</w:t>
            </w:r>
          </w:p>
        </w:tc>
        <w:tc>
          <w:tcPr>
            <w:tcW w:w="1620"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24</w:t>
            </w:r>
          </w:p>
        </w:tc>
        <w:tc>
          <w:tcPr>
            <w:tcW w:w="1401" w:type="dxa"/>
            <w:tcBorders>
              <w:top w:val="nil"/>
              <w:bottom w:val="nil"/>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39</w:t>
            </w:r>
          </w:p>
        </w:tc>
      </w:tr>
      <w:tr w:rsidR="00516649" w:rsidRPr="00516649" w:rsidTr="00516649">
        <w:trPr>
          <w:jc w:val="center"/>
        </w:trPr>
        <w:tc>
          <w:tcPr>
            <w:tcW w:w="3292" w:type="dxa"/>
            <w:gridSpan w:val="2"/>
            <w:tcBorders>
              <w:top w:val="nil"/>
              <w:bottom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Total</w:t>
            </w:r>
          </w:p>
        </w:tc>
        <w:tc>
          <w:tcPr>
            <w:tcW w:w="1710" w:type="dxa"/>
            <w:tcBorders>
              <w:top w:val="nil"/>
              <w:bottom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30</w:t>
            </w:r>
          </w:p>
        </w:tc>
        <w:tc>
          <w:tcPr>
            <w:tcW w:w="1620" w:type="dxa"/>
            <w:tcBorders>
              <w:top w:val="nil"/>
              <w:bottom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94</w:t>
            </w:r>
          </w:p>
        </w:tc>
        <w:tc>
          <w:tcPr>
            <w:tcW w:w="1401" w:type="dxa"/>
            <w:tcBorders>
              <w:top w:val="nil"/>
              <w:bottom w:val="single" w:sz="6" w:space="0" w:color="auto"/>
            </w:tcBorders>
          </w:tcPr>
          <w:p w:rsidR="00516649" w:rsidRPr="00516649" w:rsidRDefault="00516649" w:rsidP="00516649">
            <w:pPr>
              <w:jc w:val="both"/>
              <w:rPr>
                <w:rFonts w:ascii="Arial" w:hAnsi="Arial" w:cs="Arial"/>
                <w:bCs/>
                <w:sz w:val="20"/>
                <w:szCs w:val="20"/>
              </w:rPr>
            </w:pPr>
            <w:r w:rsidRPr="00516649">
              <w:rPr>
                <w:rFonts w:ascii="Arial" w:hAnsi="Arial" w:cs="Arial"/>
                <w:bCs/>
                <w:sz w:val="20"/>
                <w:szCs w:val="20"/>
              </w:rPr>
              <w:t>124</w:t>
            </w:r>
          </w:p>
        </w:tc>
      </w:tr>
    </w:tbl>
    <w:p w:rsidR="00516649" w:rsidRDefault="00516649" w:rsidP="00FC6F33">
      <w:pPr>
        <w:spacing w:after="0" w:line="240" w:lineRule="auto"/>
        <w:jc w:val="both"/>
        <w:rPr>
          <w:rFonts w:ascii="Arial" w:hAnsi="Arial" w:cs="Arial"/>
          <w:sz w:val="20"/>
          <w:szCs w:val="20"/>
        </w:rPr>
        <w:sectPr w:rsidR="00516649" w:rsidSect="00516649">
          <w:type w:val="continuous"/>
          <w:pgSz w:w="12240" w:h="15840" w:code="1"/>
          <w:pgMar w:top="576" w:right="720" w:bottom="1008" w:left="864" w:header="706" w:footer="706" w:gutter="0"/>
          <w:cols w:space="432"/>
          <w:docGrid w:linePitch="360"/>
        </w:sectPr>
      </w:pPr>
    </w:p>
    <w:p w:rsidR="00516649" w:rsidRDefault="00516649" w:rsidP="00FC6F33">
      <w:pPr>
        <w:spacing w:after="0" w:line="240" w:lineRule="auto"/>
        <w:jc w:val="both"/>
        <w:rPr>
          <w:rFonts w:ascii="Arial" w:hAnsi="Arial" w:cs="Arial"/>
          <w:sz w:val="20"/>
          <w:szCs w:val="20"/>
        </w:rPr>
      </w:pPr>
    </w:p>
    <w:p w:rsidR="005F603D" w:rsidRDefault="005F603D" w:rsidP="00FC6F33">
      <w:pPr>
        <w:spacing w:after="0" w:line="240" w:lineRule="auto"/>
        <w:jc w:val="both"/>
        <w:rPr>
          <w:rFonts w:ascii="Arial" w:hAnsi="Arial" w:cs="Arial"/>
          <w:sz w:val="20"/>
          <w:szCs w:val="20"/>
        </w:rPr>
      </w:pPr>
    </w:p>
    <w:p w:rsidR="00516649" w:rsidRDefault="00516649" w:rsidP="005F603D">
      <w:pPr>
        <w:spacing w:after="0" w:line="240" w:lineRule="auto"/>
        <w:ind w:firstLine="1260"/>
        <w:jc w:val="both"/>
        <w:rPr>
          <w:rFonts w:ascii="Arial" w:hAnsi="Arial" w:cs="Arial"/>
          <w:b/>
          <w:bCs/>
          <w:noProof/>
          <w:sz w:val="20"/>
          <w:szCs w:val="20"/>
        </w:rPr>
      </w:pPr>
      <w:bookmarkStart w:id="5" w:name="_Toc427201375"/>
      <w:r w:rsidRPr="00CB6A4C">
        <w:rPr>
          <w:rFonts w:ascii="Arial" w:hAnsi="Arial" w:cs="Arial"/>
          <w:b/>
          <w:bCs/>
          <w:sz w:val="20"/>
          <w:szCs w:val="20"/>
        </w:rPr>
        <w:t>Table</w:t>
      </w:r>
      <w:r>
        <w:rPr>
          <w:rFonts w:ascii="Arial" w:hAnsi="Arial" w:cs="Arial"/>
          <w:b/>
          <w:bCs/>
          <w:sz w:val="20"/>
          <w:szCs w:val="20"/>
        </w:rPr>
        <w:t xml:space="preserve"> </w:t>
      </w:r>
      <w:r w:rsidRPr="00CB6A4C">
        <w:rPr>
          <w:rFonts w:ascii="Arial" w:hAnsi="Arial" w:cs="Arial"/>
          <w:b/>
          <w:bCs/>
          <w:sz w:val="20"/>
          <w:szCs w:val="20"/>
        </w:rPr>
        <w:t>3</w:t>
      </w:r>
      <w:r w:rsidR="00B626B5">
        <w:rPr>
          <w:rFonts w:ascii="Arial" w:hAnsi="Arial" w:cs="Arial"/>
          <w:b/>
          <w:bCs/>
          <w:noProof/>
          <w:sz w:val="20"/>
          <w:szCs w:val="20"/>
        </w:rPr>
        <w:t>.</w:t>
      </w:r>
      <w:r w:rsidRPr="00CB6A4C">
        <w:rPr>
          <w:rFonts w:ascii="Arial" w:hAnsi="Arial" w:cs="Arial"/>
          <w:b/>
          <w:bCs/>
          <w:noProof/>
          <w:sz w:val="20"/>
          <w:szCs w:val="20"/>
        </w:rPr>
        <w:t xml:space="preserve"> </w:t>
      </w:r>
      <w:r w:rsidRPr="00516649">
        <w:rPr>
          <w:rFonts w:ascii="Arial" w:hAnsi="Arial" w:cs="Arial"/>
          <w:bCs/>
          <w:noProof/>
          <w:sz w:val="20"/>
          <w:szCs w:val="20"/>
        </w:rPr>
        <w:t>Second CA 125 levels and  second histological staging</w:t>
      </w:r>
      <w:bookmarkEnd w:id="5"/>
      <w:r w:rsidRPr="00516649">
        <w:rPr>
          <w:rFonts w:ascii="Arial" w:hAnsi="Arial" w:cs="Arial"/>
          <w:bCs/>
          <w:noProof/>
          <w:sz w:val="20"/>
          <w:szCs w:val="20"/>
        </w:rPr>
        <w:t>(follow up)</w:t>
      </w:r>
    </w:p>
    <w:p w:rsidR="00516649" w:rsidRPr="00516649" w:rsidRDefault="00516649" w:rsidP="00516649">
      <w:pPr>
        <w:spacing w:after="0" w:line="240" w:lineRule="auto"/>
        <w:jc w:val="both"/>
        <w:rPr>
          <w:rFonts w:ascii="Arial" w:hAnsi="Arial" w:cs="Arial"/>
          <w:bCs/>
          <w:sz w:val="20"/>
          <w:szCs w:val="20"/>
        </w:rPr>
      </w:pPr>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2904"/>
        <w:gridCol w:w="2430"/>
        <w:gridCol w:w="1800"/>
      </w:tblGrid>
      <w:tr w:rsidR="00516649" w:rsidRPr="00CB6A4C" w:rsidTr="005F603D">
        <w:trPr>
          <w:jc w:val="center"/>
        </w:trPr>
        <w:tc>
          <w:tcPr>
            <w:tcW w:w="896" w:type="dxa"/>
            <w:tcBorders>
              <w:bottom w:val="single" w:sz="6" w:space="0" w:color="auto"/>
            </w:tcBorders>
            <w:vAlign w:val="center"/>
          </w:tcPr>
          <w:p w:rsidR="00516649" w:rsidRPr="00CB6A4C" w:rsidRDefault="00516649" w:rsidP="00381542">
            <w:pPr>
              <w:jc w:val="both"/>
              <w:rPr>
                <w:rFonts w:ascii="Arial" w:hAnsi="Arial" w:cs="Arial"/>
                <w:b/>
                <w:bCs/>
                <w:sz w:val="20"/>
                <w:szCs w:val="20"/>
              </w:rPr>
            </w:pPr>
            <w:r w:rsidRPr="00CB6A4C">
              <w:rPr>
                <w:rFonts w:ascii="Arial" w:hAnsi="Arial" w:cs="Arial"/>
                <w:b/>
                <w:bCs/>
                <w:sz w:val="20"/>
                <w:szCs w:val="20"/>
              </w:rPr>
              <w:t>Stage</w:t>
            </w:r>
          </w:p>
        </w:tc>
        <w:tc>
          <w:tcPr>
            <w:tcW w:w="2904" w:type="dxa"/>
            <w:tcBorders>
              <w:bottom w:val="single" w:sz="6" w:space="0" w:color="auto"/>
            </w:tcBorders>
          </w:tcPr>
          <w:p w:rsidR="00516649" w:rsidRPr="00CB6A4C" w:rsidRDefault="00516649" w:rsidP="00381542">
            <w:pPr>
              <w:jc w:val="both"/>
              <w:rPr>
                <w:rFonts w:ascii="Arial" w:hAnsi="Arial" w:cs="Arial"/>
                <w:b/>
                <w:bCs/>
                <w:sz w:val="20"/>
                <w:szCs w:val="20"/>
              </w:rPr>
            </w:pPr>
            <w:r w:rsidRPr="00CB6A4C">
              <w:rPr>
                <w:rFonts w:ascii="Arial" w:hAnsi="Arial" w:cs="Arial"/>
                <w:b/>
                <w:bCs/>
                <w:sz w:val="20"/>
                <w:szCs w:val="20"/>
              </w:rPr>
              <w:t>&lt;35</w:t>
            </w:r>
          </w:p>
        </w:tc>
        <w:tc>
          <w:tcPr>
            <w:tcW w:w="2430" w:type="dxa"/>
            <w:tcBorders>
              <w:bottom w:val="single" w:sz="6" w:space="0" w:color="auto"/>
            </w:tcBorders>
          </w:tcPr>
          <w:p w:rsidR="00516649" w:rsidRPr="00CB6A4C" w:rsidRDefault="00516649" w:rsidP="00381542">
            <w:pPr>
              <w:jc w:val="both"/>
              <w:rPr>
                <w:rFonts w:ascii="Arial" w:hAnsi="Arial" w:cs="Arial"/>
                <w:b/>
                <w:bCs/>
                <w:sz w:val="20"/>
                <w:szCs w:val="20"/>
              </w:rPr>
            </w:pPr>
            <w:r w:rsidRPr="00CB6A4C">
              <w:rPr>
                <w:rFonts w:ascii="Arial" w:hAnsi="Arial" w:cs="Arial"/>
                <w:b/>
                <w:bCs/>
                <w:sz w:val="20"/>
                <w:szCs w:val="20"/>
              </w:rPr>
              <w:t>&gt;35</w:t>
            </w:r>
          </w:p>
        </w:tc>
        <w:tc>
          <w:tcPr>
            <w:tcW w:w="1800" w:type="dxa"/>
            <w:tcBorders>
              <w:bottom w:val="single" w:sz="6" w:space="0" w:color="auto"/>
            </w:tcBorders>
          </w:tcPr>
          <w:p w:rsidR="00516649" w:rsidRPr="00CB6A4C" w:rsidRDefault="00516649" w:rsidP="00381542">
            <w:pPr>
              <w:jc w:val="both"/>
              <w:rPr>
                <w:rFonts w:ascii="Arial" w:hAnsi="Arial" w:cs="Arial"/>
                <w:b/>
                <w:bCs/>
                <w:sz w:val="20"/>
                <w:szCs w:val="20"/>
              </w:rPr>
            </w:pPr>
            <w:r w:rsidRPr="00CB6A4C">
              <w:rPr>
                <w:rFonts w:ascii="Arial" w:hAnsi="Arial" w:cs="Arial"/>
                <w:b/>
                <w:bCs/>
                <w:sz w:val="20"/>
                <w:szCs w:val="20"/>
              </w:rPr>
              <w:t>Total</w:t>
            </w:r>
          </w:p>
        </w:tc>
      </w:tr>
      <w:tr w:rsidR="00516649" w:rsidRPr="00CB6A4C" w:rsidTr="005F603D">
        <w:trPr>
          <w:jc w:val="center"/>
        </w:trPr>
        <w:tc>
          <w:tcPr>
            <w:tcW w:w="896" w:type="dxa"/>
            <w:tcBorders>
              <w:top w:val="single" w:sz="6" w:space="0" w:color="auto"/>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I</w:t>
            </w:r>
          </w:p>
        </w:tc>
        <w:tc>
          <w:tcPr>
            <w:tcW w:w="2904" w:type="dxa"/>
            <w:tcBorders>
              <w:top w:val="single" w:sz="6" w:space="0" w:color="auto"/>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6</w:t>
            </w:r>
          </w:p>
        </w:tc>
        <w:tc>
          <w:tcPr>
            <w:tcW w:w="2430" w:type="dxa"/>
            <w:tcBorders>
              <w:top w:val="single" w:sz="6" w:space="0" w:color="auto"/>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0</w:t>
            </w:r>
          </w:p>
        </w:tc>
        <w:tc>
          <w:tcPr>
            <w:tcW w:w="1800" w:type="dxa"/>
            <w:tcBorders>
              <w:top w:val="single" w:sz="6" w:space="0" w:color="auto"/>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6</w:t>
            </w:r>
          </w:p>
        </w:tc>
      </w:tr>
      <w:tr w:rsidR="00516649" w:rsidRPr="00CB6A4C" w:rsidTr="005F603D">
        <w:trPr>
          <w:jc w:val="center"/>
        </w:trPr>
        <w:tc>
          <w:tcPr>
            <w:tcW w:w="896"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II</w:t>
            </w:r>
          </w:p>
        </w:tc>
        <w:tc>
          <w:tcPr>
            <w:tcW w:w="2904"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8</w:t>
            </w:r>
          </w:p>
        </w:tc>
        <w:tc>
          <w:tcPr>
            <w:tcW w:w="243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17</w:t>
            </w:r>
          </w:p>
        </w:tc>
        <w:tc>
          <w:tcPr>
            <w:tcW w:w="180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25</w:t>
            </w:r>
          </w:p>
        </w:tc>
      </w:tr>
      <w:tr w:rsidR="00516649" w:rsidRPr="00CB6A4C" w:rsidTr="005F603D">
        <w:trPr>
          <w:jc w:val="center"/>
        </w:trPr>
        <w:tc>
          <w:tcPr>
            <w:tcW w:w="896"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III</w:t>
            </w:r>
          </w:p>
        </w:tc>
        <w:tc>
          <w:tcPr>
            <w:tcW w:w="2904"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18</w:t>
            </w:r>
          </w:p>
        </w:tc>
        <w:tc>
          <w:tcPr>
            <w:tcW w:w="243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29</w:t>
            </w:r>
          </w:p>
        </w:tc>
        <w:tc>
          <w:tcPr>
            <w:tcW w:w="180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47</w:t>
            </w:r>
          </w:p>
        </w:tc>
      </w:tr>
      <w:tr w:rsidR="00516649" w:rsidRPr="00CB6A4C" w:rsidTr="005F603D">
        <w:trPr>
          <w:jc w:val="center"/>
        </w:trPr>
        <w:tc>
          <w:tcPr>
            <w:tcW w:w="896"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IV</w:t>
            </w:r>
          </w:p>
        </w:tc>
        <w:tc>
          <w:tcPr>
            <w:tcW w:w="2904"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12</w:t>
            </w:r>
          </w:p>
        </w:tc>
        <w:tc>
          <w:tcPr>
            <w:tcW w:w="243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28</w:t>
            </w:r>
          </w:p>
        </w:tc>
        <w:tc>
          <w:tcPr>
            <w:tcW w:w="1800" w:type="dxa"/>
            <w:tcBorders>
              <w:top w:val="nil"/>
              <w:bottom w:val="nil"/>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40</w:t>
            </w:r>
          </w:p>
        </w:tc>
      </w:tr>
      <w:tr w:rsidR="00516649" w:rsidRPr="00CB6A4C" w:rsidTr="005F603D">
        <w:trPr>
          <w:jc w:val="center"/>
        </w:trPr>
        <w:tc>
          <w:tcPr>
            <w:tcW w:w="896" w:type="dxa"/>
            <w:tcBorders>
              <w:top w:val="nil"/>
              <w:bottom w:val="single" w:sz="6" w:space="0" w:color="auto"/>
            </w:tcBorders>
          </w:tcPr>
          <w:p w:rsidR="00516649" w:rsidRPr="005F603D" w:rsidRDefault="00516649" w:rsidP="00381542">
            <w:pPr>
              <w:jc w:val="both"/>
              <w:rPr>
                <w:rFonts w:ascii="Arial" w:hAnsi="Arial" w:cs="Arial"/>
                <w:bCs/>
                <w:sz w:val="20"/>
                <w:szCs w:val="20"/>
              </w:rPr>
            </w:pPr>
          </w:p>
        </w:tc>
        <w:tc>
          <w:tcPr>
            <w:tcW w:w="2904" w:type="dxa"/>
            <w:tcBorders>
              <w:top w:val="nil"/>
              <w:bottom w:val="single" w:sz="6" w:space="0" w:color="auto"/>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44</w:t>
            </w:r>
          </w:p>
        </w:tc>
        <w:tc>
          <w:tcPr>
            <w:tcW w:w="2430" w:type="dxa"/>
            <w:tcBorders>
              <w:top w:val="nil"/>
              <w:bottom w:val="single" w:sz="6" w:space="0" w:color="auto"/>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74</w:t>
            </w:r>
          </w:p>
        </w:tc>
        <w:tc>
          <w:tcPr>
            <w:tcW w:w="1800" w:type="dxa"/>
            <w:tcBorders>
              <w:top w:val="nil"/>
              <w:bottom w:val="single" w:sz="6" w:space="0" w:color="auto"/>
            </w:tcBorders>
          </w:tcPr>
          <w:p w:rsidR="00516649" w:rsidRPr="005F603D" w:rsidRDefault="00516649" w:rsidP="00381542">
            <w:pPr>
              <w:jc w:val="both"/>
              <w:rPr>
                <w:rFonts w:ascii="Arial" w:hAnsi="Arial" w:cs="Arial"/>
                <w:bCs/>
                <w:sz w:val="20"/>
                <w:szCs w:val="20"/>
              </w:rPr>
            </w:pPr>
            <w:r w:rsidRPr="005F603D">
              <w:rPr>
                <w:rFonts w:ascii="Arial" w:hAnsi="Arial" w:cs="Arial"/>
                <w:bCs/>
                <w:sz w:val="20"/>
                <w:szCs w:val="20"/>
              </w:rPr>
              <w:t>118</w:t>
            </w:r>
          </w:p>
        </w:tc>
      </w:tr>
    </w:tbl>
    <w:p w:rsidR="00516649" w:rsidRPr="005F603D" w:rsidRDefault="00516649" w:rsidP="00516649">
      <w:pPr>
        <w:spacing w:after="0" w:line="240" w:lineRule="auto"/>
        <w:jc w:val="both"/>
        <w:rPr>
          <w:rFonts w:ascii="Arial" w:hAnsi="Arial" w:cs="Arial"/>
          <w:bCs/>
          <w:sz w:val="20"/>
          <w:szCs w:val="20"/>
        </w:rPr>
      </w:pPr>
    </w:p>
    <w:p w:rsidR="005F603D" w:rsidRPr="005F603D" w:rsidRDefault="005F603D" w:rsidP="00516649">
      <w:pPr>
        <w:spacing w:after="0" w:line="240" w:lineRule="auto"/>
        <w:jc w:val="both"/>
        <w:rPr>
          <w:rFonts w:ascii="Arial" w:hAnsi="Arial" w:cs="Arial"/>
          <w:bCs/>
          <w:sz w:val="20"/>
          <w:szCs w:val="20"/>
        </w:rPr>
      </w:pPr>
    </w:p>
    <w:p w:rsidR="00516649" w:rsidRPr="005F603D" w:rsidRDefault="00516649" w:rsidP="005F603D">
      <w:pPr>
        <w:pStyle w:val="Caption"/>
        <w:spacing w:after="0"/>
        <w:ind w:firstLine="1260"/>
        <w:jc w:val="both"/>
        <w:rPr>
          <w:rFonts w:ascii="Arial" w:hAnsi="Arial" w:cs="Arial"/>
          <w:noProof/>
          <w:sz w:val="20"/>
          <w:szCs w:val="20"/>
        </w:rPr>
      </w:pPr>
      <w:bookmarkStart w:id="6" w:name="_Toc427201376"/>
      <w:r w:rsidRPr="005F603D">
        <w:rPr>
          <w:rFonts w:ascii="Arial" w:hAnsi="Arial" w:cs="Arial"/>
          <w:sz w:val="20"/>
          <w:szCs w:val="20"/>
        </w:rPr>
        <w:t>Table 4</w:t>
      </w:r>
      <w:r w:rsidR="00B626B5">
        <w:rPr>
          <w:rFonts w:ascii="Arial" w:hAnsi="Arial" w:cs="Arial"/>
          <w:sz w:val="20"/>
          <w:szCs w:val="20"/>
        </w:rPr>
        <w:t>.</w:t>
      </w:r>
      <w:r w:rsidRPr="005F603D">
        <w:rPr>
          <w:rFonts w:ascii="Arial" w:hAnsi="Arial" w:cs="Arial"/>
          <w:noProof/>
          <w:sz w:val="20"/>
          <w:szCs w:val="20"/>
        </w:rPr>
        <w:t xml:space="preserve"> </w:t>
      </w:r>
      <w:r w:rsidRPr="005F603D">
        <w:rPr>
          <w:rFonts w:ascii="Arial" w:hAnsi="Arial" w:cs="Arial"/>
          <w:b w:val="0"/>
          <w:noProof/>
          <w:sz w:val="20"/>
          <w:szCs w:val="20"/>
        </w:rPr>
        <w:t>Second CA125 levels and second ultrasound findings</w:t>
      </w:r>
      <w:bookmarkEnd w:id="6"/>
      <w:r w:rsidRPr="005F603D">
        <w:rPr>
          <w:rFonts w:ascii="Arial" w:hAnsi="Arial" w:cs="Arial"/>
          <w:b w:val="0"/>
          <w:noProof/>
          <w:sz w:val="20"/>
          <w:szCs w:val="20"/>
        </w:rPr>
        <w:t>(follow up)</w:t>
      </w:r>
    </w:p>
    <w:p w:rsidR="005F603D" w:rsidRPr="00B626B5" w:rsidRDefault="005F603D" w:rsidP="005F603D">
      <w:pPr>
        <w:spacing w:after="0" w:line="240" w:lineRule="auto"/>
        <w:rPr>
          <w:rFonts w:ascii="Arial" w:hAnsi="Arial" w:cs="Arial"/>
          <w:sz w:val="16"/>
          <w:szCs w:val="16"/>
        </w:rPr>
      </w:pPr>
    </w:p>
    <w:tbl>
      <w:tblPr>
        <w:tblStyle w:val="TableGrid"/>
        <w:tblW w:w="0" w:type="auto"/>
        <w:jc w:val="center"/>
        <w:tblInd w:w="-1958"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1620"/>
        <w:gridCol w:w="1710"/>
        <w:gridCol w:w="1584"/>
        <w:gridCol w:w="1212"/>
      </w:tblGrid>
      <w:tr w:rsidR="00516649" w:rsidRPr="005F603D" w:rsidTr="005F603D">
        <w:trPr>
          <w:jc w:val="center"/>
        </w:trPr>
        <w:tc>
          <w:tcPr>
            <w:tcW w:w="3607" w:type="dxa"/>
            <w:gridSpan w:val="2"/>
            <w:tcBorders>
              <w:bottom w:val="single" w:sz="6" w:space="0" w:color="auto"/>
            </w:tcBorders>
          </w:tcPr>
          <w:p w:rsidR="00516649" w:rsidRPr="005F603D" w:rsidRDefault="00516649" w:rsidP="005F603D">
            <w:pPr>
              <w:jc w:val="both"/>
              <w:rPr>
                <w:rFonts w:ascii="Arial" w:hAnsi="Arial" w:cs="Arial"/>
                <w:b/>
                <w:bCs/>
                <w:sz w:val="20"/>
                <w:szCs w:val="20"/>
              </w:rPr>
            </w:pPr>
            <w:r w:rsidRPr="005F603D">
              <w:rPr>
                <w:rFonts w:ascii="Arial" w:hAnsi="Arial" w:cs="Arial"/>
                <w:b/>
                <w:bCs/>
                <w:sz w:val="20"/>
                <w:szCs w:val="20"/>
              </w:rPr>
              <w:t>Ultrasound findings</w:t>
            </w:r>
          </w:p>
        </w:tc>
        <w:tc>
          <w:tcPr>
            <w:tcW w:w="1710" w:type="dxa"/>
            <w:tcBorders>
              <w:bottom w:val="single" w:sz="6" w:space="0" w:color="auto"/>
            </w:tcBorders>
          </w:tcPr>
          <w:p w:rsidR="00516649" w:rsidRPr="005F603D" w:rsidRDefault="00516649" w:rsidP="005F603D">
            <w:pPr>
              <w:jc w:val="both"/>
              <w:rPr>
                <w:rFonts w:ascii="Arial" w:hAnsi="Arial" w:cs="Arial"/>
                <w:b/>
                <w:bCs/>
                <w:sz w:val="20"/>
                <w:szCs w:val="20"/>
              </w:rPr>
            </w:pPr>
            <w:r w:rsidRPr="005F603D">
              <w:rPr>
                <w:rFonts w:ascii="Arial" w:hAnsi="Arial" w:cs="Arial"/>
                <w:b/>
                <w:bCs/>
                <w:sz w:val="20"/>
                <w:szCs w:val="20"/>
              </w:rPr>
              <w:t>&lt;35</w:t>
            </w:r>
          </w:p>
        </w:tc>
        <w:tc>
          <w:tcPr>
            <w:tcW w:w="1584" w:type="dxa"/>
            <w:tcBorders>
              <w:bottom w:val="single" w:sz="6" w:space="0" w:color="auto"/>
            </w:tcBorders>
          </w:tcPr>
          <w:p w:rsidR="00516649" w:rsidRPr="005F603D" w:rsidRDefault="00516649" w:rsidP="005F603D">
            <w:pPr>
              <w:jc w:val="both"/>
              <w:rPr>
                <w:rFonts w:ascii="Arial" w:hAnsi="Arial" w:cs="Arial"/>
                <w:b/>
                <w:bCs/>
                <w:sz w:val="20"/>
                <w:szCs w:val="20"/>
              </w:rPr>
            </w:pPr>
            <w:r w:rsidRPr="005F603D">
              <w:rPr>
                <w:rFonts w:ascii="Arial" w:hAnsi="Arial" w:cs="Arial"/>
                <w:b/>
                <w:bCs/>
                <w:sz w:val="20"/>
                <w:szCs w:val="20"/>
              </w:rPr>
              <w:t>&gt;35</w:t>
            </w:r>
          </w:p>
        </w:tc>
        <w:tc>
          <w:tcPr>
            <w:tcW w:w="1212" w:type="dxa"/>
            <w:tcBorders>
              <w:bottom w:val="single" w:sz="6" w:space="0" w:color="auto"/>
            </w:tcBorders>
          </w:tcPr>
          <w:p w:rsidR="00516649" w:rsidRPr="005F603D" w:rsidRDefault="00516649" w:rsidP="005F603D">
            <w:pPr>
              <w:jc w:val="both"/>
              <w:rPr>
                <w:rFonts w:ascii="Arial" w:hAnsi="Arial" w:cs="Arial"/>
                <w:b/>
                <w:bCs/>
                <w:sz w:val="20"/>
                <w:szCs w:val="20"/>
              </w:rPr>
            </w:pPr>
            <w:r w:rsidRPr="005F603D">
              <w:rPr>
                <w:rFonts w:ascii="Arial" w:hAnsi="Arial" w:cs="Arial"/>
                <w:b/>
                <w:bCs/>
                <w:sz w:val="20"/>
                <w:szCs w:val="20"/>
              </w:rPr>
              <w:t>Total</w:t>
            </w:r>
          </w:p>
        </w:tc>
      </w:tr>
      <w:tr w:rsidR="00516649" w:rsidRPr="005F603D" w:rsidTr="005F603D">
        <w:trPr>
          <w:jc w:val="center"/>
        </w:trPr>
        <w:tc>
          <w:tcPr>
            <w:tcW w:w="1987" w:type="dxa"/>
            <w:vMerge w:val="restart"/>
            <w:tcBorders>
              <w:top w:val="single" w:sz="6" w:space="0" w:color="auto"/>
              <w:bottom w:val="nil"/>
            </w:tcBorders>
            <w:vAlign w:val="center"/>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Ascites</w:t>
            </w:r>
          </w:p>
        </w:tc>
        <w:tc>
          <w:tcPr>
            <w:tcW w:w="1620" w:type="dxa"/>
            <w:tcBorders>
              <w:top w:val="single" w:sz="6" w:space="0" w:color="auto"/>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No ascites</w:t>
            </w:r>
          </w:p>
        </w:tc>
        <w:tc>
          <w:tcPr>
            <w:tcW w:w="1710" w:type="dxa"/>
            <w:tcBorders>
              <w:top w:val="single" w:sz="6" w:space="0" w:color="auto"/>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10</w:t>
            </w:r>
          </w:p>
        </w:tc>
        <w:tc>
          <w:tcPr>
            <w:tcW w:w="1584" w:type="dxa"/>
            <w:tcBorders>
              <w:top w:val="single" w:sz="6" w:space="0" w:color="auto"/>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10</w:t>
            </w:r>
          </w:p>
        </w:tc>
        <w:tc>
          <w:tcPr>
            <w:tcW w:w="1212" w:type="dxa"/>
            <w:tcBorders>
              <w:top w:val="single" w:sz="6" w:space="0" w:color="auto"/>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20</w:t>
            </w:r>
          </w:p>
        </w:tc>
      </w:tr>
      <w:tr w:rsidR="00516649" w:rsidRPr="005F603D" w:rsidTr="005F603D">
        <w:trPr>
          <w:jc w:val="center"/>
        </w:trPr>
        <w:tc>
          <w:tcPr>
            <w:tcW w:w="1987" w:type="dxa"/>
            <w:vMerge/>
            <w:tcBorders>
              <w:top w:val="nil"/>
              <w:bottom w:val="nil"/>
            </w:tcBorders>
            <w:vAlign w:val="center"/>
          </w:tcPr>
          <w:p w:rsidR="00516649" w:rsidRPr="005F603D" w:rsidRDefault="00516649" w:rsidP="005F603D">
            <w:pPr>
              <w:jc w:val="both"/>
              <w:rPr>
                <w:rFonts w:ascii="Arial" w:hAnsi="Arial" w:cs="Arial"/>
                <w:bCs/>
                <w:sz w:val="20"/>
                <w:szCs w:val="20"/>
              </w:rPr>
            </w:pP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Mild</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16</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19</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35</w:t>
            </w:r>
          </w:p>
        </w:tc>
      </w:tr>
      <w:tr w:rsidR="00516649" w:rsidRPr="005F603D" w:rsidTr="005F603D">
        <w:trPr>
          <w:jc w:val="center"/>
        </w:trPr>
        <w:tc>
          <w:tcPr>
            <w:tcW w:w="1987" w:type="dxa"/>
            <w:vMerge/>
            <w:tcBorders>
              <w:top w:val="nil"/>
              <w:bottom w:val="nil"/>
            </w:tcBorders>
            <w:vAlign w:val="center"/>
          </w:tcPr>
          <w:p w:rsidR="00516649" w:rsidRPr="005F603D" w:rsidRDefault="00516649" w:rsidP="005F603D">
            <w:pPr>
              <w:jc w:val="both"/>
              <w:rPr>
                <w:rFonts w:ascii="Arial" w:hAnsi="Arial" w:cs="Arial"/>
                <w:bCs/>
                <w:sz w:val="20"/>
                <w:szCs w:val="20"/>
              </w:rPr>
            </w:pP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Moderate</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10</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20</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30</w:t>
            </w:r>
          </w:p>
        </w:tc>
      </w:tr>
      <w:tr w:rsidR="00516649" w:rsidRPr="005F603D" w:rsidTr="005F603D">
        <w:trPr>
          <w:jc w:val="center"/>
        </w:trPr>
        <w:tc>
          <w:tcPr>
            <w:tcW w:w="1987" w:type="dxa"/>
            <w:vMerge/>
            <w:tcBorders>
              <w:top w:val="nil"/>
              <w:bottom w:val="nil"/>
            </w:tcBorders>
            <w:vAlign w:val="center"/>
          </w:tcPr>
          <w:p w:rsidR="00516649" w:rsidRPr="005F603D" w:rsidRDefault="00516649" w:rsidP="005F603D">
            <w:pPr>
              <w:jc w:val="both"/>
              <w:rPr>
                <w:rFonts w:ascii="Arial" w:hAnsi="Arial" w:cs="Arial"/>
                <w:bCs/>
                <w:sz w:val="20"/>
                <w:szCs w:val="20"/>
              </w:rPr>
            </w:pP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Massive</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8</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25</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33</w:t>
            </w:r>
          </w:p>
        </w:tc>
      </w:tr>
      <w:tr w:rsidR="00516649" w:rsidRPr="005F603D" w:rsidTr="005F603D">
        <w:trPr>
          <w:jc w:val="center"/>
        </w:trPr>
        <w:tc>
          <w:tcPr>
            <w:tcW w:w="1987" w:type="dxa"/>
            <w:vMerge w:val="restart"/>
            <w:tcBorders>
              <w:top w:val="nil"/>
              <w:bottom w:val="nil"/>
            </w:tcBorders>
            <w:vAlign w:val="center"/>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Pelvic mass</w:t>
            </w: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Yes</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4</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5</w:t>
            </w:r>
          </w:p>
        </w:tc>
      </w:tr>
      <w:tr w:rsidR="00516649" w:rsidRPr="005F603D" w:rsidTr="005F603D">
        <w:trPr>
          <w:jc w:val="center"/>
        </w:trPr>
        <w:tc>
          <w:tcPr>
            <w:tcW w:w="1987" w:type="dxa"/>
            <w:vMerge/>
            <w:tcBorders>
              <w:top w:val="nil"/>
              <w:bottom w:val="nil"/>
            </w:tcBorders>
            <w:vAlign w:val="center"/>
          </w:tcPr>
          <w:p w:rsidR="00516649" w:rsidRPr="005F603D" w:rsidRDefault="00516649" w:rsidP="005F603D">
            <w:pPr>
              <w:jc w:val="both"/>
              <w:rPr>
                <w:rFonts w:ascii="Arial" w:hAnsi="Arial" w:cs="Arial"/>
                <w:bCs/>
                <w:sz w:val="20"/>
                <w:szCs w:val="20"/>
              </w:rPr>
            </w:pP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No</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43</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70</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113</w:t>
            </w:r>
          </w:p>
        </w:tc>
      </w:tr>
      <w:tr w:rsidR="00516649" w:rsidRPr="005F603D" w:rsidTr="005F603D">
        <w:trPr>
          <w:jc w:val="center"/>
        </w:trPr>
        <w:tc>
          <w:tcPr>
            <w:tcW w:w="1987" w:type="dxa"/>
            <w:vMerge w:val="restart"/>
            <w:tcBorders>
              <w:top w:val="nil"/>
              <w:bottom w:val="nil"/>
            </w:tcBorders>
            <w:vAlign w:val="center"/>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Cyst</w:t>
            </w: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Yes</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0</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2</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2</w:t>
            </w:r>
          </w:p>
        </w:tc>
      </w:tr>
      <w:tr w:rsidR="00516649" w:rsidRPr="005F603D" w:rsidTr="005F603D">
        <w:trPr>
          <w:jc w:val="center"/>
        </w:trPr>
        <w:tc>
          <w:tcPr>
            <w:tcW w:w="1987" w:type="dxa"/>
            <w:vMerge/>
            <w:tcBorders>
              <w:top w:val="nil"/>
              <w:bottom w:val="nil"/>
            </w:tcBorders>
            <w:vAlign w:val="center"/>
          </w:tcPr>
          <w:p w:rsidR="00516649" w:rsidRPr="005F603D" w:rsidRDefault="00516649" w:rsidP="005F603D">
            <w:pPr>
              <w:jc w:val="both"/>
              <w:rPr>
                <w:rFonts w:ascii="Arial" w:hAnsi="Arial" w:cs="Arial"/>
                <w:bCs/>
                <w:sz w:val="20"/>
                <w:szCs w:val="20"/>
              </w:rPr>
            </w:pPr>
          </w:p>
        </w:tc>
        <w:tc>
          <w:tcPr>
            <w:tcW w:w="162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No</w:t>
            </w:r>
          </w:p>
        </w:tc>
        <w:tc>
          <w:tcPr>
            <w:tcW w:w="1710"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44</w:t>
            </w:r>
          </w:p>
        </w:tc>
        <w:tc>
          <w:tcPr>
            <w:tcW w:w="1584"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72</w:t>
            </w:r>
          </w:p>
        </w:tc>
        <w:tc>
          <w:tcPr>
            <w:tcW w:w="1212" w:type="dxa"/>
            <w:tcBorders>
              <w:top w:val="nil"/>
              <w:bottom w:val="nil"/>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116</w:t>
            </w:r>
          </w:p>
        </w:tc>
      </w:tr>
      <w:tr w:rsidR="00516649" w:rsidRPr="005F603D" w:rsidTr="005F603D">
        <w:trPr>
          <w:jc w:val="center"/>
        </w:trPr>
        <w:tc>
          <w:tcPr>
            <w:tcW w:w="3607" w:type="dxa"/>
            <w:gridSpan w:val="2"/>
            <w:tcBorders>
              <w:top w:val="nil"/>
              <w:bottom w:val="single" w:sz="6" w:space="0" w:color="auto"/>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Total</w:t>
            </w:r>
          </w:p>
        </w:tc>
        <w:tc>
          <w:tcPr>
            <w:tcW w:w="1710" w:type="dxa"/>
            <w:tcBorders>
              <w:top w:val="nil"/>
              <w:bottom w:val="single" w:sz="6" w:space="0" w:color="auto"/>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44</w:t>
            </w:r>
          </w:p>
        </w:tc>
        <w:tc>
          <w:tcPr>
            <w:tcW w:w="1584" w:type="dxa"/>
            <w:tcBorders>
              <w:top w:val="nil"/>
              <w:bottom w:val="single" w:sz="6" w:space="0" w:color="auto"/>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74</w:t>
            </w:r>
          </w:p>
        </w:tc>
        <w:tc>
          <w:tcPr>
            <w:tcW w:w="1212" w:type="dxa"/>
            <w:tcBorders>
              <w:top w:val="nil"/>
              <w:bottom w:val="single" w:sz="6" w:space="0" w:color="auto"/>
            </w:tcBorders>
          </w:tcPr>
          <w:p w:rsidR="00516649" w:rsidRPr="005F603D" w:rsidRDefault="00516649" w:rsidP="005F603D">
            <w:pPr>
              <w:jc w:val="both"/>
              <w:rPr>
                <w:rFonts w:ascii="Arial" w:hAnsi="Arial" w:cs="Arial"/>
                <w:bCs/>
                <w:sz w:val="20"/>
                <w:szCs w:val="20"/>
              </w:rPr>
            </w:pPr>
            <w:r w:rsidRPr="005F603D">
              <w:rPr>
                <w:rFonts w:ascii="Arial" w:hAnsi="Arial" w:cs="Arial"/>
                <w:bCs/>
                <w:sz w:val="20"/>
                <w:szCs w:val="20"/>
              </w:rPr>
              <w:t>118</w:t>
            </w:r>
          </w:p>
        </w:tc>
      </w:tr>
    </w:tbl>
    <w:p w:rsidR="00516649" w:rsidRPr="005F603D" w:rsidRDefault="00516649" w:rsidP="005F603D">
      <w:pPr>
        <w:spacing w:after="0" w:line="240" w:lineRule="auto"/>
        <w:jc w:val="both"/>
        <w:rPr>
          <w:rFonts w:ascii="Arial" w:hAnsi="Arial" w:cs="Arial"/>
          <w:sz w:val="20"/>
          <w:szCs w:val="20"/>
        </w:rPr>
      </w:pPr>
    </w:p>
    <w:p w:rsidR="00516649" w:rsidRDefault="00516649" w:rsidP="00FC6F33">
      <w:pPr>
        <w:spacing w:after="0" w:line="240" w:lineRule="auto"/>
        <w:jc w:val="both"/>
        <w:rPr>
          <w:rFonts w:ascii="Arial" w:hAnsi="Arial" w:cs="Arial"/>
          <w:sz w:val="20"/>
          <w:szCs w:val="20"/>
        </w:rPr>
      </w:pPr>
    </w:p>
    <w:p w:rsidR="00B626B5" w:rsidRDefault="00B626B5" w:rsidP="00B626B5">
      <w:pPr>
        <w:spacing w:after="0" w:line="240" w:lineRule="auto"/>
        <w:jc w:val="both"/>
        <w:rPr>
          <w:rFonts w:ascii="Arial" w:hAnsi="Arial" w:cs="Arial"/>
          <w:sz w:val="20"/>
          <w:szCs w:val="20"/>
        </w:rPr>
      </w:pPr>
    </w:p>
    <w:p w:rsidR="00B626B5" w:rsidRDefault="00B626B5" w:rsidP="00B626B5">
      <w:pPr>
        <w:spacing w:after="0" w:line="240" w:lineRule="auto"/>
        <w:jc w:val="both"/>
        <w:rPr>
          <w:rFonts w:ascii="Arial" w:hAnsi="Arial" w:cs="Arial"/>
          <w:sz w:val="20"/>
          <w:szCs w:val="20"/>
        </w:rPr>
        <w:sectPr w:rsidR="00B626B5" w:rsidSect="00516649">
          <w:type w:val="continuous"/>
          <w:pgSz w:w="12240" w:h="15840" w:code="1"/>
          <w:pgMar w:top="576" w:right="720" w:bottom="1008" w:left="864" w:header="706" w:footer="706" w:gutter="0"/>
          <w:cols w:space="432"/>
          <w:docGrid w:linePitch="360"/>
        </w:sectPr>
      </w:pPr>
    </w:p>
    <w:p w:rsidR="00B626B5" w:rsidRDefault="00B626B5" w:rsidP="00B626B5">
      <w:pPr>
        <w:spacing w:after="0" w:line="240" w:lineRule="auto"/>
        <w:jc w:val="both"/>
        <w:rPr>
          <w:rFonts w:ascii="Arial" w:hAnsi="Arial" w:cs="Arial"/>
          <w:sz w:val="20"/>
          <w:szCs w:val="20"/>
        </w:rPr>
      </w:pPr>
      <w:r w:rsidRPr="00FC6F33">
        <w:rPr>
          <w:rFonts w:ascii="Arial" w:hAnsi="Arial" w:cs="Arial"/>
          <w:sz w:val="20"/>
          <w:szCs w:val="20"/>
        </w:rPr>
        <w:lastRenderedPageBreak/>
        <w:t>6 cases had el</w:t>
      </w:r>
      <w:r>
        <w:rPr>
          <w:rFonts w:ascii="Arial" w:hAnsi="Arial" w:cs="Arial"/>
          <w:sz w:val="20"/>
          <w:szCs w:val="20"/>
        </w:rPr>
        <w:t xml:space="preserve">evated CA125 level. </w:t>
      </w:r>
      <w:r w:rsidRPr="00FC6F33">
        <w:rPr>
          <w:rFonts w:ascii="Arial" w:hAnsi="Arial" w:cs="Arial"/>
          <w:sz w:val="20"/>
          <w:szCs w:val="20"/>
        </w:rPr>
        <w:t>Concerning pelvic mass; 91 cases had pelvic mass, in which 72 cases had elevated CA125 levels and 19 cases had normal CA125 level.</w:t>
      </w:r>
      <w:r>
        <w:rPr>
          <w:rFonts w:ascii="Arial" w:hAnsi="Arial" w:cs="Arial"/>
          <w:sz w:val="20"/>
          <w:szCs w:val="20"/>
        </w:rPr>
        <w:t xml:space="preserve"> </w:t>
      </w:r>
      <w:r w:rsidRPr="00FC6F33">
        <w:rPr>
          <w:rFonts w:ascii="Arial" w:hAnsi="Arial" w:cs="Arial"/>
          <w:sz w:val="20"/>
          <w:szCs w:val="20"/>
        </w:rPr>
        <w:t>Cyst observation; 85 cases had cyst observation, in which 70 cases had elevated CA125 levels and 15 cases had normal CA125 level (table</w:t>
      </w:r>
      <w:r>
        <w:rPr>
          <w:rFonts w:ascii="Arial" w:hAnsi="Arial" w:cs="Arial"/>
          <w:sz w:val="20"/>
          <w:szCs w:val="20"/>
        </w:rPr>
        <w:t xml:space="preserve"> </w:t>
      </w:r>
      <w:r w:rsidRPr="00FC6F33">
        <w:rPr>
          <w:rFonts w:ascii="Arial" w:hAnsi="Arial" w:cs="Arial"/>
          <w:sz w:val="20"/>
          <w:szCs w:val="20"/>
        </w:rPr>
        <w:t>2).</w:t>
      </w:r>
    </w:p>
    <w:p w:rsidR="00B626B5" w:rsidRPr="00FC6F33" w:rsidRDefault="00B626B5" w:rsidP="00B626B5">
      <w:pPr>
        <w:pStyle w:val="Caption"/>
        <w:spacing w:after="0"/>
        <w:jc w:val="both"/>
        <w:rPr>
          <w:rFonts w:ascii="Arial" w:hAnsi="Arial" w:cs="Arial"/>
          <w:sz w:val="20"/>
          <w:szCs w:val="20"/>
        </w:rPr>
      </w:pPr>
      <w:r w:rsidRPr="00FC6F33">
        <w:rPr>
          <w:rFonts w:ascii="Arial" w:hAnsi="Arial" w:cs="Arial"/>
          <w:noProof/>
          <w:sz w:val="20"/>
          <w:szCs w:val="20"/>
        </w:rPr>
        <w:lastRenderedPageBreak/>
        <w:t>Second CA 125 levels and  second histological staging(follow up)</w:t>
      </w:r>
    </w:p>
    <w:p w:rsidR="00B626B5" w:rsidRDefault="00B626B5" w:rsidP="00B626B5">
      <w:pPr>
        <w:spacing w:after="0" w:line="240" w:lineRule="auto"/>
        <w:jc w:val="both"/>
        <w:rPr>
          <w:rFonts w:ascii="Arial" w:hAnsi="Arial" w:cs="Arial"/>
          <w:sz w:val="20"/>
          <w:szCs w:val="20"/>
        </w:rPr>
      </w:pPr>
    </w:p>
    <w:p w:rsidR="00B626B5" w:rsidRDefault="00B626B5" w:rsidP="00B626B5">
      <w:pPr>
        <w:spacing w:after="0" w:line="240" w:lineRule="auto"/>
        <w:jc w:val="both"/>
        <w:rPr>
          <w:rFonts w:ascii="Arial" w:hAnsi="Arial" w:cs="Arial"/>
          <w:sz w:val="20"/>
          <w:szCs w:val="20"/>
        </w:rPr>
      </w:pPr>
      <w:r w:rsidRPr="00FC6F33">
        <w:rPr>
          <w:rFonts w:ascii="Arial" w:hAnsi="Arial" w:cs="Arial"/>
          <w:sz w:val="20"/>
          <w:szCs w:val="20"/>
        </w:rPr>
        <w:t>In the second diagnosis of CA125 the overall population reduced to 118. The elevated levels of CA125 was shown in</w:t>
      </w:r>
      <w:r>
        <w:rPr>
          <w:rFonts w:ascii="Arial" w:hAnsi="Arial" w:cs="Arial"/>
          <w:sz w:val="20"/>
          <w:szCs w:val="20"/>
        </w:rPr>
        <w:t xml:space="preserve">  </w:t>
      </w:r>
      <w:r w:rsidRPr="00FC6F33">
        <w:rPr>
          <w:rFonts w:ascii="Arial" w:hAnsi="Arial" w:cs="Arial"/>
          <w:sz w:val="20"/>
          <w:szCs w:val="20"/>
        </w:rPr>
        <w:t xml:space="preserve"> 74</w:t>
      </w:r>
      <w:r>
        <w:rPr>
          <w:rFonts w:ascii="Arial" w:hAnsi="Arial" w:cs="Arial"/>
          <w:sz w:val="20"/>
          <w:szCs w:val="20"/>
        </w:rPr>
        <w:t xml:space="preserve">   </w:t>
      </w:r>
      <w:r w:rsidRPr="00FC6F33">
        <w:rPr>
          <w:rFonts w:ascii="Arial" w:hAnsi="Arial" w:cs="Arial"/>
          <w:sz w:val="20"/>
          <w:szCs w:val="20"/>
        </w:rPr>
        <w:t>(59.68%), and the means of the second level was</w:t>
      </w:r>
    </w:p>
    <w:p w:rsidR="00B626B5" w:rsidRDefault="00B626B5" w:rsidP="00B626B5">
      <w:pPr>
        <w:spacing w:after="0" w:line="240" w:lineRule="auto"/>
        <w:jc w:val="both"/>
        <w:rPr>
          <w:rFonts w:ascii="Arial" w:hAnsi="Arial" w:cs="Arial"/>
          <w:sz w:val="20"/>
          <w:szCs w:val="20"/>
        </w:rPr>
        <w:sectPr w:rsidR="00B626B5" w:rsidSect="00B626B5">
          <w:type w:val="continuous"/>
          <w:pgSz w:w="12240" w:h="15840" w:code="1"/>
          <w:pgMar w:top="576" w:right="720" w:bottom="1008" w:left="864" w:header="706" w:footer="706" w:gutter="0"/>
          <w:cols w:num="2" w:space="432"/>
          <w:docGrid w:linePitch="360"/>
        </w:sectPr>
      </w:pPr>
    </w:p>
    <w:p w:rsidR="005F603D" w:rsidRDefault="001E39B6" w:rsidP="00B626B5">
      <w:pPr>
        <w:spacing w:after="0" w:line="240" w:lineRule="auto"/>
        <w:jc w:val="both"/>
        <w:rPr>
          <w:rFonts w:ascii="Arial" w:hAnsi="Arial" w:cs="Arial"/>
          <w:sz w:val="20"/>
          <w:szCs w:val="20"/>
        </w:rPr>
      </w:pPr>
      <w:r>
        <w:rPr>
          <w:rFonts w:ascii="Arial" w:hAnsi="Arial" w:cs="Arial"/>
          <w:sz w:val="20"/>
          <w:szCs w:val="20"/>
        </w:rPr>
        <w:lastRenderedPageBreak/>
        <w:t>J. Med. Med. Sci. 16</w:t>
      </w:r>
    </w:p>
    <w:p w:rsidR="005F603D" w:rsidRDefault="005F603D" w:rsidP="00FC6F33">
      <w:pPr>
        <w:spacing w:after="0" w:line="240" w:lineRule="auto"/>
        <w:jc w:val="both"/>
        <w:rPr>
          <w:rFonts w:ascii="Arial" w:hAnsi="Arial" w:cs="Arial"/>
          <w:sz w:val="20"/>
          <w:szCs w:val="20"/>
        </w:rPr>
      </w:pPr>
    </w:p>
    <w:p w:rsidR="005F603D" w:rsidRDefault="005F603D" w:rsidP="00FC6F33">
      <w:pPr>
        <w:spacing w:after="0" w:line="240" w:lineRule="auto"/>
        <w:jc w:val="both"/>
        <w:rPr>
          <w:rFonts w:ascii="Arial" w:hAnsi="Arial" w:cs="Arial"/>
          <w:sz w:val="20"/>
          <w:szCs w:val="20"/>
        </w:rPr>
      </w:pPr>
    </w:p>
    <w:p w:rsidR="005F603D" w:rsidRPr="00B626B5" w:rsidRDefault="005F603D" w:rsidP="00B626B5">
      <w:pPr>
        <w:pStyle w:val="Caption"/>
        <w:spacing w:after="0"/>
        <w:ind w:firstLine="1260"/>
        <w:jc w:val="both"/>
        <w:rPr>
          <w:rFonts w:ascii="Arial" w:hAnsi="Arial" w:cs="Arial"/>
          <w:b w:val="0"/>
          <w:noProof/>
          <w:sz w:val="20"/>
          <w:szCs w:val="20"/>
        </w:rPr>
      </w:pPr>
      <w:bookmarkStart w:id="7" w:name="_Toc427201377"/>
      <w:r w:rsidRPr="00B626B5">
        <w:rPr>
          <w:rFonts w:ascii="Arial" w:hAnsi="Arial" w:cs="Arial"/>
          <w:sz w:val="20"/>
          <w:szCs w:val="20"/>
        </w:rPr>
        <w:t>Table 5</w:t>
      </w:r>
      <w:r w:rsidR="00B626B5">
        <w:rPr>
          <w:rFonts w:ascii="Arial" w:hAnsi="Arial" w:cs="Arial"/>
          <w:noProof/>
          <w:sz w:val="20"/>
          <w:szCs w:val="20"/>
        </w:rPr>
        <w:t>.</w:t>
      </w:r>
      <w:r w:rsidRPr="00B626B5">
        <w:rPr>
          <w:rFonts w:ascii="Arial" w:hAnsi="Arial" w:cs="Arial"/>
          <w:noProof/>
          <w:sz w:val="20"/>
          <w:szCs w:val="20"/>
        </w:rPr>
        <w:t xml:space="preserve"> </w:t>
      </w:r>
      <w:r w:rsidRPr="00B626B5">
        <w:rPr>
          <w:rFonts w:ascii="Arial" w:hAnsi="Arial" w:cs="Arial"/>
          <w:b w:val="0"/>
          <w:noProof/>
          <w:sz w:val="20"/>
          <w:szCs w:val="20"/>
        </w:rPr>
        <w:t>Third CA125 levels and histological staging</w:t>
      </w:r>
      <w:bookmarkEnd w:id="7"/>
      <w:r w:rsidRPr="00B626B5">
        <w:rPr>
          <w:rFonts w:ascii="Arial" w:hAnsi="Arial" w:cs="Arial"/>
          <w:b w:val="0"/>
          <w:noProof/>
          <w:sz w:val="20"/>
          <w:szCs w:val="20"/>
        </w:rPr>
        <w:t>(follow up)</w:t>
      </w:r>
    </w:p>
    <w:p w:rsidR="005F603D" w:rsidRPr="00B626B5" w:rsidRDefault="005F603D" w:rsidP="00B626B5">
      <w:pPr>
        <w:spacing w:after="0" w:line="240" w:lineRule="auto"/>
        <w:rPr>
          <w:rFonts w:ascii="Arial" w:hAnsi="Arial" w:cs="Arial"/>
          <w:sz w:val="20"/>
          <w:szCs w:val="20"/>
        </w:rPr>
      </w:pPr>
    </w:p>
    <w:tbl>
      <w:tblPr>
        <w:tblStyle w:val="TableGrid"/>
        <w:tblW w:w="0" w:type="auto"/>
        <w:jc w:val="center"/>
        <w:tblInd w:w="-2869"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800"/>
        <w:gridCol w:w="2160"/>
        <w:gridCol w:w="2160"/>
      </w:tblGrid>
      <w:tr w:rsidR="005F603D" w:rsidRPr="00B626B5" w:rsidTr="00B626B5">
        <w:trPr>
          <w:jc w:val="center"/>
        </w:trPr>
        <w:tc>
          <w:tcPr>
            <w:tcW w:w="1880" w:type="dxa"/>
            <w:tcBorders>
              <w:bottom w:val="single" w:sz="6" w:space="0" w:color="auto"/>
            </w:tcBorders>
            <w:vAlign w:val="center"/>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Stage</w:t>
            </w:r>
          </w:p>
        </w:tc>
        <w:tc>
          <w:tcPr>
            <w:tcW w:w="1800"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&lt;35</w:t>
            </w:r>
          </w:p>
        </w:tc>
        <w:tc>
          <w:tcPr>
            <w:tcW w:w="2160"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&gt;35</w:t>
            </w:r>
          </w:p>
        </w:tc>
        <w:tc>
          <w:tcPr>
            <w:tcW w:w="2160"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Total</w:t>
            </w:r>
          </w:p>
        </w:tc>
      </w:tr>
      <w:tr w:rsidR="005F603D" w:rsidRPr="00B626B5" w:rsidTr="00B626B5">
        <w:trPr>
          <w:jc w:val="center"/>
        </w:trPr>
        <w:tc>
          <w:tcPr>
            <w:tcW w:w="1880"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I</w:t>
            </w:r>
          </w:p>
        </w:tc>
        <w:tc>
          <w:tcPr>
            <w:tcW w:w="1800"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0</w:t>
            </w:r>
          </w:p>
        </w:tc>
        <w:tc>
          <w:tcPr>
            <w:tcW w:w="2160"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0</w:t>
            </w:r>
          </w:p>
        </w:tc>
        <w:tc>
          <w:tcPr>
            <w:tcW w:w="2160"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0</w:t>
            </w:r>
          </w:p>
        </w:tc>
      </w:tr>
      <w:tr w:rsidR="005F603D" w:rsidRPr="00B626B5" w:rsidTr="00B626B5">
        <w:trPr>
          <w:jc w:val="center"/>
        </w:trPr>
        <w:tc>
          <w:tcPr>
            <w:tcW w:w="188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II</w:t>
            </w:r>
          </w:p>
        </w:tc>
        <w:tc>
          <w:tcPr>
            <w:tcW w:w="180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6</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12</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18</w:t>
            </w:r>
          </w:p>
        </w:tc>
      </w:tr>
      <w:tr w:rsidR="005F603D" w:rsidRPr="00B626B5" w:rsidTr="00B626B5">
        <w:trPr>
          <w:jc w:val="center"/>
        </w:trPr>
        <w:tc>
          <w:tcPr>
            <w:tcW w:w="188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III</w:t>
            </w:r>
          </w:p>
        </w:tc>
        <w:tc>
          <w:tcPr>
            <w:tcW w:w="180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11</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22</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33</w:t>
            </w:r>
          </w:p>
        </w:tc>
      </w:tr>
      <w:tr w:rsidR="005F603D" w:rsidRPr="00B626B5" w:rsidTr="00B626B5">
        <w:trPr>
          <w:jc w:val="center"/>
        </w:trPr>
        <w:tc>
          <w:tcPr>
            <w:tcW w:w="188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IV</w:t>
            </w:r>
          </w:p>
        </w:tc>
        <w:tc>
          <w:tcPr>
            <w:tcW w:w="180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7</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20</w:t>
            </w:r>
          </w:p>
        </w:tc>
        <w:tc>
          <w:tcPr>
            <w:tcW w:w="216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27</w:t>
            </w:r>
          </w:p>
        </w:tc>
      </w:tr>
      <w:tr w:rsidR="005F603D" w:rsidRPr="00B626B5" w:rsidTr="00B626B5">
        <w:trPr>
          <w:jc w:val="center"/>
        </w:trPr>
        <w:tc>
          <w:tcPr>
            <w:tcW w:w="1880" w:type="dxa"/>
            <w:tcBorders>
              <w:top w:val="nil"/>
              <w:bottom w:val="single" w:sz="6" w:space="0" w:color="auto"/>
            </w:tcBorders>
          </w:tcPr>
          <w:p w:rsidR="005F603D" w:rsidRPr="00B626B5" w:rsidRDefault="005F603D" w:rsidP="00B626B5">
            <w:pPr>
              <w:jc w:val="both"/>
              <w:rPr>
                <w:rFonts w:ascii="Arial" w:hAnsi="Arial" w:cs="Arial"/>
                <w:bCs/>
                <w:sz w:val="20"/>
                <w:szCs w:val="20"/>
              </w:rPr>
            </w:pPr>
          </w:p>
        </w:tc>
        <w:tc>
          <w:tcPr>
            <w:tcW w:w="1800"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24</w:t>
            </w:r>
          </w:p>
        </w:tc>
        <w:tc>
          <w:tcPr>
            <w:tcW w:w="2160"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54</w:t>
            </w:r>
          </w:p>
        </w:tc>
        <w:tc>
          <w:tcPr>
            <w:tcW w:w="2160"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78</w:t>
            </w:r>
          </w:p>
        </w:tc>
      </w:tr>
    </w:tbl>
    <w:p w:rsidR="005F603D" w:rsidRDefault="005F603D" w:rsidP="00B626B5">
      <w:pPr>
        <w:spacing w:after="0" w:line="240" w:lineRule="auto"/>
        <w:jc w:val="both"/>
        <w:rPr>
          <w:rFonts w:ascii="Arial" w:hAnsi="Arial" w:cs="Arial"/>
          <w:b/>
          <w:bCs/>
          <w:sz w:val="20"/>
          <w:szCs w:val="20"/>
        </w:rPr>
      </w:pPr>
    </w:p>
    <w:p w:rsidR="00B626B5" w:rsidRPr="00B626B5" w:rsidRDefault="00B626B5" w:rsidP="00B626B5">
      <w:pPr>
        <w:spacing w:after="0" w:line="240" w:lineRule="auto"/>
        <w:jc w:val="both"/>
        <w:rPr>
          <w:rFonts w:ascii="Arial" w:hAnsi="Arial" w:cs="Arial"/>
          <w:b/>
          <w:bCs/>
          <w:sz w:val="20"/>
          <w:szCs w:val="20"/>
        </w:rPr>
      </w:pPr>
    </w:p>
    <w:p w:rsidR="005F603D" w:rsidRPr="00B626B5" w:rsidRDefault="005F603D" w:rsidP="00B626B5">
      <w:pPr>
        <w:pStyle w:val="Caption"/>
        <w:spacing w:after="0"/>
        <w:ind w:firstLine="1260"/>
        <w:jc w:val="both"/>
        <w:rPr>
          <w:rFonts w:ascii="Arial" w:hAnsi="Arial" w:cs="Arial"/>
          <w:b w:val="0"/>
          <w:noProof/>
          <w:sz w:val="20"/>
          <w:szCs w:val="20"/>
        </w:rPr>
      </w:pPr>
      <w:bookmarkStart w:id="8" w:name="_Toc427201378"/>
      <w:r w:rsidRPr="00B626B5">
        <w:rPr>
          <w:rFonts w:ascii="Arial" w:hAnsi="Arial" w:cs="Arial"/>
          <w:sz w:val="20"/>
          <w:szCs w:val="20"/>
        </w:rPr>
        <w:t>Table 6</w:t>
      </w:r>
      <w:r w:rsidR="00B626B5">
        <w:rPr>
          <w:rFonts w:ascii="Arial" w:hAnsi="Arial" w:cs="Arial"/>
          <w:noProof/>
          <w:sz w:val="20"/>
          <w:szCs w:val="20"/>
        </w:rPr>
        <w:t>.</w:t>
      </w:r>
      <w:r w:rsidRPr="00B626B5">
        <w:rPr>
          <w:rFonts w:ascii="Arial" w:hAnsi="Arial" w:cs="Arial"/>
          <w:noProof/>
          <w:sz w:val="20"/>
          <w:szCs w:val="20"/>
        </w:rPr>
        <w:t xml:space="preserve"> </w:t>
      </w:r>
      <w:r w:rsidRPr="00B626B5">
        <w:rPr>
          <w:rFonts w:ascii="Arial" w:hAnsi="Arial" w:cs="Arial"/>
          <w:b w:val="0"/>
          <w:noProof/>
          <w:sz w:val="20"/>
          <w:szCs w:val="20"/>
        </w:rPr>
        <w:t>Third CA125 levels and ultrasound findings</w:t>
      </w:r>
      <w:bookmarkEnd w:id="8"/>
      <w:r w:rsidRPr="00B626B5">
        <w:rPr>
          <w:rFonts w:ascii="Arial" w:hAnsi="Arial" w:cs="Arial"/>
          <w:b w:val="0"/>
          <w:noProof/>
          <w:sz w:val="20"/>
          <w:szCs w:val="20"/>
        </w:rPr>
        <w:t>(follow up)</w:t>
      </w:r>
    </w:p>
    <w:p w:rsidR="005F603D" w:rsidRPr="00B626B5" w:rsidRDefault="005F603D" w:rsidP="00B626B5">
      <w:pPr>
        <w:spacing w:after="0" w:line="240" w:lineRule="auto"/>
        <w:rPr>
          <w:rFonts w:ascii="Arial" w:hAnsi="Arial" w:cs="Arial"/>
          <w:sz w:val="20"/>
          <w:szCs w:val="20"/>
        </w:rPr>
      </w:pPr>
    </w:p>
    <w:tbl>
      <w:tblPr>
        <w:tblStyle w:val="TableGrid"/>
        <w:tblpPr w:leftFromText="180" w:rightFromText="180" w:vertAnchor="text" w:tblpXSpec="center" w:tblpY="1"/>
        <w:tblOverlap w:val="never"/>
        <w:tblW w:w="0" w:type="auto"/>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1620"/>
        <w:gridCol w:w="1795"/>
        <w:gridCol w:w="1276"/>
        <w:gridCol w:w="1212"/>
      </w:tblGrid>
      <w:tr w:rsidR="005F603D" w:rsidRPr="00B626B5" w:rsidTr="00B626B5">
        <w:tc>
          <w:tcPr>
            <w:tcW w:w="3708" w:type="dxa"/>
            <w:gridSpan w:val="2"/>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Ultrasound findings</w:t>
            </w:r>
          </w:p>
        </w:tc>
        <w:tc>
          <w:tcPr>
            <w:tcW w:w="1795"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&lt;35</w:t>
            </w:r>
          </w:p>
        </w:tc>
        <w:tc>
          <w:tcPr>
            <w:tcW w:w="1276"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&gt;35</w:t>
            </w:r>
          </w:p>
        </w:tc>
        <w:tc>
          <w:tcPr>
            <w:tcW w:w="1212" w:type="dxa"/>
            <w:tcBorders>
              <w:bottom w:val="single" w:sz="6" w:space="0" w:color="auto"/>
            </w:tcBorders>
          </w:tcPr>
          <w:p w:rsidR="005F603D" w:rsidRPr="00B626B5" w:rsidRDefault="005F603D" w:rsidP="00B626B5">
            <w:pPr>
              <w:jc w:val="both"/>
              <w:rPr>
                <w:rFonts w:ascii="Arial" w:hAnsi="Arial" w:cs="Arial"/>
                <w:b/>
                <w:bCs/>
                <w:sz w:val="20"/>
                <w:szCs w:val="20"/>
              </w:rPr>
            </w:pPr>
            <w:r w:rsidRPr="00B626B5">
              <w:rPr>
                <w:rFonts w:ascii="Arial" w:hAnsi="Arial" w:cs="Arial"/>
                <w:b/>
                <w:bCs/>
                <w:sz w:val="20"/>
                <w:szCs w:val="20"/>
              </w:rPr>
              <w:t>Total</w:t>
            </w:r>
          </w:p>
        </w:tc>
      </w:tr>
      <w:tr w:rsidR="005F603D" w:rsidRPr="00B626B5" w:rsidTr="00B626B5">
        <w:tc>
          <w:tcPr>
            <w:tcW w:w="2088" w:type="dxa"/>
            <w:vMerge w:val="restart"/>
            <w:tcBorders>
              <w:top w:val="single" w:sz="6" w:space="0" w:color="auto"/>
              <w:bottom w:val="nil"/>
            </w:tcBorders>
            <w:vAlign w:val="center"/>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Ascites</w:t>
            </w:r>
          </w:p>
        </w:tc>
        <w:tc>
          <w:tcPr>
            <w:tcW w:w="1620"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No ascites</w:t>
            </w:r>
          </w:p>
        </w:tc>
        <w:tc>
          <w:tcPr>
            <w:tcW w:w="1795"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9</w:t>
            </w:r>
          </w:p>
        </w:tc>
        <w:tc>
          <w:tcPr>
            <w:tcW w:w="1276"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4</w:t>
            </w:r>
          </w:p>
        </w:tc>
        <w:tc>
          <w:tcPr>
            <w:tcW w:w="1212" w:type="dxa"/>
            <w:tcBorders>
              <w:top w:val="single" w:sz="6" w:space="0" w:color="auto"/>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13</w:t>
            </w:r>
          </w:p>
        </w:tc>
      </w:tr>
      <w:tr w:rsidR="005F603D" w:rsidRPr="00B626B5" w:rsidTr="00B626B5">
        <w:tc>
          <w:tcPr>
            <w:tcW w:w="2088" w:type="dxa"/>
            <w:vMerge/>
            <w:tcBorders>
              <w:top w:val="nil"/>
              <w:bottom w:val="nil"/>
            </w:tcBorders>
            <w:vAlign w:val="center"/>
          </w:tcPr>
          <w:p w:rsidR="005F603D" w:rsidRPr="00B626B5" w:rsidRDefault="005F603D" w:rsidP="00B626B5">
            <w:pPr>
              <w:jc w:val="both"/>
              <w:rPr>
                <w:rFonts w:ascii="Arial" w:hAnsi="Arial" w:cs="Arial"/>
                <w:bCs/>
                <w:sz w:val="20"/>
                <w:szCs w:val="20"/>
              </w:rPr>
            </w:pP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Mild</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6</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11</w:t>
            </w:r>
          </w:p>
        </w:tc>
      </w:tr>
      <w:tr w:rsidR="005F603D" w:rsidRPr="00B626B5" w:rsidTr="00B626B5">
        <w:tc>
          <w:tcPr>
            <w:tcW w:w="2088" w:type="dxa"/>
            <w:vMerge/>
            <w:tcBorders>
              <w:top w:val="nil"/>
              <w:bottom w:val="nil"/>
            </w:tcBorders>
            <w:vAlign w:val="center"/>
          </w:tcPr>
          <w:p w:rsidR="005F603D" w:rsidRPr="00B626B5" w:rsidRDefault="005F603D" w:rsidP="00B626B5">
            <w:pPr>
              <w:jc w:val="both"/>
              <w:rPr>
                <w:rFonts w:ascii="Arial" w:hAnsi="Arial" w:cs="Arial"/>
                <w:bCs/>
                <w:sz w:val="20"/>
                <w:szCs w:val="20"/>
              </w:rPr>
            </w:pP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Moderate</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17</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22</w:t>
            </w:r>
          </w:p>
        </w:tc>
      </w:tr>
      <w:tr w:rsidR="005F603D" w:rsidRPr="00B626B5" w:rsidTr="00B626B5">
        <w:tc>
          <w:tcPr>
            <w:tcW w:w="2088" w:type="dxa"/>
            <w:vMerge/>
            <w:tcBorders>
              <w:top w:val="nil"/>
              <w:bottom w:val="nil"/>
            </w:tcBorders>
            <w:vAlign w:val="center"/>
          </w:tcPr>
          <w:p w:rsidR="005F603D" w:rsidRPr="00B626B5" w:rsidRDefault="005F603D" w:rsidP="00B626B5">
            <w:pPr>
              <w:jc w:val="both"/>
              <w:rPr>
                <w:rFonts w:ascii="Arial" w:hAnsi="Arial" w:cs="Arial"/>
                <w:bCs/>
                <w:sz w:val="20"/>
                <w:szCs w:val="20"/>
              </w:rPr>
            </w:pP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Massive</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6</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26</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32</w:t>
            </w:r>
          </w:p>
        </w:tc>
      </w:tr>
      <w:tr w:rsidR="005F603D" w:rsidRPr="00B626B5" w:rsidTr="00B626B5">
        <w:tc>
          <w:tcPr>
            <w:tcW w:w="2088" w:type="dxa"/>
            <w:vMerge w:val="restart"/>
            <w:tcBorders>
              <w:top w:val="nil"/>
              <w:bottom w:val="nil"/>
            </w:tcBorders>
            <w:vAlign w:val="center"/>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Pelvic mass</w:t>
            </w: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Yes</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0</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4</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4</w:t>
            </w:r>
          </w:p>
        </w:tc>
      </w:tr>
      <w:tr w:rsidR="005F603D" w:rsidRPr="00B626B5" w:rsidTr="00B626B5">
        <w:tc>
          <w:tcPr>
            <w:tcW w:w="2088" w:type="dxa"/>
            <w:vMerge/>
            <w:tcBorders>
              <w:top w:val="nil"/>
              <w:bottom w:val="nil"/>
            </w:tcBorders>
            <w:vAlign w:val="center"/>
          </w:tcPr>
          <w:p w:rsidR="005F603D" w:rsidRPr="00B626B5" w:rsidRDefault="005F603D" w:rsidP="00B626B5">
            <w:pPr>
              <w:jc w:val="both"/>
              <w:rPr>
                <w:rFonts w:ascii="Arial" w:hAnsi="Arial" w:cs="Arial"/>
                <w:bCs/>
                <w:sz w:val="20"/>
                <w:szCs w:val="20"/>
              </w:rPr>
            </w:pP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No</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24</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50</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74</w:t>
            </w:r>
          </w:p>
        </w:tc>
      </w:tr>
      <w:tr w:rsidR="005F603D" w:rsidRPr="00B626B5" w:rsidTr="00B626B5">
        <w:tc>
          <w:tcPr>
            <w:tcW w:w="2088" w:type="dxa"/>
            <w:vMerge w:val="restart"/>
            <w:tcBorders>
              <w:top w:val="nil"/>
              <w:bottom w:val="nil"/>
            </w:tcBorders>
            <w:vAlign w:val="center"/>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Cyst</w:t>
            </w: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Yes</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3</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w:t>
            </w:r>
          </w:p>
        </w:tc>
      </w:tr>
      <w:tr w:rsidR="005F603D" w:rsidRPr="00B626B5" w:rsidTr="00B626B5">
        <w:tc>
          <w:tcPr>
            <w:tcW w:w="2088" w:type="dxa"/>
            <w:vMerge/>
            <w:tcBorders>
              <w:top w:val="nil"/>
              <w:bottom w:val="nil"/>
            </w:tcBorders>
            <w:vAlign w:val="center"/>
          </w:tcPr>
          <w:p w:rsidR="005F603D" w:rsidRPr="00B626B5" w:rsidRDefault="005F603D" w:rsidP="00B626B5">
            <w:pPr>
              <w:jc w:val="both"/>
              <w:rPr>
                <w:rFonts w:ascii="Arial" w:hAnsi="Arial" w:cs="Arial"/>
                <w:bCs/>
                <w:sz w:val="20"/>
                <w:szCs w:val="20"/>
              </w:rPr>
            </w:pPr>
          </w:p>
        </w:tc>
        <w:tc>
          <w:tcPr>
            <w:tcW w:w="1620"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No</w:t>
            </w:r>
          </w:p>
        </w:tc>
        <w:tc>
          <w:tcPr>
            <w:tcW w:w="1795"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21</w:t>
            </w:r>
          </w:p>
        </w:tc>
        <w:tc>
          <w:tcPr>
            <w:tcW w:w="1276"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52</w:t>
            </w:r>
          </w:p>
        </w:tc>
        <w:tc>
          <w:tcPr>
            <w:tcW w:w="1212" w:type="dxa"/>
            <w:tcBorders>
              <w:top w:val="nil"/>
              <w:bottom w:val="nil"/>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73</w:t>
            </w:r>
          </w:p>
        </w:tc>
      </w:tr>
      <w:tr w:rsidR="005F603D" w:rsidRPr="00B626B5" w:rsidTr="00B626B5">
        <w:tc>
          <w:tcPr>
            <w:tcW w:w="3708" w:type="dxa"/>
            <w:gridSpan w:val="2"/>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Total</w:t>
            </w:r>
          </w:p>
        </w:tc>
        <w:tc>
          <w:tcPr>
            <w:tcW w:w="1795"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24</w:t>
            </w:r>
          </w:p>
        </w:tc>
        <w:tc>
          <w:tcPr>
            <w:tcW w:w="1276"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54</w:t>
            </w:r>
          </w:p>
        </w:tc>
        <w:tc>
          <w:tcPr>
            <w:tcW w:w="1212" w:type="dxa"/>
            <w:tcBorders>
              <w:top w:val="nil"/>
              <w:bottom w:val="single" w:sz="6" w:space="0" w:color="auto"/>
            </w:tcBorders>
          </w:tcPr>
          <w:p w:rsidR="005F603D" w:rsidRPr="00B626B5" w:rsidRDefault="005F603D" w:rsidP="00B626B5">
            <w:pPr>
              <w:jc w:val="both"/>
              <w:rPr>
                <w:rFonts w:ascii="Arial" w:hAnsi="Arial" w:cs="Arial"/>
                <w:bCs/>
                <w:sz w:val="20"/>
                <w:szCs w:val="20"/>
              </w:rPr>
            </w:pPr>
            <w:r w:rsidRPr="00B626B5">
              <w:rPr>
                <w:rFonts w:ascii="Arial" w:hAnsi="Arial" w:cs="Arial"/>
                <w:bCs/>
                <w:sz w:val="20"/>
                <w:szCs w:val="20"/>
              </w:rPr>
              <w:t>78</w:t>
            </w:r>
          </w:p>
        </w:tc>
      </w:tr>
    </w:tbl>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spacing w:after="0" w:line="240" w:lineRule="auto"/>
        <w:jc w:val="both"/>
        <w:rPr>
          <w:rFonts w:ascii="Arial" w:hAnsi="Arial" w:cs="Arial"/>
          <w:b/>
          <w:bCs/>
          <w:sz w:val="20"/>
          <w:szCs w:val="20"/>
        </w:rPr>
      </w:pPr>
    </w:p>
    <w:p w:rsidR="005F603D" w:rsidRPr="00CB6A4C" w:rsidRDefault="005F603D" w:rsidP="005F603D">
      <w:pPr>
        <w:tabs>
          <w:tab w:val="right" w:pos="0"/>
        </w:tabs>
        <w:spacing w:after="0" w:line="240" w:lineRule="auto"/>
        <w:jc w:val="both"/>
        <w:rPr>
          <w:rFonts w:ascii="Arial" w:hAnsi="Arial" w:cs="Arial"/>
          <w:b/>
          <w:bCs/>
          <w:sz w:val="20"/>
          <w:szCs w:val="20"/>
        </w:rPr>
      </w:pPr>
    </w:p>
    <w:p w:rsidR="005F603D" w:rsidRPr="00CB6A4C" w:rsidRDefault="005F603D" w:rsidP="005F603D">
      <w:pPr>
        <w:tabs>
          <w:tab w:val="right" w:pos="0"/>
        </w:tabs>
        <w:spacing w:after="0" w:line="240" w:lineRule="auto"/>
        <w:jc w:val="both"/>
        <w:rPr>
          <w:rFonts w:ascii="Arial" w:hAnsi="Arial" w:cs="Arial"/>
          <w:b/>
          <w:bCs/>
          <w:sz w:val="20"/>
          <w:szCs w:val="20"/>
        </w:rPr>
      </w:pPr>
    </w:p>
    <w:p w:rsidR="005F603D" w:rsidRPr="00CB6A4C" w:rsidRDefault="005F603D" w:rsidP="005F603D">
      <w:pPr>
        <w:tabs>
          <w:tab w:val="right" w:pos="0"/>
        </w:tabs>
        <w:spacing w:after="0" w:line="240" w:lineRule="auto"/>
        <w:jc w:val="both"/>
        <w:rPr>
          <w:rFonts w:ascii="Arial" w:hAnsi="Arial" w:cs="Arial"/>
          <w:b/>
          <w:bCs/>
          <w:sz w:val="20"/>
          <w:szCs w:val="20"/>
        </w:rPr>
      </w:pPr>
    </w:p>
    <w:p w:rsidR="005F603D" w:rsidRDefault="005F603D" w:rsidP="00FC6F33">
      <w:pPr>
        <w:spacing w:after="0" w:line="240" w:lineRule="auto"/>
        <w:jc w:val="both"/>
        <w:rPr>
          <w:rFonts w:ascii="Arial" w:hAnsi="Arial" w:cs="Arial"/>
          <w:sz w:val="20"/>
          <w:szCs w:val="20"/>
        </w:rPr>
      </w:pPr>
    </w:p>
    <w:p w:rsidR="005F603D" w:rsidRDefault="005F603D" w:rsidP="00FC6F33">
      <w:pPr>
        <w:spacing w:after="0" w:line="240" w:lineRule="auto"/>
        <w:jc w:val="both"/>
        <w:rPr>
          <w:rFonts w:ascii="Arial" w:hAnsi="Arial" w:cs="Arial"/>
          <w:sz w:val="20"/>
          <w:szCs w:val="20"/>
        </w:rPr>
      </w:pPr>
    </w:p>
    <w:p w:rsidR="00B626B5" w:rsidRDefault="00B626B5" w:rsidP="00FC6F33">
      <w:pPr>
        <w:spacing w:after="0" w:line="240" w:lineRule="auto"/>
        <w:jc w:val="both"/>
        <w:rPr>
          <w:rFonts w:ascii="Arial" w:hAnsi="Arial" w:cs="Arial"/>
          <w:sz w:val="20"/>
          <w:szCs w:val="20"/>
        </w:rPr>
      </w:pPr>
    </w:p>
    <w:p w:rsidR="00B626B5" w:rsidRDefault="00B626B5" w:rsidP="00FC6F33">
      <w:pPr>
        <w:spacing w:after="0" w:line="240" w:lineRule="auto"/>
        <w:jc w:val="both"/>
        <w:rPr>
          <w:rFonts w:ascii="Arial" w:hAnsi="Arial" w:cs="Arial"/>
          <w:sz w:val="20"/>
          <w:szCs w:val="20"/>
        </w:rPr>
        <w:sectPr w:rsidR="00B626B5" w:rsidSect="00516649">
          <w:type w:val="continuous"/>
          <w:pgSz w:w="12240" w:h="15840" w:code="1"/>
          <w:pgMar w:top="576" w:right="720" w:bottom="1008" w:left="864" w:header="706" w:footer="706" w:gutter="0"/>
          <w:cols w:space="432"/>
          <w:docGrid w:linePitch="360"/>
        </w:sectPr>
      </w:pPr>
    </w:p>
    <w:p w:rsidR="001F1C5E" w:rsidRDefault="00E66EFA" w:rsidP="00FC6F33">
      <w:pPr>
        <w:spacing w:after="0" w:line="240" w:lineRule="auto"/>
        <w:jc w:val="both"/>
        <w:rPr>
          <w:rFonts w:ascii="Arial" w:hAnsi="Arial" w:cs="Arial"/>
          <w:noProof/>
          <w:sz w:val="20"/>
          <w:szCs w:val="20"/>
        </w:rPr>
      </w:pPr>
      <w:r w:rsidRPr="00FC6F33">
        <w:rPr>
          <w:rFonts w:ascii="Arial" w:hAnsi="Arial" w:cs="Arial"/>
          <w:sz w:val="20"/>
          <w:szCs w:val="20"/>
        </w:rPr>
        <w:lastRenderedPageBreak/>
        <w:t>510_930</w:t>
      </w:r>
      <w:r w:rsidR="00E05703" w:rsidRPr="00FC6F33">
        <w:rPr>
          <w:rFonts w:ascii="Arial" w:hAnsi="Arial" w:cs="Arial"/>
          <w:sz w:val="20"/>
          <w:szCs w:val="20"/>
        </w:rPr>
        <w:t>.</w:t>
      </w:r>
      <w:r w:rsidR="00B626B5">
        <w:rPr>
          <w:rFonts w:ascii="Arial" w:hAnsi="Arial" w:cs="Arial"/>
          <w:sz w:val="20"/>
          <w:szCs w:val="20"/>
        </w:rPr>
        <w:t xml:space="preserve"> </w:t>
      </w:r>
      <w:r w:rsidR="001F1C5E" w:rsidRPr="00FC6F33">
        <w:rPr>
          <w:rFonts w:ascii="Arial" w:hAnsi="Arial" w:cs="Arial"/>
          <w:sz w:val="20"/>
          <w:szCs w:val="20"/>
        </w:rPr>
        <w:t xml:space="preserve">Also in the second reading increasing of CA 125 level was </w:t>
      </w:r>
      <w:r w:rsidR="00536773" w:rsidRPr="00FC6F33">
        <w:rPr>
          <w:rStyle w:val="shorttext"/>
          <w:rFonts w:ascii="Arial" w:hAnsi="Arial" w:cs="Arial"/>
          <w:sz w:val="20"/>
          <w:szCs w:val="20"/>
        </w:rPr>
        <w:t>direct</w:t>
      </w:r>
      <w:r w:rsidR="00D435A8" w:rsidRPr="00FC6F33">
        <w:rPr>
          <w:rStyle w:val="shorttext"/>
          <w:rFonts w:ascii="Arial" w:hAnsi="Arial" w:cs="Arial"/>
          <w:sz w:val="20"/>
          <w:szCs w:val="20"/>
        </w:rPr>
        <w:t xml:space="preserve"> proportion</w:t>
      </w:r>
      <w:r w:rsidR="001F1C5E" w:rsidRPr="00FC6F33">
        <w:rPr>
          <w:rFonts w:ascii="Arial" w:hAnsi="Arial" w:cs="Arial"/>
          <w:sz w:val="20"/>
          <w:szCs w:val="20"/>
        </w:rPr>
        <w:t>with the stage of tumor (</w:t>
      </w:r>
      <w:r w:rsidR="001F1C5E" w:rsidRPr="00FC6F33">
        <w:rPr>
          <w:rFonts w:ascii="Arial" w:hAnsi="Arial" w:cs="Arial"/>
          <w:noProof/>
          <w:sz w:val="20"/>
          <w:szCs w:val="20"/>
        </w:rPr>
        <w:t>table3).</w:t>
      </w:r>
    </w:p>
    <w:p w:rsidR="0027037B" w:rsidRPr="00FC6F33" w:rsidRDefault="0027037B" w:rsidP="00FC6F33">
      <w:pPr>
        <w:spacing w:after="0" w:line="240" w:lineRule="auto"/>
        <w:jc w:val="both"/>
        <w:rPr>
          <w:rFonts w:ascii="Arial" w:hAnsi="Arial" w:cs="Arial"/>
          <w:noProof/>
          <w:sz w:val="20"/>
          <w:szCs w:val="20"/>
        </w:rPr>
      </w:pPr>
    </w:p>
    <w:p w:rsidR="00184066" w:rsidRPr="00FC6F33" w:rsidRDefault="0076605F" w:rsidP="00FC6F33">
      <w:pPr>
        <w:spacing w:after="0" w:line="240" w:lineRule="auto"/>
        <w:jc w:val="both"/>
        <w:rPr>
          <w:rFonts w:ascii="Arial" w:hAnsi="Arial" w:cs="Arial"/>
          <w:b/>
          <w:bCs/>
          <w:sz w:val="20"/>
          <w:szCs w:val="20"/>
        </w:rPr>
      </w:pPr>
      <w:r w:rsidRPr="00FC6F33">
        <w:rPr>
          <w:rFonts w:ascii="Arial" w:hAnsi="Arial" w:cs="Arial"/>
          <w:b/>
          <w:bCs/>
          <w:noProof/>
          <w:sz w:val="20"/>
          <w:szCs w:val="20"/>
        </w:rPr>
        <w:t>Second CA125 levels and second ultrasound findings(follow up)</w:t>
      </w:r>
    </w:p>
    <w:p w:rsidR="0027037B" w:rsidRDefault="0027037B" w:rsidP="00FC6F33">
      <w:pPr>
        <w:spacing w:after="0" w:line="240" w:lineRule="auto"/>
        <w:jc w:val="both"/>
        <w:rPr>
          <w:rFonts w:ascii="Arial" w:hAnsi="Arial" w:cs="Arial"/>
          <w:sz w:val="20"/>
          <w:szCs w:val="20"/>
        </w:rPr>
      </w:pPr>
    </w:p>
    <w:p w:rsidR="0076605F" w:rsidRDefault="0076605F" w:rsidP="00FC6F33">
      <w:pPr>
        <w:spacing w:after="0" w:line="240" w:lineRule="auto"/>
        <w:jc w:val="both"/>
        <w:rPr>
          <w:rFonts w:ascii="Arial" w:hAnsi="Arial" w:cs="Arial"/>
          <w:noProof/>
          <w:sz w:val="20"/>
          <w:szCs w:val="20"/>
        </w:rPr>
      </w:pPr>
      <w:r w:rsidRPr="00FC6F33">
        <w:rPr>
          <w:rFonts w:ascii="Arial" w:hAnsi="Arial" w:cs="Arial"/>
          <w:sz w:val="20"/>
          <w:szCs w:val="20"/>
        </w:rPr>
        <w:t>According to ascites classification, the highest group is those with massive ascites and high CA125 level in 25 (20.16%), the lowest group contains those who had no ascites and</w:t>
      </w:r>
      <w:r w:rsidR="002361E0" w:rsidRPr="00FC6F33">
        <w:rPr>
          <w:rFonts w:ascii="Arial" w:hAnsi="Arial" w:cs="Arial"/>
          <w:sz w:val="20"/>
          <w:szCs w:val="20"/>
        </w:rPr>
        <w:t xml:space="preserve"> normal levels of CA125</w:t>
      </w:r>
      <w:r w:rsidRPr="00FC6F33">
        <w:rPr>
          <w:rFonts w:ascii="Arial" w:hAnsi="Arial" w:cs="Arial"/>
          <w:sz w:val="20"/>
          <w:szCs w:val="20"/>
        </w:rPr>
        <w:t>.</w:t>
      </w:r>
      <w:r w:rsidR="00091C83">
        <w:rPr>
          <w:rFonts w:ascii="Arial" w:hAnsi="Arial" w:cs="Arial"/>
          <w:sz w:val="20"/>
          <w:szCs w:val="20"/>
        </w:rPr>
        <w:t xml:space="preserve"> </w:t>
      </w:r>
      <w:r w:rsidRPr="00FC6F33">
        <w:rPr>
          <w:rFonts w:ascii="Arial" w:hAnsi="Arial" w:cs="Arial"/>
          <w:sz w:val="20"/>
          <w:szCs w:val="20"/>
        </w:rPr>
        <w:t>Concerning pelvic mass the results showed that who had pelvic mass were 5 (4.03%), 4 (3.22%) of them had elevated CA125 levels.</w:t>
      </w:r>
      <w:r w:rsidR="0027037B">
        <w:rPr>
          <w:rFonts w:ascii="Arial" w:hAnsi="Arial" w:cs="Arial"/>
          <w:sz w:val="20"/>
          <w:szCs w:val="20"/>
        </w:rPr>
        <w:t xml:space="preserve"> </w:t>
      </w:r>
      <w:r w:rsidRPr="00FC6F33">
        <w:rPr>
          <w:rFonts w:ascii="Arial" w:hAnsi="Arial" w:cs="Arial"/>
          <w:sz w:val="20"/>
          <w:szCs w:val="20"/>
        </w:rPr>
        <w:t>For cyst observation the results showed that only 2 (0.81%) were having cyst while both of them having elevated CA125 levels. In the follow up there was a relation between CA12</w:t>
      </w:r>
      <w:r w:rsidR="006154E9" w:rsidRPr="00FC6F33">
        <w:rPr>
          <w:rFonts w:ascii="Arial" w:hAnsi="Arial" w:cs="Arial"/>
          <w:sz w:val="20"/>
          <w:szCs w:val="20"/>
        </w:rPr>
        <w:t>5 level and Ultrasound findings</w:t>
      </w:r>
      <w:r w:rsidR="002361E0" w:rsidRPr="00FC6F33">
        <w:rPr>
          <w:rFonts w:ascii="Arial" w:hAnsi="Arial" w:cs="Arial"/>
          <w:sz w:val="20"/>
          <w:szCs w:val="20"/>
        </w:rPr>
        <w:t xml:space="preserve"> </w:t>
      </w:r>
      <w:r w:rsidR="006154E9" w:rsidRPr="00FC6F33">
        <w:rPr>
          <w:rFonts w:ascii="Arial" w:hAnsi="Arial" w:cs="Arial"/>
          <w:sz w:val="20"/>
          <w:szCs w:val="20"/>
        </w:rPr>
        <w:t>(</w:t>
      </w:r>
      <w:r w:rsidR="00DB2BEE" w:rsidRPr="00FC6F33">
        <w:rPr>
          <w:rFonts w:ascii="Arial" w:hAnsi="Arial" w:cs="Arial"/>
          <w:noProof/>
          <w:sz w:val="20"/>
          <w:szCs w:val="20"/>
        </w:rPr>
        <w:t>table 4</w:t>
      </w:r>
      <w:r w:rsidR="006154E9" w:rsidRPr="00FC6F33">
        <w:rPr>
          <w:rFonts w:ascii="Arial" w:hAnsi="Arial" w:cs="Arial"/>
          <w:noProof/>
          <w:sz w:val="20"/>
          <w:szCs w:val="20"/>
        </w:rPr>
        <w:t>).</w:t>
      </w:r>
    </w:p>
    <w:p w:rsidR="0027037B" w:rsidRPr="00FC6F33" w:rsidRDefault="0027037B" w:rsidP="00FC6F33">
      <w:pPr>
        <w:spacing w:after="0" w:line="240" w:lineRule="auto"/>
        <w:jc w:val="both"/>
        <w:rPr>
          <w:rFonts w:ascii="Arial" w:hAnsi="Arial" w:cs="Arial"/>
          <w:sz w:val="20"/>
          <w:szCs w:val="20"/>
        </w:rPr>
      </w:pPr>
    </w:p>
    <w:p w:rsidR="00DB2BEE" w:rsidRPr="00FC6F33" w:rsidRDefault="00DB2BEE" w:rsidP="00FC6F33">
      <w:pPr>
        <w:pStyle w:val="Caption"/>
        <w:spacing w:after="0"/>
        <w:jc w:val="both"/>
        <w:rPr>
          <w:rFonts w:ascii="Arial" w:hAnsi="Arial" w:cs="Arial"/>
          <w:sz w:val="20"/>
          <w:szCs w:val="20"/>
        </w:rPr>
      </w:pPr>
      <w:r w:rsidRPr="00FC6F33">
        <w:rPr>
          <w:rFonts w:ascii="Arial" w:hAnsi="Arial" w:cs="Arial"/>
          <w:noProof/>
          <w:sz w:val="20"/>
          <w:szCs w:val="20"/>
        </w:rPr>
        <w:t>Third CA125 levels and histological staging(follow up)</w:t>
      </w:r>
    </w:p>
    <w:p w:rsidR="0027037B" w:rsidRDefault="0027037B" w:rsidP="00FC6F33">
      <w:pPr>
        <w:spacing w:after="0" w:line="240" w:lineRule="auto"/>
        <w:jc w:val="both"/>
        <w:rPr>
          <w:rFonts w:ascii="Arial" w:hAnsi="Arial" w:cs="Arial"/>
          <w:sz w:val="20"/>
          <w:szCs w:val="20"/>
        </w:rPr>
      </w:pPr>
    </w:p>
    <w:p w:rsidR="00DB2BEE" w:rsidRPr="00FC6F33" w:rsidRDefault="00DB2BEE" w:rsidP="00FC6F33">
      <w:pPr>
        <w:spacing w:after="0" w:line="240" w:lineRule="auto"/>
        <w:jc w:val="both"/>
        <w:rPr>
          <w:rFonts w:ascii="Arial" w:hAnsi="Arial" w:cs="Arial"/>
          <w:sz w:val="20"/>
          <w:szCs w:val="20"/>
        </w:rPr>
      </w:pPr>
      <w:r w:rsidRPr="00FC6F33">
        <w:rPr>
          <w:rFonts w:ascii="Arial" w:hAnsi="Arial" w:cs="Arial"/>
          <w:sz w:val="20"/>
          <w:szCs w:val="20"/>
        </w:rPr>
        <w:t>For the third diagnosis of CA125 the overall population also reduced ag</w:t>
      </w:r>
      <w:r w:rsidR="00E66EFA" w:rsidRPr="00FC6F33">
        <w:rPr>
          <w:rFonts w:ascii="Arial" w:hAnsi="Arial" w:cs="Arial"/>
          <w:sz w:val="20"/>
          <w:szCs w:val="20"/>
        </w:rPr>
        <w:t>ain to 78</w:t>
      </w:r>
      <w:r w:rsidRPr="00FC6F33">
        <w:rPr>
          <w:rFonts w:ascii="Arial" w:hAnsi="Arial" w:cs="Arial"/>
          <w:sz w:val="20"/>
          <w:szCs w:val="20"/>
        </w:rPr>
        <w:t>. The elevated levels of CA125 was shown in 54 (43.55</w:t>
      </w:r>
      <w:r w:rsidR="00296191" w:rsidRPr="00FC6F33">
        <w:rPr>
          <w:rFonts w:ascii="Arial" w:hAnsi="Arial" w:cs="Arial"/>
          <w:sz w:val="20"/>
          <w:szCs w:val="20"/>
        </w:rPr>
        <w:t xml:space="preserve">%), and the means of the third </w:t>
      </w:r>
      <w:r w:rsidRPr="00FC6F33">
        <w:rPr>
          <w:rFonts w:ascii="Arial" w:hAnsi="Arial" w:cs="Arial"/>
          <w:sz w:val="20"/>
          <w:szCs w:val="20"/>
        </w:rPr>
        <w:t>level was 94_167, compared to 94 (75.80%) in the first diagnosis and 74 (59.68%) in the second diagn</w:t>
      </w:r>
      <w:r w:rsidR="00144190" w:rsidRPr="00FC6F33">
        <w:rPr>
          <w:rFonts w:ascii="Arial" w:hAnsi="Arial" w:cs="Arial"/>
          <w:sz w:val="20"/>
          <w:szCs w:val="20"/>
        </w:rPr>
        <w:t>osis</w:t>
      </w:r>
      <w:r w:rsidRPr="00FC6F33">
        <w:rPr>
          <w:rFonts w:ascii="Arial" w:hAnsi="Arial" w:cs="Arial"/>
          <w:sz w:val="20"/>
          <w:szCs w:val="20"/>
        </w:rPr>
        <w:t>. There was increasing of CA 125 level with the stage of tumor</w:t>
      </w:r>
      <w:r w:rsidR="00296191" w:rsidRPr="00FC6F33">
        <w:rPr>
          <w:rFonts w:ascii="Arial" w:hAnsi="Arial" w:cs="Arial"/>
          <w:sz w:val="20"/>
          <w:szCs w:val="20"/>
        </w:rPr>
        <w:t xml:space="preserve"> </w:t>
      </w:r>
      <w:r w:rsidRPr="00FC6F33">
        <w:rPr>
          <w:rFonts w:ascii="Arial" w:hAnsi="Arial" w:cs="Arial"/>
          <w:sz w:val="20"/>
          <w:szCs w:val="20"/>
        </w:rPr>
        <w:t>(table</w:t>
      </w:r>
      <w:r w:rsidR="00091C83">
        <w:rPr>
          <w:rFonts w:ascii="Arial" w:hAnsi="Arial" w:cs="Arial"/>
          <w:sz w:val="20"/>
          <w:szCs w:val="20"/>
        </w:rPr>
        <w:t xml:space="preserve"> </w:t>
      </w:r>
      <w:r w:rsidRPr="00FC6F33">
        <w:rPr>
          <w:rFonts w:ascii="Arial" w:hAnsi="Arial" w:cs="Arial"/>
          <w:sz w:val="20"/>
          <w:szCs w:val="20"/>
        </w:rPr>
        <w:t>5).</w:t>
      </w:r>
    </w:p>
    <w:p w:rsidR="00D048F8" w:rsidRPr="00FC6F33" w:rsidRDefault="00D048F8" w:rsidP="00FC6F33">
      <w:pPr>
        <w:spacing w:after="0" w:line="240" w:lineRule="auto"/>
        <w:jc w:val="both"/>
        <w:rPr>
          <w:rFonts w:ascii="Arial" w:hAnsi="Arial" w:cs="Arial"/>
          <w:sz w:val="20"/>
          <w:szCs w:val="20"/>
        </w:rPr>
      </w:pPr>
    </w:p>
    <w:p w:rsidR="00113942" w:rsidRPr="00FC6F33" w:rsidRDefault="00DB2BEE" w:rsidP="00FC6F33">
      <w:pPr>
        <w:spacing w:after="0" w:line="240" w:lineRule="auto"/>
        <w:jc w:val="both"/>
        <w:rPr>
          <w:rFonts w:ascii="Arial" w:hAnsi="Arial" w:cs="Arial"/>
          <w:b/>
          <w:bCs/>
          <w:noProof/>
          <w:sz w:val="20"/>
          <w:szCs w:val="20"/>
        </w:rPr>
      </w:pPr>
      <w:r w:rsidRPr="00FC6F33">
        <w:rPr>
          <w:rFonts w:ascii="Arial" w:hAnsi="Arial" w:cs="Arial"/>
          <w:b/>
          <w:bCs/>
          <w:noProof/>
          <w:sz w:val="20"/>
          <w:szCs w:val="20"/>
        </w:rPr>
        <w:t>Third CA125 levels and ultrasound findings</w:t>
      </w:r>
      <w:r w:rsidR="00091C83">
        <w:rPr>
          <w:rFonts w:ascii="Arial" w:hAnsi="Arial" w:cs="Arial"/>
          <w:b/>
          <w:bCs/>
          <w:noProof/>
          <w:sz w:val="20"/>
          <w:szCs w:val="20"/>
        </w:rPr>
        <w:t xml:space="preserve"> </w:t>
      </w:r>
      <w:r w:rsidRPr="00FC6F33">
        <w:rPr>
          <w:rFonts w:ascii="Arial" w:hAnsi="Arial" w:cs="Arial"/>
          <w:b/>
          <w:bCs/>
          <w:noProof/>
          <w:sz w:val="20"/>
          <w:szCs w:val="20"/>
        </w:rPr>
        <w:t>(follow up)</w:t>
      </w:r>
    </w:p>
    <w:p w:rsidR="0027037B" w:rsidRDefault="0027037B" w:rsidP="00FC6F33">
      <w:pPr>
        <w:spacing w:after="0" w:line="240" w:lineRule="auto"/>
        <w:jc w:val="both"/>
        <w:rPr>
          <w:rFonts w:ascii="Arial" w:hAnsi="Arial" w:cs="Arial"/>
          <w:sz w:val="20"/>
          <w:szCs w:val="20"/>
        </w:rPr>
      </w:pPr>
    </w:p>
    <w:p w:rsidR="00B626B5" w:rsidRDefault="00B626B5" w:rsidP="00FC6F33">
      <w:pPr>
        <w:spacing w:after="0" w:line="240" w:lineRule="auto"/>
        <w:jc w:val="both"/>
        <w:rPr>
          <w:rFonts w:ascii="Arial" w:hAnsi="Arial" w:cs="Arial"/>
          <w:sz w:val="20"/>
          <w:szCs w:val="20"/>
        </w:rPr>
      </w:pPr>
      <w:r w:rsidRPr="00FC6F33">
        <w:rPr>
          <w:rFonts w:ascii="Arial" w:hAnsi="Arial" w:cs="Arial"/>
          <w:sz w:val="20"/>
          <w:szCs w:val="20"/>
        </w:rPr>
        <w:t xml:space="preserve">According </w:t>
      </w:r>
      <w:r>
        <w:rPr>
          <w:rFonts w:ascii="Arial" w:hAnsi="Arial" w:cs="Arial"/>
          <w:sz w:val="20"/>
          <w:szCs w:val="20"/>
        </w:rPr>
        <w:t xml:space="preserve">  </w:t>
      </w:r>
      <w:r w:rsidRPr="00FC6F33">
        <w:rPr>
          <w:rFonts w:ascii="Arial" w:hAnsi="Arial" w:cs="Arial"/>
          <w:sz w:val="20"/>
          <w:szCs w:val="20"/>
        </w:rPr>
        <w:t xml:space="preserve">to </w:t>
      </w:r>
      <w:r>
        <w:rPr>
          <w:rFonts w:ascii="Arial" w:hAnsi="Arial" w:cs="Arial"/>
          <w:sz w:val="20"/>
          <w:szCs w:val="20"/>
        </w:rPr>
        <w:t xml:space="preserve">  </w:t>
      </w:r>
      <w:r w:rsidRPr="00FC6F33">
        <w:rPr>
          <w:rFonts w:ascii="Arial" w:hAnsi="Arial" w:cs="Arial"/>
          <w:sz w:val="20"/>
          <w:szCs w:val="20"/>
        </w:rPr>
        <w:t>ascites classification, the highest group is</w:t>
      </w:r>
    </w:p>
    <w:p w:rsidR="00DB2BEE" w:rsidRDefault="00DB2BEE" w:rsidP="00FC6F33">
      <w:pPr>
        <w:spacing w:after="0" w:line="240" w:lineRule="auto"/>
        <w:jc w:val="both"/>
        <w:rPr>
          <w:rFonts w:ascii="Arial" w:hAnsi="Arial" w:cs="Arial"/>
          <w:sz w:val="20"/>
          <w:szCs w:val="20"/>
        </w:rPr>
      </w:pPr>
      <w:r w:rsidRPr="00FC6F33">
        <w:rPr>
          <w:rFonts w:ascii="Arial" w:hAnsi="Arial" w:cs="Arial"/>
          <w:sz w:val="20"/>
          <w:szCs w:val="20"/>
        </w:rPr>
        <w:lastRenderedPageBreak/>
        <w:t>th</w:t>
      </w:r>
      <w:r w:rsidR="00091C83">
        <w:rPr>
          <w:rFonts w:ascii="Arial" w:hAnsi="Arial" w:cs="Arial"/>
          <w:sz w:val="20"/>
          <w:szCs w:val="20"/>
        </w:rPr>
        <w:t>ose with massive ascites and</w:t>
      </w:r>
      <w:r w:rsidRPr="00FC6F33">
        <w:rPr>
          <w:rFonts w:ascii="Arial" w:hAnsi="Arial" w:cs="Arial"/>
          <w:sz w:val="20"/>
          <w:szCs w:val="20"/>
        </w:rPr>
        <w:t xml:space="preserve"> elevated CA125 level 26 (20.97%), the lowest group contains those who had no ascites and elevated levels of CA125 </w:t>
      </w:r>
      <w:r w:rsidR="00E66EFA" w:rsidRPr="00FC6F33">
        <w:rPr>
          <w:rFonts w:ascii="Arial" w:hAnsi="Arial" w:cs="Arial"/>
          <w:sz w:val="20"/>
          <w:szCs w:val="20"/>
        </w:rPr>
        <w:t xml:space="preserve">in </w:t>
      </w:r>
      <w:r w:rsidRPr="00FC6F33">
        <w:rPr>
          <w:rFonts w:ascii="Arial" w:hAnsi="Arial" w:cs="Arial"/>
          <w:sz w:val="20"/>
          <w:szCs w:val="20"/>
        </w:rPr>
        <w:t>4</w:t>
      </w:r>
      <w:r w:rsidR="00E66EFA" w:rsidRPr="00FC6F33">
        <w:rPr>
          <w:rFonts w:ascii="Arial" w:hAnsi="Arial" w:cs="Arial"/>
          <w:sz w:val="20"/>
          <w:szCs w:val="20"/>
        </w:rPr>
        <w:t xml:space="preserve"> samples</w:t>
      </w:r>
      <w:r w:rsidRPr="00FC6F33">
        <w:rPr>
          <w:rFonts w:ascii="Arial" w:hAnsi="Arial" w:cs="Arial"/>
          <w:sz w:val="20"/>
          <w:szCs w:val="20"/>
        </w:rPr>
        <w:t xml:space="preserve"> (3.23%).</w:t>
      </w:r>
      <w:r w:rsidR="00091C83">
        <w:rPr>
          <w:rFonts w:ascii="Arial" w:hAnsi="Arial" w:cs="Arial"/>
          <w:sz w:val="20"/>
          <w:szCs w:val="20"/>
        </w:rPr>
        <w:t xml:space="preserve"> </w:t>
      </w:r>
      <w:r w:rsidRPr="00FC6F33">
        <w:rPr>
          <w:rFonts w:ascii="Arial" w:hAnsi="Arial" w:cs="Arial"/>
          <w:sz w:val="20"/>
          <w:szCs w:val="20"/>
        </w:rPr>
        <w:t>Concerning pelvic mass the results showed that who had pelvic mass were 4 (3.23%), and all of them had elevated CA125 levels.</w:t>
      </w:r>
      <w:r w:rsidR="0027037B">
        <w:rPr>
          <w:rFonts w:ascii="Arial" w:hAnsi="Arial" w:cs="Arial"/>
          <w:sz w:val="20"/>
          <w:szCs w:val="20"/>
        </w:rPr>
        <w:t xml:space="preserve"> </w:t>
      </w:r>
      <w:r w:rsidRPr="00FC6F33">
        <w:rPr>
          <w:rFonts w:ascii="Arial" w:hAnsi="Arial" w:cs="Arial"/>
          <w:sz w:val="20"/>
          <w:szCs w:val="20"/>
        </w:rPr>
        <w:t>Cyst observation showed that 5 (4.03%) were having cyst while 2 (1.61%) of them where having elevated CA125 levels.</w:t>
      </w:r>
      <w:r w:rsidR="00296191" w:rsidRPr="00FC6F33">
        <w:rPr>
          <w:rFonts w:ascii="Arial" w:hAnsi="Arial" w:cs="Arial"/>
          <w:sz w:val="20"/>
          <w:szCs w:val="20"/>
        </w:rPr>
        <w:t xml:space="preserve"> </w:t>
      </w:r>
      <w:r w:rsidRPr="00FC6F33">
        <w:rPr>
          <w:rFonts w:ascii="Arial" w:hAnsi="Arial" w:cs="Arial"/>
          <w:sz w:val="20"/>
          <w:szCs w:val="20"/>
        </w:rPr>
        <w:t>There was a relation between CA125 level and Ultrasound findings (table 6).</w:t>
      </w:r>
    </w:p>
    <w:p w:rsidR="00516649" w:rsidRDefault="00516649" w:rsidP="00FC6F33">
      <w:pPr>
        <w:tabs>
          <w:tab w:val="right" w:pos="0"/>
        </w:tabs>
        <w:spacing w:after="0" w:line="240" w:lineRule="auto"/>
        <w:jc w:val="both"/>
        <w:rPr>
          <w:rFonts w:ascii="Arial" w:hAnsi="Arial" w:cs="Arial"/>
          <w:b/>
          <w:bCs/>
          <w:sz w:val="20"/>
          <w:szCs w:val="20"/>
        </w:rPr>
      </w:pPr>
    </w:p>
    <w:p w:rsidR="00516649" w:rsidRDefault="00516649" w:rsidP="00FC6F33">
      <w:pPr>
        <w:tabs>
          <w:tab w:val="right" w:pos="0"/>
        </w:tabs>
        <w:spacing w:after="0" w:line="240" w:lineRule="auto"/>
        <w:jc w:val="both"/>
        <w:rPr>
          <w:rFonts w:ascii="Arial" w:hAnsi="Arial" w:cs="Arial"/>
          <w:b/>
          <w:bCs/>
          <w:sz w:val="20"/>
          <w:szCs w:val="20"/>
        </w:rPr>
      </w:pPr>
    </w:p>
    <w:p w:rsidR="00B43F4A" w:rsidRPr="00FC6F33" w:rsidRDefault="00B43F4A" w:rsidP="00FC6F33">
      <w:pPr>
        <w:tabs>
          <w:tab w:val="right" w:pos="0"/>
        </w:tabs>
        <w:spacing w:after="0" w:line="240" w:lineRule="auto"/>
        <w:jc w:val="both"/>
        <w:rPr>
          <w:rFonts w:ascii="Arial" w:hAnsi="Arial" w:cs="Arial"/>
          <w:b/>
          <w:bCs/>
          <w:sz w:val="20"/>
          <w:szCs w:val="20"/>
        </w:rPr>
      </w:pPr>
      <w:r w:rsidRPr="00FC6F33">
        <w:rPr>
          <w:rFonts w:ascii="Arial" w:hAnsi="Arial" w:cs="Arial"/>
          <w:b/>
          <w:bCs/>
          <w:sz w:val="20"/>
          <w:szCs w:val="20"/>
        </w:rPr>
        <w:t>DISSICUSION</w:t>
      </w:r>
    </w:p>
    <w:p w:rsidR="0027037B" w:rsidRDefault="0027037B" w:rsidP="00FC6F33">
      <w:pPr>
        <w:pStyle w:val="NormalWeb"/>
        <w:spacing w:before="0" w:beforeAutospacing="0" w:after="0" w:afterAutospacing="0"/>
        <w:jc w:val="both"/>
        <w:rPr>
          <w:rFonts w:ascii="Arial" w:hAnsi="Arial" w:cs="Arial"/>
          <w:sz w:val="20"/>
          <w:szCs w:val="20"/>
          <w:shd w:val="clear" w:color="auto" w:fill="FFFFFF" w:themeFill="background1"/>
        </w:rPr>
      </w:pPr>
    </w:p>
    <w:p w:rsidR="00346919" w:rsidRPr="00091C83" w:rsidRDefault="00AE5029" w:rsidP="00FC6F33">
      <w:pPr>
        <w:pStyle w:val="NormalWeb"/>
        <w:spacing w:before="0" w:beforeAutospacing="0" w:after="0" w:afterAutospacing="0"/>
        <w:jc w:val="both"/>
        <w:rPr>
          <w:rFonts w:ascii="Arial" w:hAnsi="Arial" w:cs="Arial"/>
          <w:sz w:val="20"/>
          <w:szCs w:val="20"/>
        </w:rPr>
      </w:pPr>
      <w:r w:rsidRPr="00FC6F33">
        <w:rPr>
          <w:rFonts w:ascii="Arial" w:hAnsi="Arial" w:cs="Arial"/>
          <w:sz w:val="20"/>
          <w:szCs w:val="20"/>
          <w:shd w:val="clear" w:color="auto" w:fill="FFFFFF" w:themeFill="background1"/>
        </w:rPr>
        <w:t xml:space="preserve">Laboratory analysis of selected 124 showed that </w:t>
      </w:r>
      <w:r w:rsidRPr="00FC6F33">
        <w:rPr>
          <w:rFonts w:ascii="Arial" w:hAnsi="Arial" w:cs="Arial"/>
          <w:sz w:val="20"/>
          <w:szCs w:val="20"/>
        </w:rPr>
        <w:t>t</w:t>
      </w:r>
      <w:r w:rsidR="00286994" w:rsidRPr="00FC6F33">
        <w:rPr>
          <w:rFonts w:ascii="Arial" w:hAnsi="Arial" w:cs="Arial"/>
          <w:sz w:val="20"/>
          <w:szCs w:val="20"/>
        </w:rPr>
        <w:t xml:space="preserve">here were elevated levels of CA 125 in 94 (75.80%) in the first diagnosis of the study population, and the means of the first level were 1160_1837. Increasing of CA 125 level was </w:t>
      </w:r>
      <w:r w:rsidR="00536773" w:rsidRPr="00091C83">
        <w:rPr>
          <w:rStyle w:val="shorttext"/>
          <w:rFonts w:ascii="Arial" w:hAnsi="Arial" w:cs="Arial"/>
          <w:sz w:val="20"/>
          <w:szCs w:val="20"/>
        </w:rPr>
        <w:t>direct proportion</w:t>
      </w:r>
      <w:r w:rsidR="00286994" w:rsidRPr="00091C83">
        <w:rPr>
          <w:rFonts w:ascii="Arial" w:hAnsi="Arial" w:cs="Arial"/>
          <w:sz w:val="20"/>
          <w:szCs w:val="20"/>
        </w:rPr>
        <w:t xml:space="preserve"> with the stage of tumor, this results</w:t>
      </w:r>
      <w:r w:rsidRPr="00091C83">
        <w:rPr>
          <w:rFonts w:ascii="Arial" w:hAnsi="Arial" w:cs="Arial"/>
          <w:sz w:val="20"/>
          <w:szCs w:val="20"/>
        </w:rPr>
        <w:t xml:space="preserve"> nearly</w:t>
      </w:r>
      <w:r w:rsidR="00286994" w:rsidRPr="00091C83">
        <w:rPr>
          <w:rFonts w:ascii="Arial" w:hAnsi="Arial" w:cs="Arial"/>
          <w:sz w:val="20"/>
          <w:szCs w:val="20"/>
        </w:rPr>
        <w:t xml:space="preserve"> agree with J. M. Riedinger </w:t>
      </w:r>
      <w:r w:rsidR="00286994" w:rsidRPr="00091C83">
        <w:rPr>
          <w:rFonts w:ascii="Arial" w:hAnsi="Arial" w:cs="Arial"/>
          <w:i/>
          <w:iCs/>
          <w:sz w:val="20"/>
          <w:szCs w:val="20"/>
        </w:rPr>
        <w:t>et a</w:t>
      </w:r>
      <w:r w:rsidR="00F92543" w:rsidRPr="00091C83">
        <w:rPr>
          <w:rFonts w:ascii="Arial" w:hAnsi="Arial" w:cs="Arial"/>
          <w:i/>
          <w:iCs/>
          <w:sz w:val="20"/>
          <w:szCs w:val="20"/>
        </w:rPr>
        <w:t>l</w:t>
      </w:r>
      <w:r w:rsidR="00091C83" w:rsidRPr="00091C83">
        <w:rPr>
          <w:rFonts w:ascii="Arial" w:hAnsi="Arial" w:cs="Arial"/>
          <w:i/>
          <w:iCs/>
          <w:sz w:val="20"/>
          <w:szCs w:val="20"/>
        </w:rPr>
        <w:t>.,</w:t>
      </w:r>
      <w:r w:rsidR="00A81192" w:rsidRPr="00091C83">
        <w:rPr>
          <w:rFonts w:ascii="Arial" w:hAnsi="Arial" w:cs="Arial"/>
          <w:sz w:val="20"/>
          <w:szCs w:val="20"/>
        </w:rPr>
        <w:t xml:space="preserve"> (</w:t>
      </w:r>
      <w:r w:rsidR="00286994" w:rsidRPr="00091C83">
        <w:rPr>
          <w:rFonts w:ascii="Arial" w:hAnsi="Arial" w:cs="Arial"/>
          <w:sz w:val="20"/>
          <w:szCs w:val="20"/>
        </w:rPr>
        <w:t>2006</w:t>
      </w:r>
      <w:r w:rsidR="00A81192" w:rsidRPr="00091C83">
        <w:rPr>
          <w:rFonts w:ascii="Arial" w:hAnsi="Arial" w:cs="Arial"/>
          <w:sz w:val="20"/>
          <w:szCs w:val="20"/>
        </w:rPr>
        <w:t>)</w:t>
      </w:r>
      <w:r w:rsidR="00286994" w:rsidRPr="00091C83">
        <w:rPr>
          <w:rFonts w:ascii="Arial" w:hAnsi="Arial" w:cs="Arial"/>
          <w:sz w:val="20"/>
          <w:szCs w:val="20"/>
        </w:rPr>
        <w:t>, who found that the evaluated levels of CA 125 among their study population were in (89.6%)</w:t>
      </w:r>
      <w:r w:rsidR="00091C83">
        <w:rPr>
          <w:rFonts w:ascii="Arial" w:hAnsi="Arial" w:cs="Arial"/>
          <w:sz w:val="20"/>
          <w:szCs w:val="20"/>
        </w:rPr>
        <w:t xml:space="preserve"> (</w:t>
      </w:r>
      <w:r w:rsidR="00091C83" w:rsidRPr="00091C83">
        <w:rPr>
          <w:rFonts w:ascii="Arial" w:hAnsi="Arial" w:cs="Arial"/>
          <w:sz w:val="20"/>
          <w:szCs w:val="20"/>
        </w:rPr>
        <w:t>Riedinger</w:t>
      </w:r>
      <w:r w:rsidR="00091C83">
        <w:rPr>
          <w:rFonts w:ascii="Arial" w:hAnsi="Arial" w:cs="Arial"/>
          <w:sz w:val="20"/>
          <w:szCs w:val="20"/>
        </w:rPr>
        <w:t>, 2006).</w:t>
      </w:r>
      <w:r w:rsidR="003A734A" w:rsidRPr="00091C83">
        <w:rPr>
          <w:rFonts w:ascii="Arial" w:hAnsi="Arial" w:cs="Arial"/>
          <w:sz w:val="20"/>
          <w:szCs w:val="20"/>
        </w:rPr>
        <w:t xml:space="preserve"> Also agree with Target </w:t>
      </w:r>
      <w:r w:rsidR="00692D7C" w:rsidRPr="00091C83">
        <w:rPr>
          <w:rFonts w:ascii="Arial" w:hAnsi="Arial" w:cs="Arial"/>
          <w:sz w:val="20"/>
          <w:szCs w:val="20"/>
        </w:rPr>
        <w:t>Ovarian</w:t>
      </w:r>
      <w:r w:rsidR="003A734A" w:rsidRPr="00091C83">
        <w:rPr>
          <w:rFonts w:ascii="Arial" w:hAnsi="Arial" w:cs="Arial"/>
          <w:sz w:val="20"/>
          <w:szCs w:val="20"/>
        </w:rPr>
        <w:t xml:space="preserve"> Cancer (2014) the</w:t>
      </w:r>
      <w:r w:rsidR="00692D7C" w:rsidRPr="00091C83">
        <w:rPr>
          <w:rFonts w:ascii="Arial" w:hAnsi="Arial" w:cs="Arial"/>
          <w:sz w:val="20"/>
          <w:szCs w:val="20"/>
        </w:rPr>
        <w:t>y</w:t>
      </w:r>
      <w:r w:rsidR="003A734A" w:rsidRPr="00091C83">
        <w:rPr>
          <w:rFonts w:ascii="Arial" w:hAnsi="Arial" w:cs="Arial"/>
          <w:sz w:val="20"/>
          <w:szCs w:val="20"/>
        </w:rPr>
        <w:t xml:space="preserve"> found that in most healthy women the level of CA125 is usually less than 35. However, the level of CA125 in the blood can rise for many reasons, which include endometriosis, menstruation, ovarian cysts, and sometimes ovarian cancer</w:t>
      </w:r>
      <w:r w:rsidR="00091C83">
        <w:rPr>
          <w:rFonts w:ascii="Arial" w:hAnsi="Arial" w:cs="Arial"/>
          <w:sz w:val="20"/>
          <w:szCs w:val="20"/>
        </w:rPr>
        <w:t>.</w:t>
      </w:r>
    </w:p>
    <w:p w:rsidR="001E39B6" w:rsidRDefault="00286994" w:rsidP="00BD1E34">
      <w:pPr>
        <w:pStyle w:val="NormalWeb"/>
        <w:spacing w:before="0" w:beforeAutospacing="0" w:after="0" w:afterAutospacing="0"/>
        <w:ind w:firstLine="180"/>
        <w:jc w:val="both"/>
        <w:rPr>
          <w:rFonts w:ascii="Arial" w:hAnsi="Arial" w:cs="Arial"/>
          <w:sz w:val="20"/>
          <w:szCs w:val="20"/>
        </w:rPr>
      </w:pPr>
      <w:r w:rsidRPr="00091C83">
        <w:rPr>
          <w:rFonts w:ascii="Arial" w:hAnsi="Arial" w:cs="Arial"/>
          <w:sz w:val="20"/>
          <w:szCs w:val="20"/>
        </w:rPr>
        <w:t>The small number of patients in stag I with elevated levels may be due to the justification of the Foundation for Women’s Cancer</w:t>
      </w:r>
      <w:r w:rsidR="00536773" w:rsidRPr="00091C83">
        <w:rPr>
          <w:rFonts w:ascii="Arial" w:hAnsi="Arial" w:cs="Arial"/>
          <w:sz w:val="20"/>
          <w:szCs w:val="20"/>
        </w:rPr>
        <w:t xml:space="preserve"> </w:t>
      </w:r>
      <w:r w:rsidR="003A734A" w:rsidRPr="00091C83">
        <w:rPr>
          <w:rFonts w:ascii="Arial" w:hAnsi="Arial" w:cs="Arial"/>
          <w:sz w:val="20"/>
          <w:szCs w:val="20"/>
        </w:rPr>
        <w:t>(2011), they</w:t>
      </w:r>
      <w:r w:rsidRPr="00FC6F33">
        <w:rPr>
          <w:rFonts w:ascii="Arial" w:hAnsi="Arial" w:cs="Arial"/>
          <w:sz w:val="20"/>
          <w:szCs w:val="20"/>
        </w:rPr>
        <w:t xml:space="preserve"> found that about 50% of stage I  ovarian cancer patients have normal values and the majority of patients with a certain tumor cell type called mucinous ovarian cancers have normal values</w:t>
      </w:r>
      <w:r w:rsidR="00BD1E34">
        <w:rPr>
          <w:rFonts w:ascii="Arial" w:hAnsi="Arial" w:cs="Arial"/>
          <w:sz w:val="20"/>
          <w:szCs w:val="20"/>
        </w:rPr>
        <w:t xml:space="preserve">. </w:t>
      </w:r>
    </w:p>
    <w:p w:rsidR="00B626B5" w:rsidRDefault="004A54A5" w:rsidP="00BD1E34">
      <w:pPr>
        <w:pStyle w:val="NormalWeb"/>
        <w:spacing w:before="0" w:beforeAutospacing="0" w:after="0" w:afterAutospacing="0"/>
        <w:ind w:firstLine="180"/>
        <w:jc w:val="both"/>
        <w:rPr>
          <w:rFonts w:ascii="Arial" w:hAnsi="Arial" w:cs="Arial"/>
          <w:sz w:val="20"/>
          <w:szCs w:val="20"/>
        </w:rPr>
      </w:pPr>
      <w:r w:rsidRPr="00FC6F33">
        <w:rPr>
          <w:rFonts w:ascii="Arial" w:hAnsi="Arial" w:cs="Arial"/>
          <w:sz w:val="20"/>
          <w:szCs w:val="20"/>
        </w:rPr>
        <w:t xml:space="preserve">Also </w:t>
      </w:r>
      <w:r w:rsidR="001E39B6">
        <w:rPr>
          <w:rFonts w:ascii="Arial" w:hAnsi="Arial" w:cs="Arial"/>
          <w:sz w:val="20"/>
          <w:szCs w:val="20"/>
        </w:rPr>
        <w:t xml:space="preserve">  </w:t>
      </w:r>
      <w:r w:rsidRPr="00FC6F33">
        <w:rPr>
          <w:rFonts w:ascii="Arial" w:hAnsi="Arial" w:cs="Arial"/>
          <w:sz w:val="20"/>
          <w:szCs w:val="20"/>
        </w:rPr>
        <w:t>t</w:t>
      </w:r>
      <w:r w:rsidR="00A408DF" w:rsidRPr="00FC6F33">
        <w:rPr>
          <w:rFonts w:ascii="Arial" w:hAnsi="Arial" w:cs="Arial"/>
          <w:sz w:val="20"/>
          <w:szCs w:val="20"/>
        </w:rPr>
        <w:t xml:space="preserve">here </w:t>
      </w:r>
      <w:r w:rsidR="001E39B6">
        <w:rPr>
          <w:rFonts w:ascii="Arial" w:hAnsi="Arial" w:cs="Arial"/>
          <w:sz w:val="20"/>
          <w:szCs w:val="20"/>
        </w:rPr>
        <w:t xml:space="preserve"> </w:t>
      </w:r>
      <w:r w:rsidR="00A408DF" w:rsidRPr="00FC6F33">
        <w:rPr>
          <w:rFonts w:ascii="Arial" w:hAnsi="Arial" w:cs="Arial"/>
          <w:sz w:val="20"/>
          <w:szCs w:val="20"/>
        </w:rPr>
        <w:t xml:space="preserve">was close relation between the first CA125 </w:t>
      </w:r>
    </w:p>
    <w:p w:rsidR="00B626B5" w:rsidRDefault="00B626B5" w:rsidP="00B626B5">
      <w:pPr>
        <w:pStyle w:val="NormalWeb"/>
        <w:spacing w:before="0" w:beforeAutospacing="0" w:after="0" w:afterAutospacing="0"/>
        <w:jc w:val="both"/>
        <w:rPr>
          <w:rFonts w:ascii="Arial" w:hAnsi="Arial" w:cs="Arial"/>
          <w:sz w:val="20"/>
          <w:szCs w:val="20"/>
        </w:rPr>
      </w:pPr>
    </w:p>
    <w:p w:rsidR="00B626B5" w:rsidRDefault="00B626B5" w:rsidP="00B626B5">
      <w:pPr>
        <w:pStyle w:val="NormalWeb"/>
        <w:spacing w:before="0" w:beforeAutospacing="0" w:after="0" w:afterAutospacing="0"/>
        <w:jc w:val="both"/>
        <w:rPr>
          <w:rFonts w:ascii="Arial" w:hAnsi="Arial" w:cs="Arial"/>
          <w:sz w:val="20"/>
          <w:szCs w:val="20"/>
        </w:rPr>
      </w:pPr>
    </w:p>
    <w:p w:rsidR="00B626B5" w:rsidRDefault="00B626B5" w:rsidP="00B626B5">
      <w:pPr>
        <w:pStyle w:val="NormalWeb"/>
        <w:spacing w:before="0" w:beforeAutospacing="0" w:after="0" w:afterAutospacing="0"/>
        <w:jc w:val="both"/>
        <w:rPr>
          <w:rFonts w:ascii="Arial" w:hAnsi="Arial" w:cs="Arial"/>
          <w:sz w:val="20"/>
          <w:szCs w:val="20"/>
        </w:rPr>
      </w:pPr>
    </w:p>
    <w:p w:rsidR="00346919" w:rsidRPr="00BD1E34" w:rsidRDefault="00A408DF" w:rsidP="00B626B5">
      <w:pPr>
        <w:pStyle w:val="NormalWeb"/>
        <w:spacing w:before="0" w:beforeAutospacing="0" w:after="0" w:afterAutospacing="0"/>
        <w:jc w:val="both"/>
        <w:rPr>
          <w:rFonts w:ascii="Arial" w:hAnsi="Arial" w:cs="Arial"/>
          <w:color w:val="1E1E1E"/>
          <w:sz w:val="20"/>
          <w:szCs w:val="20"/>
        </w:rPr>
      </w:pPr>
      <w:r w:rsidRPr="00FC6F33">
        <w:rPr>
          <w:rFonts w:ascii="Arial" w:hAnsi="Arial" w:cs="Arial"/>
          <w:sz w:val="20"/>
          <w:szCs w:val="20"/>
        </w:rPr>
        <w:t>levels and ultras</w:t>
      </w:r>
      <w:r w:rsidR="00536773" w:rsidRPr="00FC6F33">
        <w:rPr>
          <w:rFonts w:ascii="Arial" w:hAnsi="Arial" w:cs="Arial"/>
          <w:sz w:val="20"/>
          <w:szCs w:val="20"/>
        </w:rPr>
        <w:t>ound findings, all patients who</w:t>
      </w:r>
      <w:r w:rsidRPr="00FC6F33">
        <w:rPr>
          <w:rFonts w:ascii="Arial" w:hAnsi="Arial" w:cs="Arial"/>
          <w:sz w:val="20"/>
          <w:szCs w:val="20"/>
        </w:rPr>
        <w:t xml:space="preserve"> had any degree of ascites had elevated CA125</w:t>
      </w:r>
      <w:r w:rsidR="00346919" w:rsidRPr="00FC6F33">
        <w:rPr>
          <w:rFonts w:ascii="Arial" w:hAnsi="Arial" w:cs="Arial"/>
          <w:sz w:val="20"/>
          <w:szCs w:val="20"/>
        </w:rPr>
        <w:t xml:space="preserve"> </w:t>
      </w:r>
      <w:r w:rsidRPr="00FC6F33">
        <w:rPr>
          <w:rFonts w:ascii="Arial" w:hAnsi="Arial" w:cs="Arial"/>
          <w:sz w:val="20"/>
          <w:szCs w:val="20"/>
        </w:rPr>
        <w:t>level. The highest group is those with massive ascites (52 cases); in which 43cases had elevated CA125 level (&gt;35 ml) and 9 cases had normal CA125 level (&lt;35). Majority of patients who have pelvic mass and cyst have high CA125 levels</w:t>
      </w:r>
      <w:r w:rsidR="00536773" w:rsidRPr="00FC6F33">
        <w:rPr>
          <w:rFonts w:ascii="Arial" w:hAnsi="Arial" w:cs="Arial"/>
          <w:sz w:val="20"/>
          <w:szCs w:val="20"/>
        </w:rPr>
        <w:t>.</w:t>
      </w:r>
    </w:p>
    <w:p w:rsidR="006874C9" w:rsidRPr="00FC6F33" w:rsidRDefault="00346919" w:rsidP="00BD1E34">
      <w:pPr>
        <w:spacing w:after="0" w:line="240" w:lineRule="auto"/>
        <w:ind w:firstLine="180"/>
        <w:jc w:val="both"/>
        <w:rPr>
          <w:rFonts w:ascii="Arial" w:hAnsi="Arial" w:cs="Arial"/>
          <w:sz w:val="20"/>
          <w:szCs w:val="20"/>
        </w:rPr>
      </w:pPr>
      <w:r w:rsidRPr="00FC6F33">
        <w:rPr>
          <w:rFonts w:ascii="Arial" w:hAnsi="Arial" w:cs="Arial"/>
          <w:sz w:val="20"/>
          <w:szCs w:val="20"/>
        </w:rPr>
        <w:t xml:space="preserve">These findings agree with Cancer Research UK (2016) they said that, </w:t>
      </w:r>
      <w:r w:rsidRPr="00FC6F33">
        <w:rPr>
          <w:rFonts w:ascii="Arial" w:eastAsia="Times New Roman" w:hAnsi="Arial" w:cs="Arial"/>
          <w:color w:val="000000"/>
          <w:sz w:val="20"/>
          <w:szCs w:val="20"/>
        </w:rPr>
        <w:t>t</w:t>
      </w:r>
      <w:r w:rsidR="00A2076A" w:rsidRPr="00FC6F33">
        <w:rPr>
          <w:rFonts w:ascii="Arial" w:eastAsia="Times New Roman" w:hAnsi="Arial" w:cs="Arial"/>
          <w:color w:val="000000"/>
          <w:sz w:val="20"/>
          <w:szCs w:val="20"/>
        </w:rPr>
        <w:t>o decide if an abnormality is more likely to be cancer or not, doctors can use a tool called the risk of malignancy index (RMI). This index combines the results of the ultrasound, CA125 blood levels and menopausal status (whether or not you are past the menopause). T</w:t>
      </w:r>
      <w:r w:rsidR="00A8495B" w:rsidRPr="00FC6F33">
        <w:rPr>
          <w:rFonts w:ascii="Arial" w:eastAsia="Times New Roman" w:hAnsi="Arial" w:cs="Arial"/>
          <w:color w:val="000000"/>
          <w:sz w:val="20"/>
          <w:szCs w:val="20"/>
        </w:rPr>
        <w:t>his gives doctors a final score</w:t>
      </w:r>
      <w:r w:rsidR="00BD1E34">
        <w:rPr>
          <w:rFonts w:ascii="Arial" w:eastAsia="Times New Roman" w:hAnsi="Arial" w:cs="Arial"/>
          <w:color w:val="000000"/>
          <w:sz w:val="20"/>
          <w:szCs w:val="20"/>
        </w:rPr>
        <w:t xml:space="preserve"> (</w:t>
      </w:r>
      <w:r w:rsidR="00BD1E34" w:rsidRPr="00BD1E34">
        <w:rPr>
          <w:rFonts w:ascii="Arial" w:eastAsia="Times New Roman" w:hAnsi="Arial" w:cs="Arial"/>
          <w:color w:val="000000"/>
          <w:sz w:val="20"/>
          <w:szCs w:val="20"/>
        </w:rPr>
        <w:t>Cancer Research UK</w:t>
      </w:r>
      <w:r w:rsidR="00BD1E34">
        <w:rPr>
          <w:rFonts w:ascii="Arial" w:eastAsia="Times New Roman" w:hAnsi="Arial" w:cs="Arial"/>
          <w:color w:val="000000"/>
          <w:sz w:val="20"/>
          <w:szCs w:val="20"/>
        </w:rPr>
        <w:t>, 2016).</w:t>
      </w:r>
      <w:r w:rsidR="00BD1E34">
        <w:rPr>
          <w:rFonts w:ascii="Arial" w:hAnsi="Arial" w:cs="Arial"/>
          <w:sz w:val="20"/>
          <w:szCs w:val="20"/>
        </w:rPr>
        <w:t xml:space="preserve"> </w:t>
      </w:r>
      <w:r w:rsidR="006874C9" w:rsidRPr="00FC6F33">
        <w:rPr>
          <w:rFonts w:ascii="Arial" w:hAnsi="Arial" w:cs="Arial"/>
          <w:sz w:val="20"/>
          <w:szCs w:val="20"/>
        </w:rPr>
        <w:t>National Ovarian Cancer Coalition (</w:t>
      </w:r>
      <w:r w:rsidR="005D3E38" w:rsidRPr="00FC6F33">
        <w:rPr>
          <w:rFonts w:ascii="Arial" w:hAnsi="Arial" w:cs="Arial"/>
          <w:sz w:val="20"/>
          <w:szCs w:val="20"/>
        </w:rPr>
        <w:t>2016</w:t>
      </w:r>
      <w:r w:rsidR="006874C9" w:rsidRPr="00FC6F33">
        <w:rPr>
          <w:rFonts w:ascii="Arial" w:hAnsi="Arial" w:cs="Arial"/>
          <w:sz w:val="20"/>
          <w:szCs w:val="20"/>
        </w:rPr>
        <w:t>),said that there is no consistently-reliable screening test to detect ovarian cancer, there are tests available and should be offered to women, especially those women at high risk for the disea</w:t>
      </w:r>
      <w:r w:rsidRPr="00FC6F33">
        <w:rPr>
          <w:rFonts w:ascii="Arial" w:hAnsi="Arial" w:cs="Arial"/>
          <w:sz w:val="20"/>
          <w:szCs w:val="20"/>
        </w:rPr>
        <w:t>se; one of them is CA-125 Test, t</w:t>
      </w:r>
      <w:r w:rsidR="006874C9" w:rsidRPr="00FC6F33">
        <w:rPr>
          <w:rFonts w:ascii="Arial" w:hAnsi="Arial" w:cs="Arial"/>
          <w:sz w:val="20"/>
          <w:szCs w:val="20"/>
        </w:rPr>
        <w:t>his blood test determines if the level of CA-125, a protein produced by ovarian cancer cells, has increased in the blood of a woman at high risk for ovarian cancer, or a woman with an abnormal pelvic examinatio</w:t>
      </w:r>
      <w:r w:rsidR="00BD1E34">
        <w:rPr>
          <w:rFonts w:ascii="Arial" w:hAnsi="Arial" w:cs="Arial"/>
          <w:sz w:val="20"/>
          <w:szCs w:val="20"/>
        </w:rPr>
        <w:t>n (</w:t>
      </w:r>
      <w:r w:rsidR="00BD1E34" w:rsidRPr="00BD1E34">
        <w:rPr>
          <w:rFonts w:ascii="Arial" w:hAnsi="Arial" w:cs="Arial"/>
          <w:sz w:val="20"/>
          <w:szCs w:val="20"/>
        </w:rPr>
        <w:t>National Ovarian Cancer Coalition</w:t>
      </w:r>
      <w:r w:rsidR="00BD1E34">
        <w:rPr>
          <w:rFonts w:ascii="Arial" w:hAnsi="Arial" w:cs="Arial"/>
          <w:sz w:val="20"/>
          <w:szCs w:val="20"/>
        </w:rPr>
        <w:t>, 2016).</w:t>
      </w:r>
    </w:p>
    <w:p w:rsidR="00134BA9" w:rsidRPr="00FC6F33" w:rsidRDefault="00FF6C09" w:rsidP="00BD1E34">
      <w:pPr>
        <w:pStyle w:val="Default"/>
        <w:ind w:firstLine="180"/>
        <w:jc w:val="both"/>
        <w:rPr>
          <w:sz w:val="20"/>
          <w:szCs w:val="20"/>
        </w:rPr>
      </w:pPr>
      <w:r w:rsidRPr="00FC6F33">
        <w:rPr>
          <w:sz w:val="20"/>
          <w:szCs w:val="20"/>
        </w:rPr>
        <w:t>Moya O’Doherty</w:t>
      </w:r>
      <w:r w:rsidR="00962027" w:rsidRPr="00FC6F33">
        <w:rPr>
          <w:sz w:val="20"/>
          <w:szCs w:val="20"/>
        </w:rPr>
        <w:t xml:space="preserve"> (2016), compared between Ca125 level and Human epididymis protein 4 (HE4), and found that the best available marker for epithelial ovarian cancer is still considered to be CA-125 due to a combination of reliability and general availability. HE4 is more sensitive than specific than CA-125, however the former is not in routine use. NICE still therefore recommends CA-125 rather than HE4. CA-125 is used for the </w:t>
      </w:r>
      <w:r w:rsidR="00962027" w:rsidRPr="0027037B">
        <w:rPr>
          <w:sz w:val="20"/>
          <w:szCs w:val="20"/>
        </w:rPr>
        <w:t xml:space="preserve">diagnosis of </w:t>
      </w:r>
      <w:r w:rsidR="00962027" w:rsidRPr="0027037B">
        <w:rPr>
          <w:bCs/>
          <w:i/>
          <w:iCs/>
          <w:sz w:val="20"/>
          <w:szCs w:val="20"/>
        </w:rPr>
        <w:t>epithelial</w:t>
      </w:r>
      <w:r w:rsidR="00962027" w:rsidRPr="00FC6F33">
        <w:rPr>
          <w:b/>
          <w:bCs/>
          <w:i/>
          <w:iCs/>
          <w:sz w:val="20"/>
          <w:szCs w:val="20"/>
        </w:rPr>
        <w:t xml:space="preserve"> </w:t>
      </w:r>
      <w:r w:rsidR="00962027" w:rsidRPr="00FC6F33">
        <w:rPr>
          <w:sz w:val="20"/>
          <w:szCs w:val="20"/>
        </w:rPr>
        <w:t>ovarian cancer</w:t>
      </w:r>
      <w:r w:rsidR="00BD1E34">
        <w:rPr>
          <w:sz w:val="20"/>
          <w:szCs w:val="20"/>
        </w:rPr>
        <w:t xml:space="preserve"> (</w:t>
      </w:r>
      <w:r w:rsidR="00BD1E34" w:rsidRPr="00BD1E34">
        <w:rPr>
          <w:sz w:val="20"/>
          <w:szCs w:val="20"/>
        </w:rPr>
        <w:t>Moya O’Doherty</w:t>
      </w:r>
      <w:r w:rsidR="00BD1E34">
        <w:rPr>
          <w:sz w:val="20"/>
          <w:szCs w:val="20"/>
        </w:rPr>
        <w:t xml:space="preserve">; </w:t>
      </w:r>
      <w:r w:rsidR="00BD1E34" w:rsidRPr="00BD1E34">
        <w:rPr>
          <w:sz w:val="20"/>
          <w:szCs w:val="20"/>
        </w:rPr>
        <w:t>2016)</w:t>
      </w:r>
      <w:r w:rsidR="00BD1E34">
        <w:rPr>
          <w:sz w:val="20"/>
          <w:szCs w:val="20"/>
        </w:rPr>
        <w:t xml:space="preserve">. </w:t>
      </w:r>
      <w:r w:rsidR="004A54A5" w:rsidRPr="00FC6F33">
        <w:rPr>
          <w:sz w:val="20"/>
          <w:szCs w:val="20"/>
        </w:rPr>
        <w:t xml:space="preserve">In the second diagnosis of CA125 the overall population reduced to 118, due to death and seeking cure in other hospitals in Khartoum or even abroad. The elevated levels of CA125 was shown in 74 (59.68%), and the means of the second level was 510_930. this </w:t>
      </w:r>
      <w:r w:rsidR="00443BEF" w:rsidRPr="00FC6F33">
        <w:rPr>
          <w:sz w:val="20"/>
          <w:szCs w:val="20"/>
        </w:rPr>
        <w:t xml:space="preserve">reduction </w:t>
      </w:r>
      <w:r w:rsidR="004A54A5" w:rsidRPr="00FC6F33">
        <w:rPr>
          <w:sz w:val="20"/>
          <w:szCs w:val="20"/>
        </w:rPr>
        <w:t xml:space="preserve">can be justified to treatment. These agreed with J. M. Riedinger </w:t>
      </w:r>
      <w:r w:rsidR="004A54A5" w:rsidRPr="00FC6F33">
        <w:rPr>
          <w:i/>
          <w:iCs/>
          <w:sz w:val="20"/>
          <w:szCs w:val="20"/>
        </w:rPr>
        <w:t>et al</w:t>
      </w:r>
      <w:r w:rsidR="004A54A5" w:rsidRPr="00FC6F33">
        <w:rPr>
          <w:sz w:val="20"/>
          <w:szCs w:val="20"/>
        </w:rPr>
        <w:t xml:space="preserve">, </w:t>
      </w:r>
      <w:r w:rsidR="007669A5" w:rsidRPr="00FC6F33">
        <w:rPr>
          <w:sz w:val="20"/>
          <w:szCs w:val="20"/>
        </w:rPr>
        <w:t>(</w:t>
      </w:r>
      <w:r w:rsidR="004A54A5" w:rsidRPr="00FC6F33">
        <w:rPr>
          <w:sz w:val="20"/>
          <w:szCs w:val="20"/>
        </w:rPr>
        <w:t>2006</w:t>
      </w:r>
      <w:r w:rsidR="007669A5" w:rsidRPr="00FC6F33">
        <w:rPr>
          <w:sz w:val="20"/>
          <w:szCs w:val="20"/>
        </w:rPr>
        <w:t>)</w:t>
      </w:r>
      <w:r w:rsidR="004A54A5" w:rsidRPr="00FC6F33">
        <w:rPr>
          <w:sz w:val="20"/>
          <w:szCs w:val="20"/>
        </w:rPr>
        <w:t>, he found that  Change in CA 125 levels after the first cycle of induction chemotherapy</w:t>
      </w:r>
      <w:r w:rsidR="00443BEF" w:rsidRPr="00FC6F33">
        <w:rPr>
          <w:sz w:val="20"/>
          <w:szCs w:val="20"/>
        </w:rPr>
        <w:t xml:space="preserve"> (CT)</w:t>
      </w:r>
      <w:r w:rsidR="004A54A5" w:rsidRPr="00FC6F33">
        <w:rPr>
          <w:sz w:val="20"/>
          <w:szCs w:val="20"/>
        </w:rPr>
        <w:t xml:space="preserve"> is an independent predictor of epithelial ovarian tumor outcome, the results indicate that CA 125 variations before the second CT course enable to differentiate responder and non-responder patients</w:t>
      </w:r>
      <w:r w:rsidR="00BD1E34">
        <w:rPr>
          <w:sz w:val="20"/>
          <w:szCs w:val="20"/>
        </w:rPr>
        <w:t xml:space="preserve"> (Riedinger, </w:t>
      </w:r>
      <w:r w:rsidR="00BD1E34" w:rsidRPr="00BD1E34">
        <w:rPr>
          <w:sz w:val="20"/>
          <w:szCs w:val="20"/>
        </w:rPr>
        <w:t>2006)</w:t>
      </w:r>
      <w:r w:rsidR="00BD1E34">
        <w:rPr>
          <w:sz w:val="20"/>
          <w:szCs w:val="20"/>
        </w:rPr>
        <w:t>.</w:t>
      </w:r>
      <w:r w:rsidR="00C229ED" w:rsidRPr="00FC6F33">
        <w:rPr>
          <w:sz w:val="20"/>
          <w:szCs w:val="20"/>
        </w:rPr>
        <w:t xml:space="preserve"> </w:t>
      </w:r>
    </w:p>
    <w:p w:rsidR="00B626B5" w:rsidRDefault="00C229ED" w:rsidP="00B626B5">
      <w:pPr>
        <w:pStyle w:val="Default"/>
        <w:ind w:firstLine="180"/>
        <w:jc w:val="both"/>
        <w:rPr>
          <w:sz w:val="20"/>
          <w:szCs w:val="20"/>
        </w:rPr>
      </w:pPr>
      <w:r w:rsidRPr="00FC6F33">
        <w:rPr>
          <w:sz w:val="20"/>
          <w:szCs w:val="20"/>
        </w:rPr>
        <w:t>Also there was a relation between second reading of CA125 level and Ultrasound findings</w:t>
      </w:r>
      <w:r w:rsidR="00207A24" w:rsidRPr="00FC6F33">
        <w:rPr>
          <w:sz w:val="20"/>
          <w:szCs w:val="20"/>
        </w:rPr>
        <w:t xml:space="preserve">, </w:t>
      </w:r>
      <w:r w:rsidR="009405EA" w:rsidRPr="00FC6F33">
        <w:rPr>
          <w:sz w:val="20"/>
          <w:szCs w:val="20"/>
        </w:rPr>
        <w:t xml:space="preserve">the </w:t>
      </w:r>
      <w:r w:rsidR="00207A24" w:rsidRPr="00FC6F33">
        <w:rPr>
          <w:sz w:val="20"/>
          <w:szCs w:val="20"/>
        </w:rPr>
        <w:t>majority of patients who have ascites, pelvic mass and cyst have high CA125 levels.</w:t>
      </w:r>
      <w:r w:rsidR="003A796A" w:rsidRPr="00FC6F33">
        <w:rPr>
          <w:sz w:val="20"/>
          <w:szCs w:val="20"/>
        </w:rPr>
        <w:t xml:space="preserve"> Am</w:t>
      </w:r>
      <w:r w:rsidR="00134BA9" w:rsidRPr="00FC6F33">
        <w:rPr>
          <w:sz w:val="20"/>
          <w:szCs w:val="20"/>
        </w:rPr>
        <w:t>erican cancer society</w:t>
      </w:r>
      <w:r w:rsidR="00692D7C" w:rsidRPr="00FC6F33">
        <w:rPr>
          <w:sz w:val="20"/>
          <w:szCs w:val="20"/>
        </w:rPr>
        <w:t xml:space="preserve"> (15)</w:t>
      </w:r>
      <w:r w:rsidR="00134BA9" w:rsidRPr="00FC6F33">
        <w:rPr>
          <w:sz w:val="20"/>
          <w:szCs w:val="20"/>
        </w:rPr>
        <w:t xml:space="preserve"> published</w:t>
      </w:r>
      <w:r w:rsidR="003A796A" w:rsidRPr="00FC6F33">
        <w:rPr>
          <w:sz w:val="20"/>
          <w:szCs w:val="20"/>
        </w:rPr>
        <w:t xml:space="preserve"> that</w:t>
      </w:r>
      <w:r w:rsidR="00134BA9" w:rsidRPr="00FC6F33">
        <w:rPr>
          <w:sz w:val="20"/>
          <w:szCs w:val="20"/>
        </w:rPr>
        <w:t>,</w:t>
      </w:r>
      <w:r w:rsidR="003A796A" w:rsidRPr="00FC6F33">
        <w:rPr>
          <w:sz w:val="20"/>
          <w:szCs w:val="20"/>
        </w:rPr>
        <w:t xml:space="preserve"> </w:t>
      </w:r>
      <w:r w:rsidR="00134BA9" w:rsidRPr="00FC6F33">
        <w:rPr>
          <w:sz w:val="20"/>
          <w:szCs w:val="20"/>
        </w:rPr>
        <w:t>screening</w:t>
      </w:r>
      <w:r w:rsidR="00DA7D47" w:rsidRPr="00FC6F33">
        <w:rPr>
          <w:sz w:val="20"/>
          <w:szCs w:val="20"/>
        </w:rPr>
        <w:t xml:space="preserve"> tests and exa</w:t>
      </w:r>
      <w:r w:rsidR="003A796A" w:rsidRPr="00FC6F33">
        <w:rPr>
          <w:sz w:val="20"/>
          <w:szCs w:val="20"/>
        </w:rPr>
        <w:t>ms are used to detect a disease</w:t>
      </w:r>
      <w:r w:rsidR="00DA7D47" w:rsidRPr="00FC6F33">
        <w:rPr>
          <w:sz w:val="20"/>
          <w:szCs w:val="20"/>
        </w:rPr>
        <w:t xml:space="preserve"> like</w:t>
      </w:r>
      <w:r w:rsidR="003A796A" w:rsidRPr="00FC6F33">
        <w:rPr>
          <w:sz w:val="20"/>
          <w:szCs w:val="20"/>
        </w:rPr>
        <w:t xml:space="preserve"> cancer </w:t>
      </w:r>
      <w:r w:rsidR="00DA7D47" w:rsidRPr="00FC6F33">
        <w:rPr>
          <w:sz w:val="20"/>
          <w:szCs w:val="20"/>
        </w:rPr>
        <w:t xml:space="preserve">in people who don’t have any symptoms. Perhaps the best example of this is the mammogram. </w:t>
      </w:r>
      <w:r w:rsidR="003A796A" w:rsidRPr="00FC6F33">
        <w:rPr>
          <w:sz w:val="20"/>
          <w:szCs w:val="20"/>
        </w:rPr>
        <w:t>The two</w:t>
      </w:r>
      <w:r w:rsidR="00DA7D47" w:rsidRPr="00FC6F33">
        <w:rPr>
          <w:sz w:val="20"/>
          <w:szCs w:val="20"/>
        </w:rPr>
        <w:t xml:space="preserve"> tests used most often to screen for ovarian cancer are </w:t>
      </w:r>
      <w:r w:rsidR="00DA7D47" w:rsidRPr="00FC6F33">
        <w:rPr>
          <w:i/>
          <w:iCs/>
          <w:sz w:val="20"/>
          <w:szCs w:val="20"/>
        </w:rPr>
        <w:t>transvaginal ultrasound</w:t>
      </w:r>
      <w:r w:rsidR="00DA7D47" w:rsidRPr="00FC6F33">
        <w:rPr>
          <w:sz w:val="20"/>
          <w:szCs w:val="20"/>
        </w:rPr>
        <w:t xml:space="preserve"> (TVUS) and the CA-125</w:t>
      </w:r>
      <w:r w:rsidR="00134BA9" w:rsidRPr="00FC6F33">
        <w:rPr>
          <w:sz w:val="20"/>
          <w:szCs w:val="20"/>
        </w:rPr>
        <w:t xml:space="preserve"> blood test, i</w:t>
      </w:r>
      <w:r w:rsidR="00DA7D47" w:rsidRPr="00FC6F33">
        <w:rPr>
          <w:sz w:val="20"/>
          <w:szCs w:val="20"/>
        </w:rPr>
        <w:t xml:space="preserve">n many women with ovarian cancer, levels of CA-125 are high. This test can be useful as a tumor marker to help guide treatment in women known to have ovarian cancer, because a high level often </w:t>
      </w:r>
    </w:p>
    <w:p w:rsidR="00B626B5" w:rsidRDefault="001E39B6" w:rsidP="001E39B6">
      <w:pPr>
        <w:pStyle w:val="Default"/>
        <w:jc w:val="right"/>
        <w:rPr>
          <w:sz w:val="20"/>
          <w:szCs w:val="20"/>
        </w:rPr>
      </w:pPr>
      <w:r w:rsidRPr="001E39B6">
        <w:rPr>
          <w:sz w:val="20"/>
          <w:szCs w:val="20"/>
        </w:rPr>
        <w:lastRenderedPageBreak/>
        <w:t>SidAhmed</w:t>
      </w:r>
      <w:r>
        <w:rPr>
          <w:sz w:val="20"/>
          <w:szCs w:val="20"/>
        </w:rPr>
        <w:t>. 17</w:t>
      </w:r>
    </w:p>
    <w:p w:rsidR="00B626B5" w:rsidRDefault="00B626B5" w:rsidP="00B626B5">
      <w:pPr>
        <w:pStyle w:val="Default"/>
        <w:jc w:val="both"/>
        <w:rPr>
          <w:sz w:val="20"/>
          <w:szCs w:val="20"/>
        </w:rPr>
      </w:pPr>
    </w:p>
    <w:p w:rsidR="00B626B5" w:rsidRDefault="00B626B5" w:rsidP="00B626B5">
      <w:pPr>
        <w:pStyle w:val="Default"/>
        <w:jc w:val="both"/>
        <w:rPr>
          <w:sz w:val="20"/>
          <w:szCs w:val="20"/>
        </w:rPr>
      </w:pPr>
    </w:p>
    <w:p w:rsidR="0048022F" w:rsidRPr="00FC6F33" w:rsidRDefault="00DA7D47" w:rsidP="00B626B5">
      <w:pPr>
        <w:pStyle w:val="Default"/>
        <w:jc w:val="both"/>
        <w:rPr>
          <w:sz w:val="20"/>
          <w:szCs w:val="20"/>
        </w:rPr>
      </w:pPr>
      <w:r w:rsidRPr="00FC6F33">
        <w:rPr>
          <w:sz w:val="20"/>
          <w:szCs w:val="20"/>
        </w:rPr>
        <w:t>goes down if treatment is working</w:t>
      </w:r>
      <w:r w:rsidR="00BD1E34">
        <w:rPr>
          <w:sz w:val="20"/>
          <w:szCs w:val="20"/>
        </w:rPr>
        <w:t xml:space="preserve"> (American Cancer Society, </w:t>
      </w:r>
      <w:r w:rsidR="00BD1E34" w:rsidRPr="00BD1E34">
        <w:rPr>
          <w:sz w:val="20"/>
          <w:szCs w:val="20"/>
        </w:rPr>
        <w:t>2016)</w:t>
      </w:r>
      <w:r w:rsidR="00BD1E34">
        <w:rPr>
          <w:sz w:val="20"/>
          <w:szCs w:val="20"/>
        </w:rPr>
        <w:t>.</w:t>
      </w:r>
    </w:p>
    <w:p w:rsidR="00134BA9" w:rsidRPr="00FC6F33" w:rsidRDefault="00F51875" w:rsidP="00BD1E34">
      <w:pPr>
        <w:spacing w:after="0" w:line="240" w:lineRule="auto"/>
        <w:ind w:firstLine="180"/>
        <w:jc w:val="both"/>
        <w:rPr>
          <w:rFonts w:ascii="Arial" w:hAnsi="Arial" w:cs="Arial"/>
          <w:sz w:val="20"/>
          <w:szCs w:val="20"/>
        </w:rPr>
      </w:pPr>
      <w:r w:rsidRPr="00FC6F33">
        <w:rPr>
          <w:rFonts w:ascii="Arial" w:hAnsi="Arial" w:cs="Arial"/>
          <w:sz w:val="20"/>
          <w:szCs w:val="20"/>
        </w:rPr>
        <w:t>For</w:t>
      </w:r>
      <w:r w:rsidR="00D11B3F" w:rsidRPr="00FC6F33">
        <w:rPr>
          <w:rFonts w:ascii="Arial" w:hAnsi="Arial" w:cs="Arial"/>
          <w:sz w:val="20"/>
          <w:szCs w:val="20"/>
        </w:rPr>
        <w:t xml:space="preserve"> follow up of patients in </w:t>
      </w:r>
      <w:r w:rsidR="002361E0" w:rsidRPr="00FC6F33">
        <w:rPr>
          <w:rFonts w:ascii="Arial" w:hAnsi="Arial" w:cs="Arial"/>
          <w:sz w:val="20"/>
          <w:szCs w:val="20"/>
        </w:rPr>
        <w:t>the third diagnosis of CA125</w:t>
      </w:r>
      <w:r w:rsidR="0048022F" w:rsidRPr="00FC6F33">
        <w:rPr>
          <w:rFonts w:ascii="Arial" w:hAnsi="Arial" w:cs="Arial"/>
          <w:sz w:val="20"/>
          <w:szCs w:val="20"/>
        </w:rPr>
        <w:t>,</w:t>
      </w:r>
      <w:r w:rsidR="002361E0" w:rsidRPr="00FC6F33">
        <w:rPr>
          <w:rFonts w:ascii="Arial" w:hAnsi="Arial" w:cs="Arial"/>
          <w:sz w:val="20"/>
          <w:szCs w:val="20"/>
        </w:rPr>
        <w:t xml:space="preserve"> the overall population also reduced again to 78, also can be due to death or seeking cure in elsewhere. The elevated levels of CA125 was shown in 54 (43.55%), and the means of the </w:t>
      </w:r>
      <w:r w:rsidR="00207A24" w:rsidRPr="00FC6F33">
        <w:rPr>
          <w:rFonts w:ascii="Arial" w:hAnsi="Arial" w:cs="Arial"/>
          <w:sz w:val="20"/>
          <w:szCs w:val="20"/>
        </w:rPr>
        <w:t>third</w:t>
      </w:r>
      <w:r w:rsidR="002361E0" w:rsidRPr="00FC6F33">
        <w:rPr>
          <w:rFonts w:ascii="Arial" w:hAnsi="Arial" w:cs="Arial"/>
          <w:sz w:val="20"/>
          <w:szCs w:val="20"/>
        </w:rPr>
        <w:t xml:space="preserve"> level was 94_167, compared to 94 (75.80%) in the first diagnosis and 74 (59.68%) in the second diagnosis, </w:t>
      </w:r>
      <w:r w:rsidR="00443BEF" w:rsidRPr="00FC6F33">
        <w:rPr>
          <w:rFonts w:ascii="Arial" w:hAnsi="Arial" w:cs="Arial"/>
          <w:sz w:val="20"/>
          <w:szCs w:val="20"/>
        </w:rPr>
        <w:t>this reduction in CA125 levels wa</w:t>
      </w:r>
      <w:r w:rsidR="002361E0" w:rsidRPr="00FC6F33">
        <w:rPr>
          <w:rFonts w:ascii="Arial" w:hAnsi="Arial" w:cs="Arial"/>
          <w:sz w:val="20"/>
          <w:szCs w:val="20"/>
        </w:rPr>
        <w:t>s caused by havi</w:t>
      </w:r>
      <w:r w:rsidR="00C46BE5" w:rsidRPr="00FC6F33">
        <w:rPr>
          <w:rFonts w:ascii="Arial" w:hAnsi="Arial" w:cs="Arial"/>
          <w:sz w:val="20"/>
          <w:szCs w:val="20"/>
        </w:rPr>
        <w:t xml:space="preserve">ng therapy. This is agree with </w:t>
      </w:r>
      <w:r w:rsidR="00BD1E34">
        <w:rPr>
          <w:rFonts w:ascii="Arial" w:hAnsi="Arial" w:cs="Arial"/>
          <w:sz w:val="20"/>
          <w:szCs w:val="20"/>
        </w:rPr>
        <w:t>Digant Gupta</w:t>
      </w:r>
      <w:r w:rsidR="002361E0" w:rsidRPr="00FC6F33">
        <w:rPr>
          <w:rFonts w:ascii="Arial" w:hAnsi="Arial" w:cs="Arial"/>
          <w:sz w:val="20"/>
          <w:szCs w:val="20"/>
        </w:rPr>
        <w:t xml:space="preserve"> </w:t>
      </w:r>
      <w:r w:rsidR="002361E0" w:rsidRPr="00FC6F33">
        <w:rPr>
          <w:rFonts w:ascii="Arial" w:hAnsi="Arial" w:cs="Arial"/>
          <w:i/>
          <w:iCs/>
          <w:sz w:val="20"/>
          <w:szCs w:val="20"/>
        </w:rPr>
        <w:t>et al</w:t>
      </w:r>
      <w:r w:rsidR="00BD1E34">
        <w:rPr>
          <w:rFonts w:ascii="Arial" w:hAnsi="Arial" w:cs="Arial"/>
          <w:i/>
          <w:iCs/>
          <w:sz w:val="20"/>
          <w:szCs w:val="20"/>
        </w:rPr>
        <w:t>.</w:t>
      </w:r>
      <w:r w:rsidR="002361E0" w:rsidRPr="00FC6F33">
        <w:rPr>
          <w:rFonts w:ascii="Arial" w:hAnsi="Arial" w:cs="Arial"/>
          <w:i/>
          <w:iCs/>
          <w:sz w:val="20"/>
          <w:szCs w:val="20"/>
        </w:rPr>
        <w:t>,</w:t>
      </w:r>
      <w:r w:rsidR="002361E0" w:rsidRPr="00FC6F33">
        <w:rPr>
          <w:rFonts w:ascii="Arial" w:hAnsi="Arial" w:cs="Arial"/>
          <w:sz w:val="20"/>
          <w:szCs w:val="20"/>
        </w:rPr>
        <w:t xml:space="preserve"> (2006), they found that reduction in CA</w:t>
      </w:r>
      <w:r w:rsidR="00134BA9" w:rsidRPr="00FC6F33">
        <w:rPr>
          <w:rFonts w:ascii="Arial" w:hAnsi="Arial" w:cs="Arial"/>
          <w:sz w:val="20"/>
          <w:szCs w:val="20"/>
        </w:rPr>
        <w:t>125 after three</w:t>
      </w:r>
      <w:r w:rsidR="009069D3" w:rsidRPr="00FC6F33">
        <w:rPr>
          <w:rFonts w:ascii="Arial" w:hAnsi="Arial" w:cs="Arial"/>
          <w:sz w:val="20"/>
          <w:szCs w:val="20"/>
        </w:rPr>
        <w:t xml:space="preserve"> months of therapy was</w:t>
      </w:r>
      <w:r w:rsidR="002361E0" w:rsidRPr="00FC6F33">
        <w:rPr>
          <w:rFonts w:ascii="Arial" w:hAnsi="Arial" w:cs="Arial"/>
          <w:sz w:val="20"/>
          <w:szCs w:val="20"/>
        </w:rPr>
        <w:t xml:space="preserve"> associated with better overall survival in ovarian cance</w:t>
      </w:r>
      <w:r w:rsidR="00BD1E34">
        <w:rPr>
          <w:rFonts w:ascii="Arial" w:hAnsi="Arial" w:cs="Arial"/>
          <w:sz w:val="20"/>
          <w:szCs w:val="20"/>
        </w:rPr>
        <w:t>r Digant Gupta</w:t>
      </w:r>
      <w:r w:rsidR="00BD1E34" w:rsidRPr="00FC6F33">
        <w:rPr>
          <w:rFonts w:ascii="Arial" w:hAnsi="Arial" w:cs="Arial"/>
          <w:sz w:val="20"/>
          <w:szCs w:val="20"/>
        </w:rPr>
        <w:t xml:space="preserve"> </w:t>
      </w:r>
      <w:r w:rsidR="00BD1E34" w:rsidRPr="00FC6F33">
        <w:rPr>
          <w:rFonts w:ascii="Arial" w:hAnsi="Arial" w:cs="Arial"/>
          <w:i/>
          <w:iCs/>
          <w:sz w:val="20"/>
          <w:szCs w:val="20"/>
        </w:rPr>
        <w:t>et al</w:t>
      </w:r>
      <w:r w:rsidR="00BD1E34">
        <w:rPr>
          <w:rFonts w:ascii="Arial" w:hAnsi="Arial" w:cs="Arial"/>
          <w:i/>
          <w:iCs/>
          <w:sz w:val="20"/>
          <w:szCs w:val="20"/>
        </w:rPr>
        <w:t>.</w:t>
      </w:r>
      <w:r w:rsidR="00BD1E34" w:rsidRPr="00FC6F33">
        <w:rPr>
          <w:rFonts w:ascii="Arial" w:hAnsi="Arial" w:cs="Arial"/>
          <w:i/>
          <w:iCs/>
          <w:sz w:val="20"/>
          <w:szCs w:val="20"/>
        </w:rPr>
        <w:t>,</w:t>
      </w:r>
      <w:r w:rsidR="00BD1E34" w:rsidRPr="00FC6F33">
        <w:rPr>
          <w:rFonts w:ascii="Arial" w:hAnsi="Arial" w:cs="Arial"/>
          <w:sz w:val="20"/>
          <w:szCs w:val="20"/>
        </w:rPr>
        <w:t xml:space="preserve"> 2006)</w:t>
      </w:r>
      <w:r w:rsidR="00BD1E34">
        <w:rPr>
          <w:rFonts w:ascii="Arial" w:hAnsi="Arial" w:cs="Arial"/>
          <w:sz w:val="20"/>
          <w:szCs w:val="20"/>
        </w:rPr>
        <w:t>.</w:t>
      </w:r>
      <w:r w:rsidR="00D11B3F" w:rsidRPr="00FC6F33">
        <w:rPr>
          <w:rFonts w:ascii="Arial" w:hAnsi="Arial" w:cs="Arial"/>
          <w:sz w:val="20"/>
          <w:szCs w:val="20"/>
        </w:rPr>
        <w:t xml:space="preserve"> </w:t>
      </w:r>
    </w:p>
    <w:p w:rsidR="00B626B5" w:rsidRDefault="009405EA" w:rsidP="00BD1E34">
      <w:pPr>
        <w:spacing w:after="0" w:line="240" w:lineRule="auto"/>
        <w:ind w:firstLine="180"/>
        <w:jc w:val="both"/>
        <w:rPr>
          <w:rFonts w:ascii="Arial" w:hAnsi="Arial" w:cs="Arial"/>
          <w:sz w:val="20"/>
          <w:szCs w:val="20"/>
        </w:rPr>
      </w:pPr>
      <w:r w:rsidRPr="00FC6F33">
        <w:rPr>
          <w:rFonts w:ascii="Arial" w:hAnsi="Arial" w:cs="Arial"/>
          <w:sz w:val="20"/>
          <w:szCs w:val="20"/>
        </w:rPr>
        <w:t>Also there was a relation between the third reading of CA125 level and Ultrasound findings, the majority of patients who have ascites, pelvic mass and cyst have high CA125 levels.</w:t>
      </w:r>
      <w:r w:rsidR="00533BE7" w:rsidRPr="00FC6F33">
        <w:rPr>
          <w:rFonts w:ascii="Arial" w:hAnsi="Arial" w:cs="Arial"/>
          <w:sz w:val="20"/>
          <w:szCs w:val="20"/>
        </w:rPr>
        <w:t xml:space="preserve"> </w:t>
      </w:r>
      <w:r w:rsidR="0048022F" w:rsidRPr="00FC6F33">
        <w:rPr>
          <w:rFonts w:ascii="Arial" w:hAnsi="Arial" w:cs="Arial"/>
          <w:sz w:val="20"/>
          <w:szCs w:val="20"/>
        </w:rPr>
        <w:t xml:space="preserve">This is agree with </w:t>
      </w:r>
      <w:r w:rsidR="00533BE7" w:rsidRPr="00FC6F33">
        <w:rPr>
          <w:rFonts w:ascii="Arial" w:hAnsi="Arial" w:cs="Arial"/>
          <w:sz w:val="20"/>
          <w:szCs w:val="20"/>
        </w:rPr>
        <w:t xml:space="preserve">Maurie Markman, M.D (1996), published that, over more than a decade of clinical use, CA-125 has proven itself to be one of the most useful tumor markers in cancer medicine. </w:t>
      </w:r>
    </w:p>
    <w:p w:rsidR="009405EA" w:rsidRPr="00FC6F33" w:rsidRDefault="00533BE7" w:rsidP="00BD1E34">
      <w:pPr>
        <w:spacing w:after="0" w:line="240" w:lineRule="auto"/>
        <w:ind w:firstLine="180"/>
        <w:jc w:val="both"/>
        <w:rPr>
          <w:rFonts w:ascii="Arial" w:hAnsi="Arial" w:cs="Arial"/>
          <w:sz w:val="20"/>
          <w:szCs w:val="20"/>
        </w:rPr>
      </w:pPr>
      <w:r w:rsidRPr="00FC6F33">
        <w:rPr>
          <w:rFonts w:ascii="Arial" w:hAnsi="Arial" w:cs="Arial"/>
          <w:sz w:val="20"/>
          <w:szCs w:val="20"/>
        </w:rPr>
        <w:t xml:space="preserve">The major clinical utility of this serum marker is in following the clinical course of women with </w:t>
      </w:r>
      <w:r w:rsidRPr="00FC6F33">
        <w:rPr>
          <w:rStyle w:val="Emphasis"/>
          <w:rFonts w:ascii="Arial" w:hAnsi="Arial" w:cs="Arial"/>
          <w:i w:val="0"/>
          <w:iCs w:val="0"/>
          <w:sz w:val="20"/>
          <w:szCs w:val="20"/>
        </w:rPr>
        <w:t>known</w:t>
      </w:r>
      <w:r w:rsidRPr="00FC6F33">
        <w:rPr>
          <w:rFonts w:ascii="Arial" w:hAnsi="Arial" w:cs="Arial"/>
          <w:i/>
          <w:iCs/>
          <w:sz w:val="20"/>
          <w:szCs w:val="20"/>
        </w:rPr>
        <w:t xml:space="preserve"> </w:t>
      </w:r>
      <w:r w:rsidRPr="00FC6F33">
        <w:rPr>
          <w:rFonts w:ascii="Arial" w:hAnsi="Arial" w:cs="Arial"/>
          <w:sz w:val="20"/>
          <w:szCs w:val="20"/>
        </w:rPr>
        <w:t xml:space="preserve">ovarian cancer. Other </w:t>
      </w:r>
      <w:r w:rsidRPr="00FC6F33">
        <w:rPr>
          <w:rStyle w:val="Emphasis"/>
          <w:rFonts w:ascii="Arial" w:hAnsi="Arial" w:cs="Arial"/>
          <w:i w:val="0"/>
          <w:iCs w:val="0"/>
          <w:sz w:val="20"/>
          <w:szCs w:val="20"/>
        </w:rPr>
        <w:t>potential</w:t>
      </w:r>
      <w:r w:rsidRPr="00FC6F33">
        <w:rPr>
          <w:rFonts w:ascii="Arial" w:hAnsi="Arial" w:cs="Arial"/>
          <w:i/>
          <w:iCs/>
          <w:sz w:val="20"/>
          <w:szCs w:val="20"/>
        </w:rPr>
        <w:t xml:space="preserve"> </w:t>
      </w:r>
      <w:r w:rsidRPr="00FC6F33">
        <w:rPr>
          <w:rFonts w:ascii="Arial" w:hAnsi="Arial" w:cs="Arial"/>
          <w:sz w:val="20"/>
          <w:szCs w:val="20"/>
        </w:rPr>
        <w:t>uses of CA-125 include the evaluation of the effectiveness of new antineoplastic agents in this malignancy, and in the modification of treatment strategies in individuals whose CA-125 levels fail to decline at an acceptable rate following the institution of therapy. At the present time, the use of CA-125 as a method to screen for ovarian cancer should be considered investigational</w:t>
      </w:r>
      <w:r w:rsidR="00BD1E34">
        <w:rPr>
          <w:rFonts w:ascii="Arial" w:hAnsi="Arial" w:cs="Arial"/>
          <w:sz w:val="20"/>
          <w:szCs w:val="20"/>
        </w:rPr>
        <w:t xml:space="preserve"> (</w:t>
      </w:r>
      <w:r w:rsidR="00BD1E34" w:rsidRPr="00BD1E34">
        <w:rPr>
          <w:rFonts w:ascii="Arial" w:hAnsi="Arial" w:cs="Arial"/>
          <w:sz w:val="20"/>
          <w:szCs w:val="20"/>
        </w:rPr>
        <w:t>Markman</w:t>
      </w:r>
      <w:r w:rsidR="00BD1E34">
        <w:rPr>
          <w:rFonts w:ascii="Arial" w:hAnsi="Arial" w:cs="Arial"/>
          <w:sz w:val="20"/>
          <w:szCs w:val="20"/>
        </w:rPr>
        <w:t>, 1996).</w:t>
      </w:r>
    </w:p>
    <w:p w:rsidR="00742C31" w:rsidRPr="00FC6F33" w:rsidRDefault="00BD01FA" w:rsidP="00BD1E34">
      <w:pPr>
        <w:tabs>
          <w:tab w:val="right" w:pos="540"/>
          <w:tab w:val="right" w:pos="720"/>
          <w:tab w:val="right" w:pos="851"/>
          <w:tab w:val="left" w:pos="6521"/>
        </w:tabs>
        <w:spacing w:after="0" w:line="240" w:lineRule="auto"/>
        <w:ind w:firstLine="180"/>
        <w:jc w:val="both"/>
        <w:rPr>
          <w:rFonts w:ascii="Arial" w:hAnsi="Arial" w:cs="Arial"/>
          <w:sz w:val="20"/>
          <w:szCs w:val="20"/>
        </w:rPr>
      </w:pPr>
      <w:r w:rsidRPr="00FC6F33">
        <w:rPr>
          <w:rFonts w:ascii="Arial" w:hAnsi="Arial" w:cs="Arial"/>
          <w:sz w:val="20"/>
          <w:szCs w:val="20"/>
        </w:rPr>
        <w:t>Digant Gupta and Christopher (2009</w:t>
      </w:r>
      <w:r w:rsidR="00F530BC" w:rsidRPr="00FC6F33">
        <w:rPr>
          <w:rFonts w:ascii="Arial" w:hAnsi="Arial" w:cs="Arial"/>
          <w:sz w:val="20"/>
          <w:szCs w:val="20"/>
        </w:rPr>
        <w:t>),</w:t>
      </w:r>
      <w:r w:rsidRPr="00FC6F33">
        <w:rPr>
          <w:rFonts w:ascii="Arial" w:hAnsi="Arial" w:cs="Arial"/>
          <w:sz w:val="20"/>
          <w:szCs w:val="20"/>
        </w:rPr>
        <w:t xml:space="preserve"> said that </w:t>
      </w:r>
      <w:r w:rsidR="00742C31" w:rsidRPr="00FC6F33">
        <w:rPr>
          <w:rFonts w:ascii="Arial" w:hAnsi="Arial" w:cs="Arial"/>
          <w:sz w:val="20"/>
          <w:szCs w:val="20"/>
        </w:rPr>
        <w:t>CA125 is the gold standard tumor marker in ovarian cancer. Serum level of CA125 is used to monitor response to chemotherapy, relapse, and disease progression in ovarian cancer patients. Thus, it is reasonable to investigate whether CA125 may have utility as a prognostic indi</w:t>
      </w:r>
      <w:r w:rsidRPr="00FC6F33">
        <w:rPr>
          <w:rFonts w:ascii="Arial" w:hAnsi="Arial" w:cs="Arial"/>
          <w:sz w:val="20"/>
          <w:szCs w:val="20"/>
        </w:rPr>
        <w:t>cator as well in ovarian cancer</w:t>
      </w:r>
      <w:r w:rsidR="00BD1E34">
        <w:rPr>
          <w:rFonts w:ascii="Arial" w:hAnsi="Arial" w:cs="Arial"/>
          <w:sz w:val="20"/>
          <w:szCs w:val="20"/>
        </w:rPr>
        <w:t xml:space="preserve"> (</w:t>
      </w:r>
      <w:r w:rsidR="00BD1E34" w:rsidRPr="00BD1E34">
        <w:rPr>
          <w:rFonts w:ascii="Arial" w:hAnsi="Arial" w:cs="Arial"/>
          <w:sz w:val="20"/>
          <w:szCs w:val="20"/>
        </w:rPr>
        <w:t>Diga</w:t>
      </w:r>
      <w:r w:rsidR="00BD1E34">
        <w:rPr>
          <w:rFonts w:ascii="Arial" w:hAnsi="Arial" w:cs="Arial"/>
          <w:sz w:val="20"/>
          <w:szCs w:val="20"/>
        </w:rPr>
        <w:t xml:space="preserve">nt Gupta and Christopher, </w:t>
      </w:r>
      <w:r w:rsidR="00BD1E34" w:rsidRPr="00BD1E34">
        <w:rPr>
          <w:rFonts w:ascii="Arial" w:hAnsi="Arial" w:cs="Arial"/>
          <w:sz w:val="20"/>
          <w:szCs w:val="20"/>
        </w:rPr>
        <w:t>2009)</w:t>
      </w:r>
      <w:r w:rsidR="00BD1E34">
        <w:rPr>
          <w:rFonts w:ascii="Arial" w:hAnsi="Arial" w:cs="Arial"/>
          <w:sz w:val="20"/>
          <w:szCs w:val="20"/>
        </w:rPr>
        <w:t>.</w:t>
      </w:r>
    </w:p>
    <w:p w:rsidR="00BD1E34" w:rsidRPr="00FC6F33" w:rsidRDefault="00BD1E34" w:rsidP="00FC6F33">
      <w:pPr>
        <w:spacing w:after="0" w:line="240" w:lineRule="auto"/>
        <w:jc w:val="both"/>
        <w:rPr>
          <w:rFonts w:ascii="Arial" w:hAnsi="Arial" w:cs="Arial"/>
          <w:b/>
          <w:bCs/>
          <w:sz w:val="20"/>
          <w:szCs w:val="20"/>
        </w:rPr>
      </w:pPr>
    </w:p>
    <w:p w:rsidR="005D1EB7" w:rsidRPr="00FC6F33" w:rsidRDefault="005D1EB7" w:rsidP="00FC6F33">
      <w:pPr>
        <w:spacing w:after="0" w:line="240" w:lineRule="auto"/>
        <w:jc w:val="both"/>
        <w:rPr>
          <w:rFonts w:ascii="Arial" w:hAnsi="Arial" w:cs="Arial"/>
          <w:b/>
          <w:bCs/>
          <w:sz w:val="20"/>
          <w:szCs w:val="20"/>
        </w:rPr>
      </w:pPr>
      <w:r w:rsidRPr="00FC6F33">
        <w:rPr>
          <w:rFonts w:ascii="Arial" w:hAnsi="Arial" w:cs="Arial"/>
          <w:b/>
          <w:bCs/>
          <w:sz w:val="20"/>
          <w:szCs w:val="20"/>
        </w:rPr>
        <w:t>CONCLUSION</w:t>
      </w:r>
    </w:p>
    <w:p w:rsidR="0027037B" w:rsidRDefault="0027037B" w:rsidP="00FC6F33">
      <w:pPr>
        <w:spacing w:after="0" w:line="240" w:lineRule="auto"/>
        <w:jc w:val="both"/>
        <w:rPr>
          <w:rFonts w:ascii="Arial" w:hAnsi="Arial" w:cs="Arial"/>
          <w:sz w:val="20"/>
          <w:szCs w:val="20"/>
        </w:rPr>
      </w:pPr>
    </w:p>
    <w:p w:rsidR="00260AAD" w:rsidRPr="00FC6F33" w:rsidRDefault="00260AAD" w:rsidP="00FC6F33">
      <w:pPr>
        <w:spacing w:after="0" w:line="240" w:lineRule="auto"/>
        <w:jc w:val="both"/>
        <w:rPr>
          <w:rFonts w:ascii="Arial" w:hAnsi="Arial" w:cs="Arial"/>
          <w:sz w:val="20"/>
          <w:szCs w:val="20"/>
        </w:rPr>
      </w:pPr>
      <w:r w:rsidRPr="00FC6F33">
        <w:rPr>
          <w:rFonts w:ascii="Arial" w:hAnsi="Arial" w:cs="Arial"/>
          <w:sz w:val="20"/>
          <w:szCs w:val="20"/>
        </w:rPr>
        <w:t>There was increasing of CA 125 level with the stage of tumor in the first diagnosis and in follow up of patients after treatment. Also there was a relation between CA125 level and Ultrasound finding in the first diagnosis and in follow up of patients after treatment.</w:t>
      </w:r>
    </w:p>
    <w:p w:rsidR="00742C31" w:rsidRPr="00FC6F33" w:rsidRDefault="00260AAD" w:rsidP="00FC6F33">
      <w:pPr>
        <w:pStyle w:val="Heading2"/>
        <w:spacing w:before="0" w:line="240" w:lineRule="auto"/>
        <w:jc w:val="both"/>
        <w:rPr>
          <w:rFonts w:ascii="Arial" w:hAnsi="Arial" w:cs="Arial"/>
          <w:b w:val="0"/>
          <w:bCs w:val="0"/>
          <w:color w:val="auto"/>
          <w:sz w:val="20"/>
          <w:szCs w:val="20"/>
        </w:rPr>
      </w:pPr>
      <w:r w:rsidRPr="00FC6F33">
        <w:rPr>
          <w:rFonts w:ascii="Arial" w:hAnsi="Arial" w:cs="Arial"/>
          <w:b w:val="0"/>
          <w:bCs w:val="0"/>
          <w:color w:val="auto"/>
          <w:sz w:val="20"/>
          <w:szCs w:val="20"/>
        </w:rPr>
        <w:t>There</w:t>
      </w:r>
      <w:r w:rsidR="0024138E" w:rsidRPr="00FC6F33">
        <w:rPr>
          <w:rFonts w:ascii="Arial" w:hAnsi="Arial" w:cs="Arial"/>
          <w:b w:val="0"/>
          <w:bCs w:val="0"/>
          <w:color w:val="auto"/>
          <w:sz w:val="20"/>
          <w:szCs w:val="20"/>
        </w:rPr>
        <w:t>fore</w:t>
      </w:r>
      <w:r w:rsidRPr="00FC6F33">
        <w:rPr>
          <w:rFonts w:ascii="Arial" w:hAnsi="Arial" w:cs="Arial"/>
          <w:b w:val="0"/>
          <w:bCs w:val="0"/>
          <w:color w:val="auto"/>
          <w:sz w:val="20"/>
          <w:szCs w:val="20"/>
        </w:rPr>
        <w:t xml:space="preserve"> CA125 can be used in supporting the diagnosis and in follow-up of </w:t>
      </w:r>
      <w:r w:rsidR="007C7DE2" w:rsidRPr="00FC6F33">
        <w:rPr>
          <w:rFonts w:ascii="Arial" w:hAnsi="Arial" w:cs="Arial"/>
          <w:b w:val="0"/>
          <w:bCs w:val="0"/>
          <w:color w:val="auto"/>
          <w:sz w:val="20"/>
          <w:szCs w:val="20"/>
        </w:rPr>
        <w:t xml:space="preserve">treatment of </w:t>
      </w:r>
      <w:r w:rsidRPr="00FC6F33">
        <w:rPr>
          <w:rFonts w:ascii="Arial" w:hAnsi="Arial" w:cs="Arial"/>
          <w:b w:val="0"/>
          <w:bCs w:val="0"/>
          <w:color w:val="auto"/>
          <w:sz w:val="20"/>
          <w:szCs w:val="20"/>
        </w:rPr>
        <w:t>ovarian cancer</w:t>
      </w:r>
      <w:r w:rsidR="007C7DE2" w:rsidRPr="00FC6F33">
        <w:rPr>
          <w:rFonts w:ascii="Arial" w:hAnsi="Arial" w:cs="Arial"/>
          <w:b w:val="0"/>
          <w:bCs w:val="0"/>
          <w:color w:val="auto"/>
          <w:sz w:val="20"/>
          <w:szCs w:val="20"/>
        </w:rPr>
        <w:t xml:space="preserve"> patients</w:t>
      </w:r>
      <w:r w:rsidRPr="00FC6F33">
        <w:rPr>
          <w:rFonts w:ascii="Arial" w:hAnsi="Arial" w:cs="Arial"/>
          <w:b w:val="0"/>
          <w:bCs w:val="0"/>
          <w:color w:val="auto"/>
          <w:sz w:val="20"/>
          <w:szCs w:val="20"/>
        </w:rPr>
        <w:t>.</w:t>
      </w:r>
      <w:r w:rsidR="0024138E" w:rsidRPr="00FC6F33">
        <w:rPr>
          <w:rFonts w:ascii="Arial" w:hAnsi="Arial" w:cs="Arial"/>
          <w:b w:val="0"/>
          <w:bCs w:val="0"/>
          <w:color w:val="auto"/>
          <w:sz w:val="20"/>
          <w:szCs w:val="20"/>
        </w:rPr>
        <w:t xml:space="preserve"> </w:t>
      </w:r>
      <w:r w:rsidRPr="00FC6F33">
        <w:rPr>
          <w:rFonts w:ascii="Arial" w:hAnsi="Arial" w:cs="Arial"/>
          <w:b w:val="0"/>
          <w:bCs w:val="0"/>
          <w:color w:val="auto"/>
          <w:sz w:val="20"/>
          <w:szCs w:val="20"/>
        </w:rPr>
        <w:t>Screening programs can be used to help early detection in elder women havin</w:t>
      </w:r>
      <w:r w:rsidR="00C832B9" w:rsidRPr="00FC6F33">
        <w:rPr>
          <w:rFonts w:ascii="Arial" w:hAnsi="Arial" w:cs="Arial"/>
          <w:b w:val="0"/>
          <w:bCs w:val="0"/>
          <w:color w:val="auto"/>
          <w:sz w:val="20"/>
          <w:szCs w:val="20"/>
        </w:rPr>
        <w:t>g one</w:t>
      </w:r>
      <w:r w:rsidRPr="00FC6F33">
        <w:rPr>
          <w:rFonts w:ascii="Arial" w:hAnsi="Arial" w:cs="Arial"/>
          <w:b w:val="0"/>
          <w:bCs w:val="0"/>
          <w:color w:val="auto"/>
          <w:sz w:val="20"/>
          <w:szCs w:val="20"/>
        </w:rPr>
        <w:t xml:space="preserve"> symptom of ovarian cancer. Further studies should be done using large sample size.</w:t>
      </w:r>
    </w:p>
    <w:p w:rsidR="0027037B" w:rsidRPr="00FC6F33" w:rsidRDefault="0027037B" w:rsidP="00FC6F33">
      <w:pPr>
        <w:spacing w:after="0" w:line="240" w:lineRule="auto"/>
        <w:jc w:val="both"/>
        <w:rPr>
          <w:rFonts w:ascii="Arial" w:hAnsi="Arial" w:cs="Arial"/>
          <w:sz w:val="20"/>
          <w:szCs w:val="20"/>
        </w:rPr>
      </w:pPr>
    </w:p>
    <w:p w:rsidR="00C832B9" w:rsidRPr="00FC6F33" w:rsidRDefault="00C832B9" w:rsidP="00FC6F33">
      <w:pPr>
        <w:tabs>
          <w:tab w:val="left" w:pos="2560"/>
        </w:tabs>
        <w:spacing w:after="0" w:line="240" w:lineRule="auto"/>
        <w:jc w:val="both"/>
        <w:rPr>
          <w:rFonts w:ascii="Arial" w:hAnsi="Arial" w:cs="Arial"/>
          <w:b/>
          <w:bCs/>
          <w:sz w:val="20"/>
          <w:szCs w:val="20"/>
        </w:rPr>
      </w:pPr>
      <w:r w:rsidRPr="00FC6F33">
        <w:rPr>
          <w:rFonts w:ascii="Arial" w:hAnsi="Arial" w:cs="Arial"/>
          <w:b/>
          <w:bCs/>
          <w:sz w:val="20"/>
          <w:szCs w:val="20"/>
        </w:rPr>
        <w:t>ETHICAL APPROVAL</w:t>
      </w:r>
    </w:p>
    <w:p w:rsidR="0027037B" w:rsidRDefault="0027037B" w:rsidP="00FC6F33">
      <w:pPr>
        <w:pStyle w:val="BodyTextIndent2"/>
        <w:spacing w:line="240" w:lineRule="auto"/>
        <w:ind w:left="0"/>
        <w:jc w:val="both"/>
        <w:rPr>
          <w:rFonts w:ascii="Arial" w:hAnsi="Arial" w:cs="Arial"/>
          <w:sz w:val="20"/>
          <w:szCs w:val="20"/>
        </w:rPr>
      </w:pPr>
    </w:p>
    <w:p w:rsidR="00B626B5" w:rsidRDefault="00F05D53" w:rsidP="00BD1E34">
      <w:pPr>
        <w:pStyle w:val="BodyTextIndent2"/>
        <w:spacing w:line="240" w:lineRule="auto"/>
        <w:ind w:left="0"/>
        <w:jc w:val="both"/>
        <w:rPr>
          <w:rFonts w:ascii="Arial" w:hAnsi="Arial" w:cs="Arial"/>
          <w:sz w:val="20"/>
          <w:szCs w:val="20"/>
        </w:rPr>
      </w:pPr>
      <w:r w:rsidRPr="00FC6F33">
        <w:rPr>
          <w:rFonts w:ascii="Arial" w:hAnsi="Arial" w:cs="Arial"/>
          <w:sz w:val="20"/>
          <w:szCs w:val="20"/>
        </w:rPr>
        <w:t>The</w:t>
      </w:r>
      <w:r w:rsidR="00C832B9" w:rsidRPr="00FC6F33">
        <w:rPr>
          <w:rFonts w:ascii="Arial" w:hAnsi="Arial" w:cs="Arial"/>
          <w:sz w:val="20"/>
          <w:szCs w:val="20"/>
        </w:rPr>
        <w:t xml:space="preserve"> samples </w:t>
      </w:r>
      <w:r w:rsidR="00BD1E34" w:rsidRPr="00FC6F33">
        <w:rPr>
          <w:rFonts w:ascii="Arial" w:hAnsi="Arial" w:cs="Arial"/>
          <w:sz w:val="20"/>
          <w:szCs w:val="20"/>
        </w:rPr>
        <w:t>information’s</w:t>
      </w:r>
      <w:r w:rsidR="00C832B9" w:rsidRPr="00FC6F33">
        <w:rPr>
          <w:rFonts w:ascii="Arial" w:hAnsi="Arial" w:cs="Arial"/>
          <w:sz w:val="20"/>
          <w:szCs w:val="20"/>
        </w:rPr>
        <w:t xml:space="preserve"> from the records, numbered samples, </w:t>
      </w:r>
      <w:r w:rsidR="00BD1E34" w:rsidRPr="00FC6F33">
        <w:rPr>
          <w:rFonts w:ascii="Arial" w:hAnsi="Arial" w:cs="Arial"/>
          <w:sz w:val="20"/>
          <w:szCs w:val="20"/>
        </w:rPr>
        <w:t>and no</w:t>
      </w:r>
      <w:r w:rsidR="00C832B9" w:rsidRPr="00FC6F33">
        <w:rPr>
          <w:rFonts w:ascii="Arial" w:hAnsi="Arial" w:cs="Arial"/>
          <w:sz w:val="20"/>
          <w:szCs w:val="20"/>
        </w:rPr>
        <w:t xml:space="preserve"> patients’ name.</w:t>
      </w:r>
      <w:r w:rsidR="00BD1E34">
        <w:rPr>
          <w:rFonts w:ascii="Arial" w:hAnsi="Arial" w:cs="Arial"/>
          <w:sz w:val="20"/>
          <w:szCs w:val="20"/>
        </w:rPr>
        <w:t xml:space="preserve"> </w:t>
      </w:r>
      <w:r w:rsidR="00C832B9" w:rsidRPr="00FC6F33">
        <w:rPr>
          <w:rFonts w:ascii="Arial" w:hAnsi="Arial" w:cs="Arial"/>
          <w:sz w:val="20"/>
          <w:szCs w:val="20"/>
        </w:rPr>
        <w:t xml:space="preserve">Ethical approval for this </w:t>
      </w:r>
    </w:p>
    <w:p w:rsidR="00B626B5" w:rsidRDefault="001E39B6" w:rsidP="00BD1E34">
      <w:pPr>
        <w:pStyle w:val="BodyTextIndent2"/>
        <w:spacing w:line="240" w:lineRule="auto"/>
        <w:ind w:left="0"/>
        <w:jc w:val="both"/>
        <w:rPr>
          <w:rFonts w:ascii="Arial" w:hAnsi="Arial" w:cs="Arial"/>
          <w:sz w:val="20"/>
          <w:szCs w:val="20"/>
        </w:rPr>
      </w:pPr>
      <w:r>
        <w:rPr>
          <w:rFonts w:ascii="Arial" w:hAnsi="Arial" w:cs="Arial"/>
          <w:sz w:val="20"/>
          <w:szCs w:val="20"/>
        </w:rPr>
        <w:lastRenderedPageBreak/>
        <w:t>J. Med. Med. Sci. 18</w:t>
      </w:r>
    </w:p>
    <w:p w:rsidR="00B626B5" w:rsidRDefault="00B626B5" w:rsidP="00BD1E34">
      <w:pPr>
        <w:pStyle w:val="BodyTextIndent2"/>
        <w:spacing w:line="240" w:lineRule="auto"/>
        <w:ind w:left="0"/>
        <w:jc w:val="both"/>
        <w:rPr>
          <w:rFonts w:ascii="Arial" w:hAnsi="Arial" w:cs="Arial"/>
          <w:sz w:val="20"/>
          <w:szCs w:val="20"/>
        </w:rPr>
      </w:pPr>
    </w:p>
    <w:p w:rsidR="00B626B5" w:rsidRDefault="00B626B5" w:rsidP="00BD1E34">
      <w:pPr>
        <w:pStyle w:val="BodyTextIndent2"/>
        <w:spacing w:line="240" w:lineRule="auto"/>
        <w:ind w:left="0"/>
        <w:jc w:val="both"/>
        <w:rPr>
          <w:rFonts w:ascii="Arial" w:hAnsi="Arial" w:cs="Arial"/>
          <w:sz w:val="20"/>
          <w:szCs w:val="20"/>
        </w:rPr>
      </w:pPr>
    </w:p>
    <w:p w:rsidR="00B626B5" w:rsidRDefault="00B626B5" w:rsidP="00BD1E34">
      <w:pPr>
        <w:pStyle w:val="BodyTextIndent2"/>
        <w:spacing w:line="240" w:lineRule="auto"/>
        <w:ind w:left="0"/>
        <w:jc w:val="both"/>
        <w:rPr>
          <w:rFonts w:ascii="Arial" w:hAnsi="Arial" w:cs="Arial"/>
          <w:sz w:val="20"/>
          <w:szCs w:val="20"/>
        </w:rPr>
      </w:pPr>
    </w:p>
    <w:p w:rsidR="00C832B9" w:rsidRDefault="00C832B9" w:rsidP="00BD1E34">
      <w:pPr>
        <w:pStyle w:val="BodyTextIndent2"/>
        <w:spacing w:line="240" w:lineRule="auto"/>
        <w:ind w:left="0"/>
        <w:jc w:val="both"/>
        <w:rPr>
          <w:rFonts w:ascii="Arial" w:hAnsi="Arial" w:cs="Arial"/>
          <w:sz w:val="20"/>
          <w:szCs w:val="20"/>
        </w:rPr>
      </w:pPr>
      <w:r w:rsidRPr="00FC6F33">
        <w:rPr>
          <w:rFonts w:ascii="Arial" w:hAnsi="Arial" w:cs="Arial"/>
          <w:sz w:val="20"/>
          <w:szCs w:val="20"/>
        </w:rPr>
        <w:t>study was obtained from the research ethical committee from the Gezira State Ministry of Health.</w:t>
      </w:r>
    </w:p>
    <w:p w:rsidR="0027037B" w:rsidRDefault="0027037B" w:rsidP="00FC6F33">
      <w:pPr>
        <w:tabs>
          <w:tab w:val="left" w:pos="2560"/>
        </w:tabs>
        <w:spacing w:after="0" w:line="240" w:lineRule="auto"/>
        <w:jc w:val="both"/>
        <w:rPr>
          <w:rFonts w:ascii="Arial" w:hAnsi="Arial" w:cs="Arial"/>
          <w:sz w:val="20"/>
          <w:szCs w:val="20"/>
        </w:rPr>
      </w:pPr>
    </w:p>
    <w:p w:rsidR="0027037B" w:rsidRPr="00FC6F33" w:rsidRDefault="0027037B" w:rsidP="00FC6F33">
      <w:pPr>
        <w:tabs>
          <w:tab w:val="left" w:pos="2560"/>
        </w:tabs>
        <w:spacing w:after="0" w:line="240" w:lineRule="auto"/>
        <w:jc w:val="both"/>
        <w:rPr>
          <w:rFonts w:ascii="Arial" w:hAnsi="Arial" w:cs="Arial"/>
          <w:sz w:val="20"/>
          <w:szCs w:val="20"/>
        </w:rPr>
      </w:pPr>
    </w:p>
    <w:p w:rsidR="00C832B9" w:rsidRPr="00FC6F33" w:rsidRDefault="00C832B9" w:rsidP="00FC6F33">
      <w:pPr>
        <w:tabs>
          <w:tab w:val="left" w:pos="2560"/>
        </w:tabs>
        <w:spacing w:after="0" w:line="240" w:lineRule="auto"/>
        <w:jc w:val="both"/>
        <w:rPr>
          <w:rFonts w:ascii="Arial" w:hAnsi="Arial" w:cs="Arial"/>
          <w:b/>
          <w:bCs/>
          <w:sz w:val="20"/>
          <w:szCs w:val="20"/>
        </w:rPr>
      </w:pPr>
      <w:r w:rsidRPr="00FC6F33">
        <w:rPr>
          <w:rFonts w:ascii="Arial" w:hAnsi="Arial" w:cs="Arial"/>
          <w:b/>
          <w:bCs/>
          <w:sz w:val="20"/>
          <w:szCs w:val="20"/>
        </w:rPr>
        <w:t xml:space="preserve">COMPETING INTERESTS </w:t>
      </w:r>
      <w:r w:rsidRPr="00FC6F33">
        <w:rPr>
          <w:rFonts w:ascii="Arial" w:hAnsi="Arial" w:cs="Arial"/>
          <w:b/>
          <w:bCs/>
          <w:sz w:val="20"/>
          <w:szCs w:val="20"/>
        </w:rPr>
        <w:tab/>
      </w:r>
    </w:p>
    <w:p w:rsidR="0027037B" w:rsidRDefault="0027037B" w:rsidP="00FC6F33">
      <w:pPr>
        <w:spacing w:after="0" w:line="240" w:lineRule="auto"/>
        <w:jc w:val="both"/>
        <w:rPr>
          <w:rFonts w:ascii="Arial" w:hAnsi="Arial" w:cs="Arial"/>
          <w:sz w:val="20"/>
          <w:szCs w:val="20"/>
        </w:rPr>
      </w:pPr>
    </w:p>
    <w:p w:rsidR="00C832B9" w:rsidRPr="00FC6F33" w:rsidRDefault="00C832B9" w:rsidP="00FC6F33">
      <w:pPr>
        <w:spacing w:after="0" w:line="240" w:lineRule="auto"/>
        <w:jc w:val="both"/>
        <w:rPr>
          <w:rFonts w:ascii="Arial" w:hAnsi="Arial" w:cs="Arial"/>
          <w:sz w:val="20"/>
          <w:szCs w:val="20"/>
        </w:rPr>
      </w:pPr>
      <w:r w:rsidRPr="00FC6F33">
        <w:rPr>
          <w:rFonts w:ascii="Arial" w:hAnsi="Arial" w:cs="Arial"/>
          <w:sz w:val="20"/>
          <w:szCs w:val="20"/>
        </w:rPr>
        <w:t>Authors have declared that no competing interests exist.</w:t>
      </w:r>
    </w:p>
    <w:p w:rsidR="00C832B9" w:rsidRPr="00FC6F33" w:rsidRDefault="00C832B9" w:rsidP="00FC6F33">
      <w:pPr>
        <w:spacing w:after="0" w:line="240" w:lineRule="auto"/>
        <w:jc w:val="both"/>
        <w:rPr>
          <w:rFonts w:ascii="Arial" w:hAnsi="Arial" w:cs="Arial"/>
          <w:sz w:val="20"/>
          <w:szCs w:val="20"/>
        </w:rPr>
      </w:pPr>
    </w:p>
    <w:p w:rsidR="00C832B9" w:rsidRPr="00FC6F33" w:rsidRDefault="00C832B9" w:rsidP="00FC6F33">
      <w:pPr>
        <w:spacing w:after="0" w:line="240" w:lineRule="auto"/>
        <w:jc w:val="both"/>
        <w:rPr>
          <w:rFonts w:ascii="Arial" w:hAnsi="Arial" w:cs="Arial"/>
          <w:b/>
          <w:bCs/>
          <w:sz w:val="20"/>
          <w:szCs w:val="20"/>
        </w:rPr>
      </w:pPr>
      <w:r w:rsidRPr="00FC6F33">
        <w:rPr>
          <w:rFonts w:ascii="Arial" w:hAnsi="Arial" w:cs="Arial"/>
          <w:b/>
          <w:bCs/>
          <w:sz w:val="20"/>
          <w:szCs w:val="20"/>
        </w:rPr>
        <w:t>REFERENCES</w:t>
      </w:r>
    </w:p>
    <w:p w:rsidR="00B13040" w:rsidRDefault="00B13040" w:rsidP="00FC6F33">
      <w:pPr>
        <w:tabs>
          <w:tab w:val="right" w:pos="540"/>
          <w:tab w:val="right" w:pos="720"/>
          <w:tab w:val="right" w:pos="851"/>
          <w:tab w:val="left" w:pos="6521"/>
        </w:tabs>
        <w:spacing w:after="0" w:line="240" w:lineRule="auto"/>
        <w:jc w:val="both"/>
        <w:rPr>
          <w:rFonts w:ascii="Arial" w:hAnsi="Arial" w:cs="Arial"/>
          <w:sz w:val="20"/>
          <w:szCs w:val="20"/>
        </w:rPr>
      </w:pPr>
    </w:p>
    <w:p w:rsidR="00B626B5" w:rsidRPr="00BD1E34"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American Cancer Society (2016). Screening Tests for Ovarian Cancer.</w:t>
      </w:r>
    </w:p>
    <w:p w:rsidR="00BD1E34" w:rsidRDefault="00BD1E34" w:rsidP="00BD1E34">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Brandtzaeg P (1998). The increasing power of immunohistochemistry and immunocytochemistry. Laboratory for Immunohistochemistry and Immunopathology (LIIPAT), Institute of Pathology, University of Oslo, The National Hospital, Rikshospitalet, Norway.J Immunol.  Methods1;216 (1-2):49-67.</w:t>
      </w:r>
    </w:p>
    <w:p w:rsidR="00B626B5" w:rsidRPr="00BD1E34"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Cancer Research UK (2016). Ovarian Cancer tests.</w:t>
      </w:r>
    </w:p>
    <w:p w:rsidR="00B626B5" w:rsidRPr="00BD1E34"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Digant Gupta and Christopher (2009). Role of CA125 in predicting ovarian cancer survival - a review of the epidemiological literature. J Ovarian Res; 2: 13.</w:t>
      </w:r>
    </w:p>
    <w:p w:rsidR="00B626B5" w:rsidRDefault="00B626B5" w:rsidP="00BD1E34">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Digant Gupta (2006). Longitudinal monitoring of CA125 levels provides additional information about survival in ovarian cancer.</w:t>
      </w: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EB72A0" w:rsidRP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20"/>
          <w:szCs w:val="20"/>
        </w:rPr>
      </w:pPr>
    </w:p>
    <w:p w:rsidR="00B626B5"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Foundation for Women’s Cancer (2011). Understanding CA 125 Levels a guide for ovarian cancer patients.</w:t>
      </w:r>
    </w:p>
    <w:p w:rsidR="00B626B5" w:rsidRPr="00BD1E34"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Grogan TM (1992).  Automated Immunohistochemical Analysis. Am J Clin Pathol 98:S35-S38.</w:t>
      </w:r>
    </w:p>
    <w:p w:rsidR="00EB72A0" w:rsidRDefault="00EB72A0" w:rsidP="00EB72A0">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John D. Bancrofti, Alan Stevens and David R. Turner (1996).  Theory and Practice of Staining. Fourth edition. New York, Edinbrough, London, SanFrancosco. Tokyo.Page</w:t>
      </w:r>
    </w:p>
    <w:p w:rsidR="00EB72A0" w:rsidRPr="00BD1E34" w:rsidRDefault="00EB72A0" w:rsidP="00EB72A0">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J. M. Riedinger (2006). Change in CA 125 levels after the first cycle of induction chemotherapy is an independent predictor of epithelial ovarian tumor outcome.</w:t>
      </w:r>
    </w:p>
    <w:p w:rsidR="00BD1E34" w:rsidRPr="00BD1E34" w:rsidRDefault="00BD1E34" w:rsidP="00EB72A0">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Kristen Pepin, MD, Marcela del Carmen, MD, MPH, Amy Brown, MD, MPH, and Don S. Dizon, MD (2011). CA 125 and Epithelial Ovarian Cancer: Role in Screening, Diagnosis, and Surveillance</w:t>
      </w:r>
    </w:p>
    <w:p w:rsidR="00BD1E34" w:rsidRPr="00BD1E34" w:rsidRDefault="00BD1E34" w:rsidP="00BD1E34">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Moya O’Doherty (2016). Guidelines for CA-125 Requesting. BLOOD SCIENCES DEPARTMENT OF BIOCHEMISTRY.</w:t>
      </w:r>
    </w:p>
    <w:p w:rsidR="00BD1E34" w:rsidRPr="00BD1E34" w:rsidRDefault="00BD1E34" w:rsidP="00BD1E34">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Maurie Markman, M.D (1996). The Role of CA-125 in the Management of Ovarian Cancer. Department of Hematology/Medical Oncology, The Cleveland Clinic Foundation, 9500 Euclid Avenue, Cleveland, Ohio 44195, USA.</w:t>
      </w:r>
    </w:p>
    <w:p w:rsidR="00B626B5"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 xml:space="preserve">National Ovarian Cancer Coalition (2016) .Ovarian Cancer is More Than a Woman's Disease. </w:t>
      </w:r>
    </w:p>
    <w:p w:rsidR="00EB72A0" w:rsidRPr="00BD1E34" w:rsidRDefault="00EB72A0" w:rsidP="00EB72A0">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Nadji M and Morales AR (1983).  Immuno peroxidase: Part 1: the techniques and its pitfalls. Lab Med, 14:767-771.</w:t>
      </w:r>
    </w:p>
    <w:p w:rsidR="00B626B5" w:rsidRDefault="00B626B5"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 xml:space="preserve">Sudanese journal of public health (2013). Office for National Statistics, Similar data can be found here: </w:t>
      </w:r>
      <w:r w:rsidR="00EB72A0" w:rsidRPr="00EB72A0">
        <w:rPr>
          <w:rFonts w:ascii="Arial" w:hAnsi="Arial" w:cs="Arial"/>
          <w:sz w:val="17"/>
          <w:szCs w:val="17"/>
        </w:rPr>
        <w:t>http://www.ons.gov.uk/ons/rel/vsob1/cancer-statistics-registrations--england--series-mb1-/index.html</w:t>
      </w:r>
    </w:p>
    <w:p w:rsidR="00EB72A0"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Suprasert P1, Chalapati W (2013). Detection of recurrence in a surveillance program for epithelial ovarian cancer.</w:t>
      </w:r>
    </w:p>
    <w:p w:rsidR="00EB72A0" w:rsidRPr="00BD1E34" w:rsidRDefault="00EB72A0" w:rsidP="00B626B5">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Target Ovarian Cancer (2014). CA 125 blood test.</w:t>
      </w:r>
    </w:p>
    <w:p w:rsidR="00EB72A0" w:rsidRPr="00BD1E34" w:rsidRDefault="00EB72A0" w:rsidP="00EB72A0">
      <w:pPr>
        <w:tabs>
          <w:tab w:val="right" w:pos="540"/>
          <w:tab w:val="right" w:pos="720"/>
          <w:tab w:val="right" w:pos="851"/>
          <w:tab w:val="left" w:pos="6521"/>
        </w:tabs>
        <w:spacing w:after="0" w:line="240" w:lineRule="auto"/>
        <w:ind w:left="180" w:hanging="180"/>
        <w:jc w:val="both"/>
        <w:rPr>
          <w:rFonts w:ascii="Arial" w:hAnsi="Arial" w:cs="Arial"/>
          <w:sz w:val="17"/>
          <w:szCs w:val="17"/>
        </w:rPr>
      </w:pPr>
      <w:r w:rsidRPr="00BD1E34">
        <w:rPr>
          <w:rFonts w:ascii="Arial" w:hAnsi="Arial" w:cs="Arial"/>
          <w:sz w:val="17"/>
          <w:szCs w:val="17"/>
        </w:rPr>
        <w:t>World Health Organization (2014). Cancer fact sheet.</w:t>
      </w:r>
    </w:p>
    <w:p w:rsidR="00EB72A0" w:rsidRDefault="00EB72A0" w:rsidP="00FC6F33">
      <w:pPr>
        <w:tabs>
          <w:tab w:val="right" w:pos="540"/>
          <w:tab w:val="right" w:pos="720"/>
          <w:tab w:val="right" w:pos="851"/>
          <w:tab w:val="left" w:pos="6521"/>
        </w:tabs>
        <w:spacing w:after="0" w:line="240" w:lineRule="auto"/>
        <w:jc w:val="both"/>
        <w:rPr>
          <w:rFonts w:ascii="Arial" w:hAnsi="Arial" w:cs="Arial"/>
          <w:sz w:val="20"/>
          <w:szCs w:val="20"/>
        </w:rPr>
        <w:sectPr w:rsidR="00EB72A0" w:rsidSect="00B626B5">
          <w:type w:val="continuous"/>
          <w:pgSz w:w="12240" w:h="15840" w:code="1"/>
          <w:pgMar w:top="576" w:right="720" w:bottom="1008" w:left="864" w:header="706" w:footer="706" w:gutter="0"/>
          <w:cols w:num="2" w:space="432"/>
          <w:docGrid w:linePitch="360"/>
        </w:sectPr>
      </w:pPr>
    </w:p>
    <w:p w:rsidR="00BD1E34" w:rsidRPr="00FC6F33" w:rsidRDefault="00BD1E34" w:rsidP="00FC6F33">
      <w:pPr>
        <w:tabs>
          <w:tab w:val="right" w:pos="540"/>
          <w:tab w:val="right" w:pos="720"/>
          <w:tab w:val="right" w:pos="851"/>
          <w:tab w:val="left" w:pos="6521"/>
        </w:tabs>
        <w:spacing w:after="0" w:line="240" w:lineRule="auto"/>
        <w:jc w:val="both"/>
        <w:rPr>
          <w:rFonts w:ascii="Arial" w:hAnsi="Arial" w:cs="Arial"/>
          <w:sz w:val="20"/>
          <w:szCs w:val="20"/>
        </w:rPr>
      </w:pPr>
    </w:p>
    <w:p w:rsidR="00B13040" w:rsidRPr="00FC6F33" w:rsidRDefault="00B13040" w:rsidP="00FC6F33">
      <w:pPr>
        <w:tabs>
          <w:tab w:val="right" w:pos="540"/>
          <w:tab w:val="right" w:pos="720"/>
          <w:tab w:val="right" w:pos="851"/>
          <w:tab w:val="left" w:pos="6521"/>
        </w:tabs>
        <w:spacing w:after="0" w:line="240" w:lineRule="auto"/>
        <w:jc w:val="both"/>
        <w:rPr>
          <w:rFonts w:ascii="Arial" w:hAnsi="Arial" w:cs="Arial"/>
          <w:sz w:val="20"/>
          <w:szCs w:val="20"/>
        </w:rPr>
      </w:pPr>
    </w:p>
    <w:p w:rsidR="00C46BE5" w:rsidRPr="00FC6F33" w:rsidRDefault="00C46BE5" w:rsidP="00FC6F33">
      <w:pPr>
        <w:tabs>
          <w:tab w:val="right" w:pos="540"/>
          <w:tab w:val="right" w:pos="720"/>
          <w:tab w:val="right" w:pos="851"/>
          <w:tab w:val="left" w:pos="6521"/>
        </w:tabs>
        <w:spacing w:after="0" w:line="240" w:lineRule="auto"/>
        <w:ind w:left="714"/>
        <w:jc w:val="both"/>
        <w:rPr>
          <w:rFonts w:ascii="Arial" w:hAnsi="Arial" w:cs="Arial"/>
          <w:sz w:val="20"/>
          <w:szCs w:val="20"/>
        </w:rPr>
      </w:pPr>
    </w:p>
    <w:p w:rsidR="00770303" w:rsidRPr="00FC6F33" w:rsidRDefault="00770303" w:rsidP="00FC6F33">
      <w:pPr>
        <w:spacing w:after="0" w:line="240" w:lineRule="auto"/>
        <w:jc w:val="both"/>
        <w:rPr>
          <w:rFonts w:ascii="Arial" w:hAnsi="Arial" w:cs="Arial"/>
          <w:sz w:val="20"/>
          <w:szCs w:val="20"/>
        </w:rPr>
      </w:pPr>
    </w:p>
    <w:sectPr w:rsidR="00770303" w:rsidRPr="00FC6F33" w:rsidSect="00BD1E34">
      <w:type w:val="continuous"/>
      <w:pgSz w:w="12240" w:h="15840" w:code="1"/>
      <w:pgMar w:top="576" w:right="720" w:bottom="1008" w:left="86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522" w:rsidRDefault="00AC6522" w:rsidP="00EB6D5E">
      <w:pPr>
        <w:spacing w:after="0" w:line="240" w:lineRule="auto"/>
      </w:pPr>
      <w:r>
        <w:separator/>
      </w:r>
    </w:p>
  </w:endnote>
  <w:endnote w:type="continuationSeparator" w:id="0">
    <w:p w:rsidR="00AC6522" w:rsidRDefault="00AC6522" w:rsidP="00EB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522" w:rsidRDefault="00AC6522" w:rsidP="00EB6D5E">
      <w:pPr>
        <w:spacing w:after="0" w:line="240" w:lineRule="auto"/>
      </w:pPr>
      <w:r>
        <w:separator/>
      </w:r>
    </w:p>
  </w:footnote>
  <w:footnote w:type="continuationSeparator" w:id="0">
    <w:p w:rsidR="00AC6522" w:rsidRDefault="00AC6522" w:rsidP="00EB6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578"/>
    <w:multiLevelType w:val="hybridMultilevel"/>
    <w:tmpl w:val="C6C278BC"/>
    <w:lvl w:ilvl="0" w:tplc="7CC65002">
      <w:start w:val="5"/>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181E7883"/>
    <w:multiLevelType w:val="hybridMultilevel"/>
    <w:tmpl w:val="A2BC700C"/>
    <w:lvl w:ilvl="0" w:tplc="09F8B5A0">
      <w:start w:val="2"/>
      <w:numFmt w:val="decimal"/>
      <w:lvlText w:val="%1-"/>
      <w:lvlJc w:val="left"/>
      <w:pPr>
        <w:ind w:left="644" w:hanging="360"/>
      </w:pPr>
      <w:rPr>
        <w:rFonts w:hint="default"/>
        <w:i w:val="0"/>
        <w:i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94B06AE"/>
    <w:multiLevelType w:val="hybridMultilevel"/>
    <w:tmpl w:val="CF80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C462E"/>
    <w:multiLevelType w:val="hybridMultilevel"/>
    <w:tmpl w:val="5240BE7E"/>
    <w:lvl w:ilvl="0" w:tplc="6D023FF8">
      <w:start w:val="1"/>
      <w:numFmt w:val="decimal"/>
      <w:lvlText w:val="%1-"/>
      <w:lvlJc w:val="left"/>
      <w:pPr>
        <w:ind w:left="644" w:hanging="360"/>
      </w:pPr>
      <w:rPr>
        <w:rFonts w:cs="Times New Roman" w:hint="default"/>
        <w:b/>
        <w:bCs/>
        <w:i w:val="0"/>
        <w:iCs w:val="0"/>
      </w:rPr>
    </w:lvl>
    <w:lvl w:ilvl="1" w:tplc="08090019">
      <w:start w:val="1"/>
      <w:numFmt w:val="lowerLetter"/>
      <w:lvlText w:val="%2."/>
      <w:lvlJc w:val="left"/>
      <w:pPr>
        <w:ind w:left="1364" w:hanging="360"/>
      </w:pPr>
      <w:rPr>
        <w:rFonts w:cs="Times New Roman"/>
      </w:rPr>
    </w:lvl>
    <w:lvl w:ilvl="2" w:tplc="0809001B">
      <w:start w:val="1"/>
      <w:numFmt w:val="lowerRoman"/>
      <w:lvlText w:val="%3."/>
      <w:lvlJc w:val="right"/>
      <w:pPr>
        <w:ind w:left="2084" w:hanging="180"/>
      </w:pPr>
      <w:rPr>
        <w:rFonts w:cs="Times New Roman"/>
      </w:rPr>
    </w:lvl>
    <w:lvl w:ilvl="3" w:tplc="0809000F">
      <w:start w:val="1"/>
      <w:numFmt w:val="decimal"/>
      <w:lvlText w:val="%4."/>
      <w:lvlJc w:val="left"/>
      <w:pPr>
        <w:ind w:left="2804" w:hanging="360"/>
      </w:pPr>
      <w:rPr>
        <w:rFonts w:cs="Times New Roman"/>
      </w:rPr>
    </w:lvl>
    <w:lvl w:ilvl="4" w:tplc="08090019">
      <w:start w:val="1"/>
      <w:numFmt w:val="lowerLetter"/>
      <w:lvlText w:val="%5."/>
      <w:lvlJc w:val="left"/>
      <w:pPr>
        <w:ind w:left="3524" w:hanging="360"/>
      </w:pPr>
      <w:rPr>
        <w:rFonts w:cs="Times New Roman"/>
      </w:rPr>
    </w:lvl>
    <w:lvl w:ilvl="5" w:tplc="0809001B">
      <w:start w:val="1"/>
      <w:numFmt w:val="lowerRoman"/>
      <w:lvlText w:val="%6."/>
      <w:lvlJc w:val="right"/>
      <w:pPr>
        <w:ind w:left="4244" w:hanging="180"/>
      </w:pPr>
      <w:rPr>
        <w:rFonts w:cs="Times New Roman"/>
      </w:rPr>
    </w:lvl>
    <w:lvl w:ilvl="6" w:tplc="0809000F">
      <w:start w:val="1"/>
      <w:numFmt w:val="decimal"/>
      <w:lvlText w:val="%7."/>
      <w:lvlJc w:val="left"/>
      <w:pPr>
        <w:ind w:left="4964" w:hanging="360"/>
      </w:pPr>
      <w:rPr>
        <w:rFonts w:cs="Times New Roman"/>
      </w:rPr>
    </w:lvl>
    <w:lvl w:ilvl="7" w:tplc="08090019">
      <w:start w:val="1"/>
      <w:numFmt w:val="lowerLetter"/>
      <w:lvlText w:val="%8."/>
      <w:lvlJc w:val="left"/>
      <w:pPr>
        <w:ind w:left="5684" w:hanging="360"/>
      </w:pPr>
      <w:rPr>
        <w:rFonts w:cs="Times New Roman"/>
      </w:rPr>
    </w:lvl>
    <w:lvl w:ilvl="8" w:tplc="0809001B">
      <w:start w:val="1"/>
      <w:numFmt w:val="lowerRoman"/>
      <w:lvlText w:val="%9."/>
      <w:lvlJc w:val="right"/>
      <w:pPr>
        <w:ind w:left="6404" w:hanging="180"/>
      </w:pPr>
      <w:rPr>
        <w:rFonts w:cs="Times New Roman"/>
      </w:rPr>
    </w:lvl>
  </w:abstractNum>
  <w:abstractNum w:abstractNumId="4">
    <w:nsid w:val="2AA2371E"/>
    <w:multiLevelType w:val="hybridMultilevel"/>
    <w:tmpl w:val="58262BAE"/>
    <w:lvl w:ilvl="0" w:tplc="1AA8EC46">
      <w:start w:val="1"/>
      <w:numFmt w:val="decimal"/>
      <w:lvlText w:val="%1-"/>
      <w:lvlJc w:val="left"/>
      <w:pPr>
        <w:ind w:left="1074" w:hanging="360"/>
      </w:pPr>
      <w:rPr>
        <w:rFonts w:hint="default"/>
        <w:i w:val="0"/>
        <w:i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nsid w:val="69C56E2E"/>
    <w:multiLevelType w:val="hybridMultilevel"/>
    <w:tmpl w:val="6428C196"/>
    <w:lvl w:ilvl="0" w:tplc="A8F682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6686E"/>
    <w:multiLevelType w:val="hybridMultilevel"/>
    <w:tmpl w:val="58262BAE"/>
    <w:lvl w:ilvl="0" w:tplc="1AA8EC46">
      <w:start w:val="1"/>
      <w:numFmt w:val="decimal"/>
      <w:lvlText w:val="%1-"/>
      <w:lvlJc w:val="left"/>
      <w:pPr>
        <w:ind w:left="1074" w:hanging="360"/>
      </w:pPr>
      <w:rPr>
        <w:rFonts w:hint="default"/>
        <w:i w:val="0"/>
        <w:i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
    <w:nsid w:val="78E125C2"/>
    <w:multiLevelType w:val="hybridMultilevel"/>
    <w:tmpl w:val="58262BAE"/>
    <w:lvl w:ilvl="0" w:tplc="1AA8EC46">
      <w:start w:val="1"/>
      <w:numFmt w:val="decimal"/>
      <w:lvlText w:val="%1-"/>
      <w:lvlJc w:val="left"/>
      <w:pPr>
        <w:ind w:left="1074" w:hanging="360"/>
      </w:pPr>
      <w:rPr>
        <w:rFonts w:hint="default"/>
        <w:i w:val="0"/>
        <w:i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nsid w:val="7F68128C"/>
    <w:multiLevelType w:val="hybridMultilevel"/>
    <w:tmpl w:val="591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1"/>
  </w:num>
  <w:num w:numId="5">
    <w:abstractNumId w:val="0"/>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A2"/>
    <w:rsid w:val="00037F7A"/>
    <w:rsid w:val="0006281B"/>
    <w:rsid w:val="00081AC7"/>
    <w:rsid w:val="00091C83"/>
    <w:rsid w:val="000F7490"/>
    <w:rsid w:val="00113942"/>
    <w:rsid w:val="0012392C"/>
    <w:rsid w:val="00127CE1"/>
    <w:rsid w:val="00134BA9"/>
    <w:rsid w:val="00144190"/>
    <w:rsid w:val="00184066"/>
    <w:rsid w:val="00196FCA"/>
    <w:rsid w:val="001A6F6C"/>
    <w:rsid w:val="001E39B6"/>
    <w:rsid w:val="001E4736"/>
    <w:rsid w:val="001F1C5E"/>
    <w:rsid w:val="00207A24"/>
    <w:rsid w:val="002361E0"/>
    <w:rsid w:val="0024138E"/>
    <w:rsid w:val="00260AAD"/>
    <w:rsid w:val="00266A49"/>
    <w:rsid w:val="0027037B"/>
    <w:rsid w:val="00286994"/>
    <w:rsid w:val="00296191"/>
    <w:rsid w:val="002B6E0D"/>
    <w:rsid w:val="002C1743"/>
    <w:rsid w:val="002C1BD4"/>
    <w:rsid w:val="00331E86"/>
    <w:rsid w:val="00333ED4"/>
    <w:rsid w:val="00346919"/>
    <w:rsid w:val="00361953"/>
    <w:rsid w:val="00376A51"/>
    <w:rsid w:val="00377E07"/>
    <w:rsid w:val="00383428"/>
    <w:rsid w:val="00397EF8"/>
    <w:rsid w:val="003A734A"/>
    <w:rsid w:val="003A796A"/>
    <w:rsid w:val="003C1472"/>
    <w:rsid w:val="003C15F6"/>
    <w:rsid w:val="0041636E"/>
    <w:rsid w:val="00443BEF"/>
    <w:rsid w:val="004533CD"/>
    <w:rsid w:val="0048022F"/>
    <w:rsid w:val="004905E9"/>
    <w:rsid w:val="004A09B5"/>
    <w:rsid w:val="004A54A5"/>
    <w:rsid w:val="004F0A75"/>
    <w:rsid w:val="004F78EE"/>
    <w:rsid w:val="00516649"/>
    <w:rsid w:val="00533BE7"/>
    <w:rsid w:val="00533E79"/>
    <w:rsid w:val="00536773"/>
    <w:rsid w:val="005454DB"/>
    <w:rsid w:val="00577591"/>
    <w:rsid w:val="00581DC8"/>
    <w:rsid w:val="005C7CB8"/>
    <w:rsid w:val="005D1EB7"/>
    <w:rsid w:val="005D3E38"/>
    <w:rsid w:val="005E6BDF"/>
    <w:rsid w:val="005F603D"/>
    <w:rsid w:val="006154E9"/>
    <w:rsid w:val="0062719F"/>
    <w:rsid w:val="006378CE"/>
    <w:rsid w:val="006556C4"/>
    <w:rsid w:val="00667945"/>
    <w:rsid w:val="0068032F"/>
    <w:rsid w:val="006874C9"/>
    <w:rsid w:val="00692D7C"/>
    <w:rsid w:val="006A753E"/>
    <w:rsid w:val="006C408C"/>
    <w:rsid w:val="006D1EFB"/>
    <w:rsid w:val="006D61E0"/>
    <w:rsid w:val="006E04B1"/>
    <w:rsid w:val="006E6BBA"/>
    <w:rsid w:val="006F2D86"/>
    <w:rsid w:val="00727564"/>
    <w:rsid w:val="00742C31"/>
    <w:rsid w:val="00760F23"/>
    <w:rsid w:val="0076605F"/>
    <w:rsid w:val="007669A5"/>
    <w:rsid w:val="00770303"/>
    <w:rsid w:val="00773007"/>
    <w:rsid w:val="007C7439"/>
    <w:rsid w:val="007C7DE2"/>
    <w:rsid w:val="007D2705"/>
    <w:rsid w:val="007E437B"/>
    <w:rsid w:val="00830F51"/>
    <w:rsid w:val="008421F8"/>
    <w:rsid w:val="008469BB"/>
    <w:rsid w:val="00860096"/>
    <w:rsid w:val="00874451"/>
    <w:rsid w:val="008C5622"/>
    <w:rsid w:val="008D459B"/>
    <w:rsid w:val="00903FC0"/>
    <w:rsid w:val="009069D3"/>
    <w:rsid w:val="00924732"/>
    <w:rsid w:val="00933BA2"/>
    <w:rsid w:val="009359DC"/>
    <w:rsid w:val="009405EA"/>
    <w:rsid w:val="00950DDB"/>
    <w:rsid w:val="009540FB"/>
    <w:rsid w:val="00957828"/>
    <w:rsid w:val="00962027"/>
    <w:rsid w:val="00963AF4"/>
    <w:rsid w:val="009774AD"/>
    <w:rsid w:val="009779B4"/>
    <w:rsid w:val="00992F16"/>
    <w:rsid w:val="009C036E"/>
    <w:rsid w:val="009E63C7"/>
    <w:rsid w:val="00A2076A"/>
    <w:rsid w:val="00A21FCC"/>
    <w:rsid w:val="00A408DF"/>
    <w:rsid w:val="00A44051"/>
    <w:rsid w:val="00A81192"/>
    <w:rsid w:val="00A8495B"/>
    <w:rsid w:val="00AA7463"/>
    <w:rsid w:val="00AB3C3E"/>
    <w:rsid w:val="00AC6522"/>
    <w:rsid w:val="00AD1D18"/>
    <w:rsid w:val="00AE165D"/>
    <w:rsid w:val="00AE5029"/>
    <w:rsid w:val="00AF51FB"/>
    <w:rsid w:val="00B07972"/>
    <w:rsid w:val="00B13040"/>
    <w:rsid w:val="00B31640"/>
    <w:rsid w:val="00B36648"/>
    <w:rsid w:val="00B3756B"/>
    <w:rsid w:val="00B379A7"/>
    <w:rsid w:val="00B43F4A"/>
    <w:rsid w:val="00B54234"/>
    <w:rsid w:val="00B626B5"/>
    <w:rsid w:val="00B7150A"/>
    <w:rsid w:val="00B7183C"/>
    <w:rsid w:val="00BB576C"/>
    <w:rsid w:val="00BD01FA"/>
    <w:rsid w:val="00BD1E34"/>
    <w:rsid w:val="00C12859"/>
    <w:rsid w:val="00C229ED"/>
    <w:rsid w:val="00C46BE5"/>
    <w:rsid w:val="00C67258"/>
    <w:rsid w:val="00C832B9"/>
    <w:rsid w:val="00CF4632"/>
    <w:rsid w:val="00D048F8"/>
    <w:rsid w:val="00D11B3F"/>
    <w:rsid w:val="00D435A8"/>
    <w:rsid w:val="00D7403C"/>
    <w:rsid w:val="00D92D40"/>
    <w:rsid w:val="00DA7D47"/>
    <w:rsid w:val="00DB2BEE"/>
    <w:rsid w:val="00DC25B0"/>
    <w:rsid w:val="00DD2E4A"/>
    <w:rsid w:val="00DD390F"/>
    <w:rsid w:val="00DD4D83"/>
    <w:rsid w:val="00E05703"/>
    <w:rsid w:val="00E217CD"/>
    <w:rsid w:val="00E430DB"/>
    <w:rsid w:val="00E521DA"/>
    <w:rsid w:val="00E66EFA"/>
    <w:rsid w:val="00E85297"/>
    <w:rsid w:val="00EA327C"/>
    <w:rsid w:val="00EB6D5E"/>
    <w:rsid w:val="00EB72A0"/>
    <w:rsid w:val="00ED7E38"/>
    <w:rsid w:val="00EE641D"/>
    <w:rsid w:val="00F05D53"/>
    <w:rsid w:val="00F51875"/>
    <w:rsid w:val="00F530BC"/>
    <w:rsid w:val="00F61D2C"/>
    <w:rsid w:val="00F65720"/>
    <w:rsid w:val="00F668C7"/>
    <w:rsid w:val="00F84A75"/>
    <w:rsid w:val="00F92543"/>
    <w:rsid w:val="00F97874"/>
    <w:rsid w:val="00FB21EC"/>
    <w:rsid w:val="00FC6F33"/>
    <w:rsid w:val="00FF2E5C"/>
    <w:rsid w:val="00FF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0A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1D18"/>
    <w:pPr>
      <w:spacing w:before="308" w:after="154" w:line="240" w:lineRule="auto"/>
      <w:outlineLvl w:val="2"/>
    </w:pPr>
    <w:rPr>
      <w:rFonts w:ascii="Times New Roman" w:eastAsia="Times New Roman" w:hAnsi="Times New Roman" w:cs="Times New Roman"/>
      <w:b/>
      <w:bCs/>
      <w:color w:val="7241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D18"/>
    <w:rPr>
      <w:rFonts w:ascii="Times New Roman" w:eastAsia="Times New Roman" w:hAnsi="Times New Roman" w:cs="Times New Roman"/>
      <w:b/>
      <w:bCs/>
      <w:color w:val="724128"/>
      <w:sz w:val="26"/>
      <w:szCs w:val="26"/>
    </w:rPr>
  </w:style>
  <w:style w:type="paragraph" w:styleId="NormalWeb">
    <w:name w:val="Normal (Web)"/>
    <w:basedOn w:val="Normal"/>
    <w:uiPriority w:val="99"/>
    <w:unhideWhenUsed/>
    <w:rsid w:val="00AD1D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E217CD"/>
    <w:pPr>
      <w:spacing w:line="360" w:lineRule="auto"/>
      <w:ind w:left="720"/>
      <w:contextualSpacing/>
      <w:jc w:val="both"/>
    </w:pPr>
    <w:rPr>
      <w:rFonts w:ascii="Times New Roman" w:eastAsia="Calibri" w:hAnsi="Times New Roman" w:cs="Times New Roman"/>
      <w:sz w:val="24"/>
      <w:szCs w:val="24"/>
    </w:rPr>
  </w:style>
  <w:style w:type="paragraph" w:styleId="Caption">
    <w:name w:val="caption"/>
    <w:basedOn w:val="Normal"/>
    <w:next w:val="Normal"/>
    <w:uiPriority w:val="35"/>
    <w:unhideWhenUsed/>
    <w:qFormat/>
    <w:rsid w:val="00FB21EC"/>
    <w:pPr>
      <w:keepNext/>
      <w:spacing w:line="240" w:lineRule="auto"/>
      <w:jc w:val="center"/>
    </w:pPr>
    <w:rPr>
      <w:rFonts w:asciiTheme="majorBidi" w:eastAsiaTheme="minorHAnsi" w:hAnsiTheme="majorBidi" w:cstheme="majorBidi"/>
      <w:b/>
      <w:bCs/>
      <w:sz w:val="24"/>
      <w:szCs w:val="24"/>
    </w:rPr>
  </w:style>
  <w:style w:type="table" w:styleId="TableGrid">
    <w:name w:val="Table Grid"/>
    <w:basedOn w:val="TableNormal"/>
    <w:uiPriority w:val="39"/>
    <w:rsid w:val="009C036E"/>
    <w:pPr>
      <w:spacing w:after="0" w:line="240" w:lineRule="auto"/>
    </w:pPr>
    <w:rPr>
      <w:rFonts w:eastAsiaTheme="minorHAns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D435A8"/>
  </w:style>
  <w:style w:type="character" w:customStyle="1" w:styleId="Heading2Char">
    <w:name w:val="Heading 2 Char"/>
    <w:basedOn w:val="DefaultParagraphFont"/>
    <w:link w:val="Heading2"/>
    <w:uiPriority w:val="9"/>
    <w:rsid w:val="00260AAD"/>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C832B9"/>
    <w:pPr>
      <w:spacing w:after="0" w:line="36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832B9"/>
    <w:rPr>
      <w:rFonts w:ascii="Times New Roman" w:eastAsia="Times New Roman" w:hAnsi="Times New Roman" w:cs="Times New Roman"/>
      <w:sz w:val="24"/>
      <w:szCs w:val="24"/>
    </w:rPr>
  </w:style>
  <w:style w:type="paragraph" w:styleId="EndnoteText">
    <w:name w:val="endnote text"/>
    <w:basedOn w:val="Normal"/>
    <w:link w:val="EndnoteTextChar"/>
    <w:uiPriority w:val="99"/>
    <w:unhideWhenUsed/>
    <w:rsid w:val="00760F23"/>
    <w:pPr>
      <w:spacing w:line="360" w:lineRule="auto"/>
      <w:jc w:val="both"/>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rsid w:val="00760F23"/>
    <w:rPr>
      <w:rFonts w:ascii="Times New Roman" w:eastAsia="Calibri" w:hAnsi="Times New Roman" w:cs="Times New Roman"/>
      <w:sz w:val="20"/>
      <w:szCs w:val="20"/>
    </w:rPr>
  </w:style>
  <w:style w:type="character" w:styleId="Hyperlink">
    <w:name w:val="Hyperlink"/>
    <w:basedOn w:val="DefaultParagraphFont"/>
    <w:uiPriority w:val="99"/>
    <w:unhideWhenUsed/>
    <w:rsid w:val="007C7439"/>
    <w:rPr>
      <w:color w:val="0000FF" w:themeColor="hyperlink"/>
      <w:u w:val="single"/>
    </w:rPr>
  </w:style>
  <w:style w:type="paragraph" w:styleId="Header">
    <w:name w:val="header"/>
    <w:basedOn w:val="Normal"/>
    <w:link w:val="HeaderChar"/>
    <w:uiPriority w:val="99"/>
    <w:semiHidden/>
    <w:unhideWhenUsed/>
    <w:rsid w:val="00EB6D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D5E"/>
  </w:style>
  <w:style w:type="paragraph" w:styleId="Footer">
    <w:name w:val="footer"/>
    <w:basedOn w:val="Normal"/>
    <w:link w:val="FooterChar"/>
    <w:uiPriority w:val="99"/>
    <w:semiHidden/>
    <w:unhideWhenUsed/>
    <w:rsid w:val="00EB6D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D5E"/>
  </w:style>
  <w:style w:type="character" w:styleId="Emphasis">
    <w:name w:val="Emphasis"/>
    <w:basedOn w:val="DefaultParagraphFont"/>
    <w:uiPriority w:val="20"/>
    <w:qFormat/>
    <w:rsid w:val="005D3E38"/>
    <w:rPr>
      <w:i/>
      <w:iCs/>
    </w:rPr>
  </w:style>
  <w:style w:type="paragraph" w:customStyle="1" w:styleId="Default">
    <w:name w:val="Default"/>
    <w:rsid w:val="00FF2E5C"/>
    <w:pPr>
      <w:autoSpaceDE w:val="0"/>
      <w:autoSpaceDN w:val="0"/>
      <w:adjustRightInd w:val="0"/>
      <w:spacing w:after="0" w:line="240" w:lineRule="auto"/>
    </w:pPr>
    <w:rPr>
      <w:rFonts w:ascii="Arial" w:hAnsi="Arial" w:cs="Arial"/>
      <w:color w:val="000000"/>
      <w:sz w:val="24"/>
      <w:szCs w:val="24"/>
    </w:rPr>
  </w:style>
  <w:style w:type="character" w:customStyle="1" w:styleId="cit">
    <w:name w:val="cit"/>
    <w:basedOn w:val="DefaultParagraphFont"/>
    <w:rsid w:val="00BD01FA"/>
  </w:style>
  <w:style w:type="paragraph" w:styleId="BodyText">
    <w:name w:val="Body Text"/>
    <w:basedOn w:val="Normal"/>
    <w:link w:val="BodyTextChar"/>
    <w:uiPriority w:val="99"/>
    <w:semiHidden/>
    <w:unhideWhenUsed/>
    <w:rsid w:val="00FC6F33"/>
    <w:pPr>
      <w:spacing w:after="120"/>
    </w:pPr>
  </w:style>
  <w:style w:type="character" w:customStyle="1" w:styleId="BodyTextChar">
    <w:name w:val="Body Text Char"/>
    <w:basedOn w:val="DefaultParagraphFont"/>
    <w:link w:val="BodyText"/>
    <w:uiPriority w:val="99"/>
    <w:semiHidden/>
    <w:rsid w:val="00FC6F33"/>
  </w:style>
  <w:style w:type="paragraph" w:customStyle="1" w:styleId="BodyText1">
    <w:name w:val="Body Text1"/>
    <w:basedOn w:val="Normal"/>
    <w:rsid w:val="00FC6F33"/>
    <w:pPr>
      <w:spacing w:after="120" w:line="240" w:lineRule="auto"/>
    </w:pPr>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0A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1D18"/>
    <w:pPr>
      <w:spacing w:before="308" w:after="154" w:line="240" w:lineRule="auto"/>
      <w:outlineLvl w:val="2"/>
    </w:pPr>
    <w:rPr>
      <w:rFonts w:ascii="Times New Roman" w:eastAsia="Times New Roman" w:hAnsi="Times New Roman" w:cs="Times New Roman"/>
      <w:b/>
      <w:bCs/>
      <w:color w:val="7241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D18"/>
    <w:rPr>
      <w:rFonts w:ascii="Times New Roman" w:eastAsia="Times New Roman" w:hAnsi="Times New Roman" w:cs="Times New Roman"/>
      <w:b/>
      <w:bCs/>
      <w:color w:val="724128"/>
      <w:sz w:val="26"/>
      <w:szCs w:val="26"/>
    </w:rPr>
  </w:style>
  <w:style w:type="paragraph" w:styleId="NormalWeb">
    <w:name w:val="Normal (Web)"/>
    <w:basedOn w:val="Normal"/>
    <w:uiPriority w:val="99"/>
    <w:unhideWhenUsed/>
    <w:rsid w:val="00AD1D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E217CD"/>
    <w:pPr>
      <w:spacing w:line="360" w:lineRule="auto"/>
      <w:ind w:left="720"/>
      <w:contextualSpacing/>
      <w:jc w:val="both"/>
    </w:pPr>
    <w:rPr>
      <w:rFonts w:ascii="Times New Roman" w:eastAsia="Calibri" w:hAnsi="Times New Roman" w:cs="Times New Roman"/>
      <w:sz w:val="24"/>
      <w:szCs w:val="24"/>
    </w:rPr>
  </w:style>
  <w:style w:type="paragraph" w:styleId="Caption">
    <w:name w:val="caption"/>
    <w:basedOn w:val="Normal"/>
    <w:next w:val="Normal"/>
    <w:uiPriority w:val="35"/>
    <w:unhideWhenUsed/>
    <w:qFormat/>
    <w:rsid w:val="00FB21EC"/>
    <w:pPr>
      <w:keepNext/>
      <w:spacing w:line="240" w:lineRule="auto"/>
      <w:jc w:val="center"/>
    </w:pPr>
    <w:rPr>
      <w:rFonts w:asciiTheme="majorBidi" w:eastAsiaTheme="minorHAnsi" w:hAnsiTheme="majorBidi" w:cstheme="majorBidi"/>
      <w:b/>
      <w:bCs/>
      <w:sz w:val="24"/>
      <w:szCs w:val="24"/>
    </w:rPr>
  </w:style>
  <w:style w:type="table" w:styleId="TableGrid">
    <w:name w:val="Table Grid"/>
    <w:basedOn w:val="TableNormal"/>
    <w:uiPriority w:val="39"/>
    <w:rsid w:val="009C036E"/>
    <w:pPr>
      <w:spacing w:after="0" w:line="240" w:lineRule="auto"/>
    </w:pPr>
    <w:rPr>
      <w:rFonts w:eastAsiaTheme="minorHAns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D435A8"/>
  </w:style>
  <w:style w:type="character" w:customStyle="1" w:styleId="Heading2Char">
    <w:name w:val="Heading 2 Char"/>
    <w:basedOn w:val="DefaultParagraphFont"/>
    <w:link w:val="Heading2"/>
    <w:uiPriority w:val="9"/>
    <w:rsid w:val="00260AAD"/>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C832B9"/>
    <w:pPr>
      <w:spacing w:after="0" w:line="36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832B9"/>
    <w:rPr>
      <w:rFonts w:ascii="Times New Roman" w:eastAsia="Times New Roman" w:hAnsi="Times New Roman" w:cs="Times New Roman"/>
      <w:sz w:val="24"/>
      <w:szCs w:val="24"/>
    </w:rPr>
  </w:style>
  <w:style w:type="paragraph" w:styleId="EndnoteText">
    <w:name w:val="endnote text"/>
    <w:basedOn w:val="Normal"/>
    <w:link w:val="EndnoteTextChar"/>
    <w:uiPriority w:val="99"/>
    <w:unhideWhenUsed/>
    <w:rsid w:val="00760F23"/>
    <w:pPr>
      <w:spacing w:line="360" w:lineRule="auto"/>
      <w:jc w:val="both"/>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rsid w:val="00760F23"/>
    <w:rPr>
      <w:rFonts w:ascii="Times New Roman" w:eastAsia="Calibri" w:hAnsi="Times New Roman" w:cs="Times New Roman"/>
      <w:sz w:val="20"/>
      <w:szCs w:val="20"/>
    </w:rPr>
  </w:style>
  <w:style w:type="character" w:styleId="Hyperlink">
    <w:name w:val="Hyperlink"/>
    <w:basedOn w:val="DefaultParagraphFont"/>
    <w:uiPriority w:val="99"/>
    <w:unhideWhenUsed/>
    <w:rsid w:val="007C7439"/>
    <w:rPr>
      <w:color w:val="0000FF" w:themeColor="hyperlink"/>
      <w:u w:val="single"/>
    </w:rPr>
  </w:style>
  <w:style w:type="paragraph" w:styleId="Header">
    <w:name w:val="header"/>
    <w:basedOn w:val="Normal"/>
    <w:link w:val="HeaderChar"/>
    <w:uiPriority w:val="99"/>
    <w:semiHidden/>
    <w:unhideWhenUsed/>
    <w:rsid w:val="00EB6D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D5E"/>
  </w:style>
  <w:style w:type="paragraph" w:styleId="Footer">
    <w:name w:val="footer"/>
    <w:basedOn w:val="Normal"/>
    <w:link w:val="FooterChar"/>
    <w:uiPriority w:val="99"/>
    <w:semiHidden/>
    <w:unhideWhenUsed/>
    <w:rsid w:val="00EB6D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D5E"/>
  </w:style>
  <w:style w:type="character" w:styleId="Emphasis">
    <w:name w:val="Emphasis"/>
    <w:basedOn w:val="DefaultParagraphFont"/>
    <w:uiPriority w:val="20"/>
    <w:qFormat/>
    <w:rsid w:val="005D3E38"/>
    <w:rPr>
      <w:i/>
      <w:iCs/>
    </w:rPr>
  </w:style>
  <w:style w:type="paragraph" w:customStyle="1" w:styleId="Default">
    <w:name w:val="Default"/>
    <w:rsid w:val="00FF2E5C"/>
    <w:pPr>
      <w:autoSpaceDE w:val="0"/>
      <w:autoSpaceDN w:val="0"/>
      <w:adjustRightInd w:val="0"/>
      <w:spacing w:after="0" w:line="240" w:lineRule="auto"/>
    </w:pPr>
    <w:rPr>
      <w:rFonts w:ascii="Arial" w:hAnsi="Arial" w:cs="Arial"/>
      <w:color w:val="000000"/>
      <w:sz w:val="24"/>
      <w:szCs w:val="24"/>
    </w:rPr>
  </w:style>
  <w:style w:type="character" w:customStyle="1" w:styleId="cit">
    <w:name w:val="cit"/>
    <w:basedOn w:val="DefaultParagraphFont"/>
    <w:rsid w:val="00BD01FA"/>
  </w:style>
  <w:style w:type="paragraph" w:styleId="BodyText">
    <w:name w:val="Body Text"/>
    <w:basedOn w:val="Normal"/>
    <w:link w:val="BodyTextChar"/>
    <w:uiPriority w:val="99"/>
    <w:semiHidden/>
    <w:unhideWhenUsed/>
    <w:rsid w:val="00FC6F33"/>
    <w:pPr>
      <w:spacing w:after="120"/>
    </w:pPr>
  </w:style>
  <w:style w:type="character" w:customStyle="1" w:styleId="BodyTextChar">
    <w:name w:val="Body Text Char"/>
    <w:basedOn w:val="DefaultParagraphFont"/>
    <w:link w:val="BodyText"/>
    <w:uiPriority w:val="99"/>
    <w:semiHidden/>
    <w:rsid w:val="00FC6F33"/>
  </w:style>
  <w:style w:type="paragraph" w:customStyle="1" w:styleId="BodyText1">
    <w:name w:val="Body Text1"/>
    <w:basedOn w:val="Normal"/>
    <w:rsid w:val="00FC6F33"/>
    <w:pPr>
      <w:spacing w:after="120" w:line="240" w:lineRule="auto"/>
    </w:pPr>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0681">
      <w:bodyDiv w:val="1"/>
      <w:marLeft w:val="0"/>
      <w:marRight w:val="0"/>
      <w:marTop w:val="0"/>
      <w:marBottom w:val="0"/>
      <w:divBdr>
        <w:top w:val="none" w:sz="0" w:space="0" w:color="auto"/>
        <w:left w:val="none" w:sz="0" w:space="0" w:color="auto"/>
        <w:bottom w:val="none" w:sz="0" w:space="0" w:color="auto"/>
        <w:right w:val="none" w:sz="0" w:space="0" w:color="auto"/>
      </w:divBdr>
      <w:divsChild>
        <w:div w:id="711609740">
          <w:marLeft w:val="0"/>
          <w:marRight w:val="0"/>
          <w:marTop w:val="0"/>
          <w:marBottom w:val="0"/>
          <w:divBdr>
            <w:top w:val="none" w:sz="0" w:space="0" w:color="auto"/>
            <w:left w:val="none" w:sz="0" w:space="0" w:color="auto"/>
            <w:bottom w:val="none" w:sz="0" w:space="0" w:color="auto"/>
            <w:right w:val="none" w:sz="0" w:space="0" w:color="auto"/>
          </w:divBdr>
          <w:divsChild>
            <w:div w:id="537009268">
              <w:marLeft w:val="0"/>
              <w:marRight w:val="0"/>
              <w:marTop w:val="0"/>
              <w:marBottom w:val="0"/>
              <w:divBdr>
                <w:top w:val="none" w:sz="0" w:space="0" w:color="auto"/>
                <w:left w:val="none" w:sz="0" w:space="0" w:color="auto"/>
                <w:bottom w:val="none" w:sz="0" w:space="0" w:color="auto"/>
                <w:right w:val="none" w:sz="0" w:space="0" w:color="auto"/>
              </w:divBdr>
              <w:divsChild>
                <w:div w:id="1295284477">
                  <w:marLeft w:val="0"/>
                  <w:marRight w:val="0"/>
                  <w:marTop w:val="0"/>
                  <w:marBottom w:val="0"/>
                  <w:divBdr>
                    <w:top w:val="none" w:sz="0" w:space="0" w:color="auto"/>
                    <w:left w:val="none" w:sz="0" w:space="0" w:color="auto"/>
                    <w:bottom w:val="none" w:sz="0" w:space="0" w:color="auto"/>
                    <w:right w:val="none" w:sz="0" w:space="0" w:color="auto"/>
                  </w:divBdr>
                  <w:divsChild>
                    <w:div w:id="1332758982">
                      <w:marLeft w:val="0"/>
                      <w:marRight w:val="0"/>
                      <w:marTop w:val="0"/>
                      <w:marBottom w:val="0"/>
                      <w:divBdr>
                        <w:top w:val="none" w:sz="0" w:space="0" w:color="auto"/>
                        <w:left w:val="none" w:sz="0" w:space="0" w:color="auto"/>
                        <w:bottom w:val="none" w:sz="0" w:space="0" w:color="auto"/>
                        <w:right w:val="none" w:sz="0" w:space="0" w:color="auto"/>
                      </w:divBdr>
                      <w:divsChild>
                        <w:div w:id="1638536379">
                          <w:marLeft w:val="0"/>
                          <w:marRight w:val="0"/>
                          <w:marTop w:val="0"/>
                          <w:marBottom w:val="0"/>
                          <w:divBdr>
                            <w:top w:val="none" w:sz="0" w:space="0" w:color="auto"/>
                            <w:left w:val="none" w:sz="0" w:space="0" w:color="auto"/>
                            <w:bottom w:val="none" w:sz="0" w:space="0" w:color="auto"/>
                            <w:right w:val="none" w:sz="0" w:space="0" w:color="auto"/>
                          </w:divBdr>
                          <w:divsChild>
                            <w:div w:id="645011317">
                              <w:marLeft w:val="0"/>
                              <w:marRight w:val="0"/>
                              <w:marTop w:val="0"/>
                              <w:marBottom w:val="0"/>
                              <w:divBdr>
                                <w:top w:val="none" w:sz="0" w:space="0" w:color="auto"/>
                                <w:left w:val="none" w:sz="0" w:space="0" w:color="auto"/>
                                <w:bottom w:val="none" w:sz="0" w:space="0" w:color="auto"/>
                                <w:right w:val="none" w:sz="0" w:space="0" w:color="auto"/>
                              </w:divBdr>
                              <w:divsChild>
                                <w:div w:id="930815883">
                                  <w:marLeft w:val="0"/>
                                  <w:marRight w:val="0"/>
                                  <w:marTop w:val="0"/>
                                  <w:marBottom w:val="0"/>
                                  <w:divBdr>
                                    <w:top w:val="none" w:sz="0" w:space="0" w:color="auto"/>
                                    <w:left w:val="none" w:sz="0" w:space="0" w:color="auto"/>
                                    <w:bottom w:val="none" w:sz="0" w:space="0" w:color="auto"/>
                                    <w:right w:val="none" w:sz="0" w:space="0" w:color="auto"/>
                                  </w:divBdr>
                                  <w:divsChild>
                                    <w:div w:id="105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05629">
      <w:bodyDiv w:val="1"/>
      <w:marLeft w:val="0"/>
      <w:marRight w:val="0"/>
      <w:marTop w:val="0"/>
      <w:marBottom w:val="0"/>
      <w:divBdr>
        <w:top w:val="none" w:sz="0" w:space="0" w:color="auto"/>
        <w:left w:val="none" w:sz="0" w:space="0" w:color="auto"/>
        <w:bottom w:val="none" w:sz="0" w:space="0" w:color="auto"/>
        <w:right w:val="none" w:sz="0" w:space="0" w:color="auto"/>
      </w:divBdr>
    </w:div>
    <w:div w:id="991327847">
      <w:bodyDiv w:val="1"/>
      <w:marLeft w:val="0"/>
      <w:marRight w:val="0"/>
      <w:marTop w:val="0"/>
      <w:marBottom w:val="0"/>
      <w:divBdr>
        <w:top w:val="none" w:sz="0" w:space="0" w:color="auto"/>
        <w:left w:val="none" w:sz="0" w:space="0" w:color="auto"/>
        <w:bottom w:val="none" w:sz="0" w:space="0" w:color="auto"/>
        <w:right w:val="none" w:sz="0" w:space="0" w:color="auto"/>
      </w:divBdr>
      <w:divsChild>
        <w:div w:id="1475566923">
          <w:marLeft w:val="0"/>
          <w:marRight w:val="153"/>
          <w:marTop w:val="0"/>
          <w:marBottom w:val="0"/>
          <w:divBdr>
            <w:top w:val="none" w:sz="0" w:space="0" w:color="auto"/>
            <w:left w:val="none" w:sz="0" w:space="0" w:color="auto"/>
            <w:bottom w:val="none" w:sz="0" w:space="0" w:color="auto"/>
            <w:right w:val="none" w:sz="0" w:space="0" w:color="auto"/>
          </w:divBdr>
          <w:divsChild>
            <w:div w:id="210071612">
              <w:marLeft w:val="0"/>
              <w:marRight w:val="0"/>
              <w:marTop w:val="0"/>
              <w:marBottom w:val="0"/>
              <w:divBdr>
                <w:top w:val="none" w:sz="0" w:space="0" w:color="auto"/>
                <w:left w:val="none" w:sz="0" w:space="0" w:color="auto"/>
                <w:bottom w:val="none" w:sz="0" w:space="0" w:color="auto"/>
                <w:right w:val="none" w:sz="0" w:space="0" w:color="auto"/>
              </w:divBdr>
              <w:divsChild>
                <w:div w:id="839391150">
                  <w:marLeft w:val="0"/>
                  <w:marRight w:val="0"/>
                  <w:marTop w:val="0"/>
                  <w:marBottom w:val="0"/>
                  <w:divBdr>
                    <w:top w:val="none" w:sz="0" w:space="0" w:color="auto"/>
                    <w:left w:val="none" w:sz="0" w:space="0" w:color="auto"/>
                    <w:bottom w:val="none" w:sz="0" w:space="0" w:color="auto"/>
                    <w:right w:val="none" w:sz="0" w:space="0" w:color="auto"/>
                  </w:divBdr>
                  <w:divsChild>
                    <w:div w:id="21473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90156">
      <w:bodyDiv w:val="1"/>
      <w:marLeft w:val="0"/>
      <w:marRight w:val="0"/>
      <w:marTop w:val="0"/>
      <w:marBottom w:val="0"/>
      <w:divBdr>
        <w:top w:val="none" w:sz="0" w:space="0" w:color="auto"/>
        <w:left w:val="none" w:sz="0" w:space="0" w:color="auto"/>
        <w:bottom w:val="none" w:sz="0" w:space="0" w:color="auto"/>
        <w:right w:val="none" w:sz="0" w:space="0" w:color="auto"/>
      </w:divBdr>
      <w:divsChild>
        <w:div w:id="1207183385">
          <w:marLeft w:val="0"/>
          <w:marRight w:val="1"/>
          <w:marTop w:val="0"/>
          <w:marBottom w:val="0"/>
          <w:divBdr>
            <w:top w:val="none" w:sz="0" w:space="0" w:color="auto"/>
            <w:left w:val="none" w:sz="0" w:space="0" w:color="auto"/>
            <w:bottom w:val="none" w:sz="0" w:space="0" w:color="auto"/>
            <w:right w:val="none" w:sz="0" w:space="0" w:color="auto"/>
          </w:divBdr>
          <w:divsChild>
            <w:div w:id="601642639">
              <w:marLeft w:val="0"/>
              <w:marRight w:val="0"/>
              <w:marTop w:val="0"/>
              <w:marBottom w:val="0"/>
              <w:divBdr>
                <w:top w:val="none" w:sz="0" w:space="0" w:color="auto"/>
                <w:left w:val="none" w:sz="0" w:space="0" w:color="auto"/>
                <w:bottom w:val="none" w:sz="0" w:space="0" w:color="auto"/>
                <w:right w:val="none" w:sz="0" w:space="0" w:color="auto"/>
              </w:divBdr>
              <w:divsChild>
                <w:div w:id="1022517432">
                  <w:marLeft w:val="0"/>
                  <w:marRight w:val="1"/>
                  <w:marTop w:val="0"/>
                  <w:marBottom w:val="0"/>
                  <w:divBdr>
                    <w:top w:val="none" w:sz="0" w:space="0" w:color="auto"/>
                    <w:left w:val="none" w:sz="0" w:space="0" w:color="auto"/>
                    <w:bottom w:val="none" w:sz="0" w:space="0" w:color="auto"/>
                    <w:right w:val="none" w:sz="0" w:space="0" w:color="auto"/>
                  </w:divBdr>
                  <w:divsChild>
                    <w:div w:id="1588267043">
                      <w:marLeft w:val="0"/>
                      <w:marRight w:val="0"/>
                      <w:marTop w:val="0"/>
                      <w:marBottom w:val="0"/>
                      <w:divBdr>
                        <w:top w:val="none" w:sz="0" w:space="0" w:color="auto"/>
                        <w:left w:val="none" w:sz="0" w:space="0" w:color="auto"/>
                        <w:bottom w:val="none" w:sz="0" w:space="0" w:color="auto"/>
                        <w:right w:val="none" w:sz="0" w:space="0" w:color="auto"/>
                      </w:divBdr>
                      <w:divsChild>
                        <w:div w:id="991569645">
                          <w:marLeft w:val="0"/>
                          <w:marRight w:val="0"/>
                          <w:marTop w:val="0"/>
                          <w:marBottom w:val="0"/>
                          <w:divBdr>
                            <w:top w:val="none" w:sz="0" w:space="0" w:color="auto"/>
                            <w:left w:val="none" w:sz="0" w:space="0" w:color="auto"/>
                            <w:bottom w:val="none" w:sz="0" w:space="0" w:color="auto"/>
                            <w:right w:val="none" w:sz="0" w:space="0" w:color="auto"/>
                          </w:divBdr>
                          <w:divsChild>
                            <w:div w:id="323363243">
                              <w:marLeft w:val="0"/>
                              <w:marRight w:val="0"/>
                              <w:marTop w:val="120"/>
                              <w:marBottom w:val="360"/>
                              <w:divBdr>
                                <w:top w:val="none" w:sz="0" w:space="0" w:color="auto"/>
                                <w:left w:val="none" w:sz="0" w:space="0" w:color="auto"/>
                                <w:bottom w:val="none" w:sz="0" w:space="0" w:color="auto"/>
                                <w:right w:val="none" w:sz="0" w:space="0" w:color="auto"/>
                              </w:divBdr>
                              <w:divsChild>
                                <w:div w:id="1277912178">
                                  <w:marLeft w:val="0"/>
                                  <w:marRight w:val="0"/>
                                  <w:marTop w:val="0"/>
                                  <w:marBottom w:val="0"/>
                                  <w:divBdr>
                                    <w:top w:val="none" w:sz="0" w:space="0" w:color="auto"/>
                                    <w:left w:val="none" w:sz="0" w:space="0" w:color="auto"/>
                                    <w:bottom w:val="none" w:sz="0" w:space="0" w:color="auto"/>
                                    <w:right w:val="none" w:sz="0" w:space="0" w:color="auto"/>
                                  </w:divBdr>
                                  <w:divsChild>
                                    <w:div w:id="7452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Nonso</cp:lastModifiedBy>
  <cp:revision>2</cp:revision>
  <cp:lastPrinted>2016-08-28T12:52:00Z</cp:lastPrinted>
  <dcterms:created xsi:type="dcterms:W3CDTF">2016-08-28T12:54:00Z</dcterms:created>
  <dcterms:modified xsi:type="dcterms:W3CDTF">2016-08-28T12:54:00Z</dcterms:modified>
</cp:coreProperties>
</file>