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Questo argomento è stato trattato in #5GNetwork</w:t>
      </w:r>
      <w:r>
        <w:t xml:space="preserve"> </w:t>
      </w:r>
      <w:r>
        <w:t xml:space="preserve">***</w:t>
      </w:r>
    </w:p>
    <w:p>
      <w:pPr>
        <w:pStyle w:val="BodyText"/>
      </w:pPr>
      <w:r>
        <w:t xml:space="preserve">%%</w:t>
      </w:r>
      <w:r>
        <w:t xml:space="preserve"> </w:t>
      </w:r>
      <w:r>
        <w:t xml:space="preserve">## Matlab</w:t>
      </w:r>
    </w:p>
    <w:p>
      <w:pPr>
        <w:pStyle w:val="BodyText"/>
      </w:pPr>
      <w:r>
        <w:t xml:space="preserve">Funzione:</w:t>
      </w:r>
    </w:p>
    <w:p>
      <w:pPr>
        <w:pStyle w:val="SourceCode"/>
      </w:pPr>
      <w:r>
        <w:rPr>
          <w:rStyle w:val="OperatorTok"/>
        </w:rPr>
        <w:t xml:space="preserve">//</w:t>
      </w:r>
      <w:r>
        <w:rPr>
          <w:rStyle w:val="NormalTok"/>
        </w:rPr>
        <w:t xml:space="preserve"> </w:t>
      </w:r>
      <w:r>
        <w:rPr>
          <w:rStyle w:val="KeywordTok"/>
        </w:rPr>
        <w:t xml:space="preserve">function</w:t>
      </w:r>
      <w:r>
        <w:rPr>
          <w:rStyle w:val="NormalTok"/>
        </w:rPr>
        <w:t xml:space="preserve"> [</w:t>
      </w:r>
      <w:r>
        <w:rPr>
          <w:rStyle w:val="VariableTok"/>
        </w:rPr>
        <w:t xml:space="preserve">output</w:t>
      </w:r>
      <w:r>
        <w:rPr>
          <w:rStyle w:val="NormalTok"/>
        </w:rPr>
        <w:t xml:space="preserve">] </w:t>
      </w:r>
      <w:r>
        <w:rPr>
          <w:rStyle w:val="OperatorTok"/>
        </w:rPr>
        <w:t xml:space="preserve">=</w:t>
      </w:r>
      <w:r>
        <w:rPr>
          <w:rStyle w:val="NormalTok"/>
        </w:rPr>
        <w:t xml:space="preserve"> </w:t>
      </w:r>
      <w:r>
        <w:rPr>
          <w:rStyle w:val="VariableTok"/>
        </w:rPr>
        <w:t xml:space="preserve">nomefunzione</w:t>
      </w:r>
      <w:r>
        <w:rPr>
          <w:rStyle w:val="NormalTok"/>
        </w:rPr>
        <w:t xml:space="preserve">(</w:t>
      </w:r>
      <w:r>
        <w:rPr>
          <w:rStyle w:val="VariableTok"/>
        </w:rPr>
        <w:t xml:space="preserve">input</w:t>
      </w:r>
      <w:r>
        <w:rPr>
          <w:rStyle w:val="NormalTok"/>
        </w:rPr>
        <w:t xml:space="preserve">)</w:t>
      </w:r>
      <w:r>
        <w:br/>
      </w:r>
      <w:r>
        <w:rPr>
          <w:rStyle w:val="KeywordTok"/>
        </w:rPr>
        <w:t xml:space="preserve">function</w:t>
      </w:r>
      <w:r>
        <w:rPr>
          <w:rStyle w:val="NormalTok"/>
        </w:rPr>
        <w:t xml:space="preserve"> </w:t>
      </w:r>
      <w:r>
        <w:rPr>
          <w:rStyle w:val="VariableTok"/>
        </w:rPr>
        <w:t xml:space="preserve">y</w:t>
      </w:r>
      <w:r>
        <w:rPr>
          <w:rStyle w:val="NormalTok"/>
        </w:rPr>
        <w:t xml:space="preserve"> </w:t>
      </w:r>
      <w:r>
        <w:rPr>
          <w:rStyle w:val="OperatorTok"/>
        </w:rPr>
        <w:t xml:space="preserve">=</w:t>
      </w:r>
      <w:r>
        <w:rPr>
          <w:rStyle w:val="NormalTok"/>
        </w:rPr>
        <w:t xml:space="preserve"> </w:t>
      </w:r>
      <w:r>
        <w:rPr>
          <w:rStyle w:val="VariableTok"/>
        </w:rPr>
        <w:t xml:space="preserve">ciao</w:t>
      </w:r>
      <w:r>
        <w:rPr>
          <w:rStyle w:val="NormalTok"/>
        </w:rPr>
        <w:t xml:space="preserve">(</w:t>
      </w:r>
      <w:r>
        <w:rPr>
          <w:rStyle w:val="VariableTok"/>
        </w:rPr>
        <w:t xml:space="preserve">x</w:t>
      </w:r>
      <w:r>
        <w:rPr>
          <w:rStyle w:val="NormalTok"/>
        </w:rPr>
        <w:t xml:space="preserve">)</w:t>
      </w:r>
      <w:r>
        <w:br/>
      </w:r>
      <w:r>
        <w:rPr>
          <w:rStyle w:val="KeywordTok"/>
        </w:rPr>
        <w:t xml:space="preserve">function</w:t>
      </w:r>
      <w:r>
        <w:rPr>
          <w:rStyle w:val="NormalTok"/>
        </w:rPr>
        <w:t xml:space="preserve"> [</w:t>
      </w:r>
      <w:r>
        <w:rPr>
          <w:rStyle w:val="VariableTok"/>
        </w:rPr>
        <w:t xml:space="preserve">y1</w:t>
      </w:r>
      <w:r>
        <w:rPr>
          <w:rStyle w:val="OperatorTok"/>
        </w:rPr>
        <w:t xml:space="preserve">,</w:t>
      </w:r>
      <w:r>
        <w:rPr>
          <w:rStyle w:val="NormalTok"/>
        </w:rPr>
        <w:t xml:space="preserve"> </w:t>
      </w:r>
      <w:r>
        <w:rPr>
          <w:rStyle w:val="VariableTok"/>
        </w:rPr>
        <w:t xml:space="preserve">y2</w:t>
      </w:r>
      <w:r>
        <w:rPr>
          <w:rStyle w:val="NormalTok"/>
        </w:rPr>
        <w:t xml:space="preserve">] </w:t>
      </w:r>
      <w:r>
        <w:rPr>
          <w:rStyle w:val="OperatorTok"/>
        </w:rPr>
        <w:t xml:space="preserve">=</w:t>
      </w:r>
      <w:r>
        <w:rPr>
          <w:rStyle w:val="NormalTok"/>
        </w:rPr>
        <w:t xml:space="preserve"> </w:t>
      </w:r>
      <w:r>
        <w:rPr>
          <w:rStyle w:val="VariableTok"/>
        </w:rPr>
        <w:t xml:space="preserve">ciao</w:t>
      </w:r>
      <w:r>
        <w:rPr>
          <w:rStyle w:val="NormalTok"/>
        </w:rPr>
        <w:t xml:space="preserve">(</w:t>
      </w:r>
      <w:r>
        <w:rPr>
          <w:rStyle w:val="VariableTok"/>
        </w:rPr>
        <w:t xml:space="preserve">x1</w:t>
      </w:r>
      <w:r>
        <w:rPr>
          <w:rStyle w:val="OperatorTok"/>
        </w:rPr>
        <w:t xml:space="preserve">,</w:t>
      </w:r>
      <w:r>
        <w:rPr>
          <w:rStyle w:val="NormalTok"/>
        </w:rPr>
        <w:t xml:space="preserve"> </w:t>
      </w:r>
      <w:r>
        <w:rPr>
          <w:rStyle w:val="VariableTok"/>
        </w:rPr>
        <w:t xml:space="preserve">x2</w:t>
      </w:r>
      <w:r>
        <w:rPr>
          <w:rStyle w:val="NormalTok"/>
        </w:rPr>
        <w:t xml:space="preserve">) </w:t>
      </w:r>
      <w:r>
        <w:rPr>
          <w:rStyle w:val="OperatorTok"/>
        </w:rPr>
        <w:t xml:space="preserve">//</w:t>
      </w:r>
      <w:r>
        <w:rPr>
          <w:rStyle w:val="NormalTok"/>
        </w:rPr>
        <w:t xml:space="preserve"> </w:t>
      </w:r>
      <w:r>
        <w:rPr>
          <w:rStyle w:val="VariableTok"/>
        </w:rPr>
        <w:t xml:space="preserve">multipli</w:t>
      </w:r>
      <w:r>
        <w:rPr>
          <w:rStyle w:val="NormalTok"/>
        </w:rPr>
        <w:t xml:space="preserve"> </w:t>
      </w:r>
      <w:r>
        <w:rPr>
          <w:rStyle w:val="VariableTok"/>
        </w:rPr>
        <w:t xml:space="preserve">ingressi</w:t>
      </w:r>
      <w:r>
        <w:rPr>
          <w:rStyle w:val="NormalTok"/>
        </w:rPr>
        <w:t xml:space="preserve"> </w:t>
      </w:r>
      <w:r>
        <w:rPr>
          <w:rStyle w:val="VariableTok"/>
        </w:rPr>
        <w:t xml:space="preserve">e</w:t>
      </w:r>
      <w:r>
        <w:rPr>
          <w:rStyle w:val="NormalTok"/>
        </w:rPr>
        <w:t xml:space="preserve"> </w:t>
      </w:r>
      <w:r>
        <w:rPr>
          <w:rStyle w:val="VariableTok"/>
        </w:rPr>
        <w:t xml:space="preserve">multiple</w:t>
      </w:r>
      <w:r>
        <w:rPr>
          <w:rStyle w:val="NormalTok"/>
        </w:rPr>
        <w:t xml:space="preserve"> </w:t>
      </w:r>
      <w:r>
        <w:rPr>
          <w:rStyle w:val="VariableTok"/>
        </w:rPr>
        <w:t xml:space="preserve">uscite</w:t>
      </w:r>
    </w:p>
    <w:p>
      <w:pPr>
        <w:pStyle w:val="FirstParagraph"/>
      </w:pPr>
      <w:r>
        <w:t xml:space="preserve">Il nome del file deve essere lo stesso della funzione in cui è definito.</w:t>
      </w:r>
    </w:p>
    <w:p>
      <w:pPr>
        <w:pStyle w:val="BodyText"/>
      </w:pPr>
      <w:r>
        <w:t xml:space="preserve">Prodotto di Hadamard: moltiplicazione termine a termine, possibile solo se la dimensione delle due matrici è uguali. Sintassi ML:</w:t>
      </w:r>
      <w:r>
        <w:t xml:space="preserve"> </w:t>
      </w:r>
      <w:r>
        <w:rPr>
          <w:rStyle w:val="VerbatimChar"/>
        </w:rPr>
        <w:t xml:space="preserve">A.*B</w:t>
      </w:r>
      <w:r>
        <w:t xml:space="preserve">.</w:t>
      </w:r>
      <w:r>
        <w:t xml:space="preserve"> </w:t>
      </w:r>
      <w:r>
        <w:t xml:space="preserve">Intervalli:</w:t>
      </w:r>
      <w:r>
        <w:t xml:space="preserve"> </w:t>
      </w:r>
      <w:r>
        <w:rPr>
          <w:rStyle w:val="VerbatimChar"/>
        </w:rPr>
        <w:t xml:space="preserve">initValue:finalValue</w:t>
      </w:r>
      <w:r>
        <w:t xml:space="preserve"> </w:t>
      </w:r>
      <w:r>
        <w:t xml:space="preserve">-</w:t>
      </w:r>
      <w:r>
        <w:t xml:space="preserve"> </w:t>
      </w:r>
      <w:r>
        <w:rPr>
          <w:rStyle w:val="VerbatimChar"/>
        </w:rPr>
        <w:t xml:space="preserve">initValue:increment:finalValue</w:t>
      </w:r>
      <w:r>
        <w:t xml:space="preserve"> </w:t>
      </w:r>
      <w:r>
        <w:t xml:space="preserve">Nei cicli for meglio mettere</w:t>
      </w:r>
      <w:r>
        <w:t xml:space="preserve"> </w:t>
      </w:r>
      <w:r>
        <w:rPr>
          <w:rStyle w:val="VerbatimChar"/>
        </w:rPr>
        <w:t xml:space="preserve">ii</w:t>
      </w:r>
      <w:r>
        <w:t xml:space="preserve"> </w:t>
      </w:r>
      <w:r>
        <w:t xml:space="preserve">anziché</w:t>
      </w:r>
      <w:r>
        <w:t xml:space="preserve"> </w:t>
      </w:r>
      <m:oMath>
        <m:r>
          <m:t>i</m:t>
        </m:r>
      </m:oMath>
      <w:r>
        <w:t xml:space="preserve">.</w:t>
      </w:r>
      <w:r>
        <w:t xml:space="preserve"> </w:t>
      </w:r>
      <w:r>
        <w:t xml:space="preserve">Conviene dichiarare all’inizio il vettore anziché aumentarne la definizione volta per volta (costoso sull’efficienza).</w:t>
      </w:r>
    </w:p>
    <w:p>
      <w:pPr>
        <w:pStyle w:val="SourceCode"/>
      </w:pPr>
      <w:r>
        <w:rPr>
          <w:rStyle w:val="VariableTok"/>
        </w:rPr>
        <w:t xml:space="preserve">plot</w:t>
      </w:r>
      <w:r>
        <w:rPr>
          <w:rStyle w:val="NormalTok"/>
        </w:rPr>
        <w:t xml:space="preserve">(</w:t>
      </w:r>
      <w:r>
        <w:rPr>
          <w:rStyle w:val="VariableTok"/>
        </w:rPr>
        <w:t xml:space="preserve">ascissa</w:t>
      </w:r>
      <w:r>
        <w:rPr>
          <w:rStyle w:val="OperatorTok"/>
        </w:rPr>
        <w:t xml:space="preserve">,</w:t>
      </w:r>
      <w:r>
        <w:rPr>
          <w:rStyle w:val="NormalTok"/>
        </w:rPr>
        <w:t xml:space="preserve"> </w:t>
      </w:r>
      <w:r>
        <w:rPr>
          <w:rStyle w:val="VariableTok"/>
        </w:rPr>
        <w:t xml:space="preserve">ordinata</w:t>
      </w:r>
      <w:r>
        <w:rPr>
          <w:rStyle w:val="OperatorTok"/>
        </w:rPr>
        <w:t xml:space="preserve">,</w:t>
      </w:r>
      <w:r>
        <w:rPr>
          <w:rStyle w:val="NormalTok"/>
        </w:rPr>
        <w:t xml:space="preserve"> </w:t>
      </w:r>
      <w:r>
        <w:rPr>
          <w:rStyle w:val="SpecialStringTok"/>
        </w:rPr>
        <w:t xml:space="preserve">'&lt;style&gt;'</w:t>
      </w:r>
      <w:r>
        <w:rPr>
          <w:rStyle w:val="OperatorTok"/>
        </w:rPr>
        <w:t xml:space="preserve">,</w:t>
      </w:r>
      <w:r>
        <w:rPr>
          <w:rStyle w:val="NormalTok"/>
        </w:rPr>
        <w:t xml:space="preserve"> [</w:t>
      </w:r>
      <w:r>
        <w:rPr>
          <w:rStyle w:val="SpecialStringTok"/>
        </w:rPr>
        <w:t xml:space="preserve">'markersize'</w:t>
      </w:r>
      <w:r>
        <w:rPr>
          <w:rStyle w:val="OperatorTok"/>
        </w:rPr>
        <w:t xml:space="preserve">,</w:t>
      </w:r>
      <w:r>
        <w:rPr>
          <w:rStyle w:val="NormalTok"/>
        </w:rPr>
        <w:t xml:space="preserve"> </w:t>
      </w:r>
      <w:r>
        <w:rPr>
          <w:rStyle w:val="VariableTok"/>
        </w:rPr>
        <w:t xml:space="preserve">size</w:t>
      </w:r>
      <w:r>
        <w:rPr>
          <w:rStyle w:val="NormalTok"/>
        </w:rPr>
        <w:t xml:space="preserve">]) </w:t>
      </w:r>
      <w:r>
        <w:rPr>
          <w:rStyle w:val="OperatorTok"/>
        </w:rPr>
        <w:t xml:space="preserve">//</w:t>
      </w:r>
      <w:r>
        <w:rPr>
          <w:rStyle w:val="NormalTok"/>
        </w:rPr>
        <w:t xml:space="preserve"> [</w:t>
      </w:r>
      <w:r>
        <w:rPr>
          <w:rStyle w:val="VariableTok"/>
        </w:rPr>
        <w:t xml:space="preserve">optional</w:t>
      </w:r>
      <w:r>
        <w:rPr>
          <w:rStyle w:val="NormalTok"/>
        </w:rPr>
        <w:t xml:space="preserve">]</w:t>
      </w:r>
      <w:r>
        <w:br/>
      </w:r>
      <w:r>
        <w:rPr>
          <w:rStyle w:val="VariableTok"/>
        </w:rPr>
        <w:t xml:space="preserve">plot</w:t>
      </w:r>
      <w:r>
        <w:rPr>
          <w:rStyle w:val="NormalTok"/>
        </w:rPr>
        <w:t xml:space="preserve">([</w:t>
      </w:r>
      <w:r>
        <w:rPr>
          <w:rStyle w:val="VariableTok"/>
        </w:rPr>
        <w:t xml:space="preserve">ascisse</w:t>
      </w:r>
      <w:r>
        <w:rPr>
          <w:rStyle w:val="NormalTok"/>
        </w:rPr>
        <w:t xml:space="preserve">]</w:t>
      </w:r>
      <w:r>
        <w:rPr>
          <w:rStyle w:val="OperatorTok"/>
        </w:rPr>
        <w:t xml:space="preserve">,</w:t>
      </w:r>
      <w:r>
        <w:rPr>
          <w:rStyle w:val="NormalTok"/>
        </w:rPr>
        <w:t xml:space="preserve"> [</w:t>
      </w:r>
      <w:r>
        <w:rPr>
          <w:rStyle w:val="VariableTok"/>
        </w:rPr>
        <w:t xml:space="preserve">ordinate</w:t>
      </w:r>
      <w:r>
        <w:rPr>
          <w:rStyle w:val="NormalTok"/>
        </w:rPr>
        <w:t xml:space="preserve">]) </w:t>
      </w:r>
      <w:r>
        <w:rPr>
          <w:rStyle w:val="OperatorTok"/>
        </w:rPr>
        <w:t xml:space="preserve">//</w:t>
      </w:r>
      <w:r>
        <w:rPr>
          <w:rStyle w:val="NormalTok"/>
        </w:rPr>
        <w:t xml:space="preserve"> [</w:t>
      </w:r>
      <w:r>
        <w:rPr>
          <w:rStyle w:val="VariableTok"/>
        </w:rPr>
        <w:t xml:space="preserve">vettore</w:t>
      </w:r>
      <w:r>
        <w:rPr>
          <w:rStyle w:val="NormalTok"/>
        </w:rPr>
        <w:t xml:space="preserve">] </w:t>
      </w:r>
      <w:r>
        <w:rPr>
          <w:rStyle w:val="OperatorTok"/>
        </w:rPr>
        <w:t xml:space="preserve">-</w:t>
      </w:r>
      <w:r>
        <w:rPr>
          <w:rStyle w:val="NormalTok"/>
        </w:rPr>
        <w:t xml:space="preserve"> </w:t>
      </w:r>
      <w:r>
        <w:rPr>
          <w:rStyle w:val="VariableTok"/>
        </w:rPr>
        <w:t xml:space="preserve">di</w:t>
      </w:r>
      <w:r>
        <w:rPr>
          <w:rStyle w:val="NormalTok"/>
        </w:rPr>
        <w:t xml:space="preserve"> </w:t>
      </w:r>
      <w:r>
        <w:rPr>
          <w:rStyle w:val="VariableTok"/>
        </w:rPr>
        <w:t xml:space="preserve">default</w:t>
      </w:r>
      <w:r>
        <w:rPr>
          <w:rStyle w:val="NormalTok"/>
        </w:rPr>
        <w:t xml:space="preserve"> </w:t>
      </w:r>
      <w:r>
        <w:rPr>
          <w:rStyle w:val="VariableTok"/>
        </w:rPr>
        <w:t xml:space="preserve">traccia</w:t>
      </w:r>
      <w:r>
        <w:rPr>
          <w:rStyle w:val="NormalTok"/>
        </w:rPr>
        <w:t xml:space="preserve"> </w:t>
      </w:r>
      <w:r>
        <w:rPr>
          <w:rStyle w:val="VariableTok"/>
        </w:rPr>
        <w:t xml:space="preserve">il</w:t>
      </w:r>
      <w:r>
        <w:rPr>
          <w:rStyle w:val="NormalTok"/>
        </w:rPr>
        <w:t xml:space="preserve"> </w:t>
      </w:r>
      <w:r>
        <w:rPr>
          <w:rStyle w:val="VariableTok"/>
        </w:rPr>
        <w:t xml:space="preserve">grafico</w:t>
      </w:r>
      <w:r>
        <w:rPr>
          <w:rStyle w:val="NormalTok"/>
        </w:rPr>
        <w:t xml:space="preserve"> </w:t>
      </w:r>
      <w:r>
        <w:rPr>
          <w:rStyle w:val="VariableTok"/>
        </w:rPr>
        <w:t xml:space="preserve">all</w:t>
      </w:r>
      <w:r>
        <w:rPr>
          <w:rStyle w:val="OperatorTok"/>
        </w:rPr>
        <w:t xml:space="preserve">'</w:t>
      </w:r>
      <w:r>
        <w:rPr>
          <w:rStyle w:val="VariableTok"/>
        </w:rPr>
        <w:t xml:space="preserve">infinito</w:t>
      </w:r>
    </w:p>
    <w:p>
      <w:pPr>
        <w:pStyle w:val="SourceCode"/>
      </w:pPr>
      <w:r>
        <w:rPr>
          <w:rStyle w:val="VariableTok"/>
        </w:rPr>
        <w:t xml:space="preserve">f0</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OperatorTok"/>
        </w:rPr>
        <w:t xml:space="preserve">\\</w:t>
      </w:r>
      <w:r>
        <w:rPr>
          <w:rStyle w:val="VariableTok"/>
        </w:rPr>
        <w:t xml:space="preserve">Hz</w:t>
      </w:r>
      <w:r>
        <w:br/>
      </w:r>
      <w:r>
        <w:rPr>
          <w:rStyle w:val="VariableTok"/>
        </w:rPr>
        <w:t xml:space="preserve">t</w:t>
      </w:r>
      <w:r>
        <w:rPr>
          <w:rStyle w:val="NormalTok"/>
        </w:rPr>
        <w:t xml:space="preserve"> </w:t>
      </w:r>
      <w:r>
        <w:rPr>
          <w:rStyle w:val="OperatorTok"/>
        </w:rPr>
        <w:t xml:space="preserve">=</w:t>
      </w:r>
      <w:r>
        <w:rPr>
          <w:rStyle w:val="NormalTok"/>
        </w:rPr>
        <w:t xml:space="preserve"> </w:t>
      </w:r>
      <w:r>
        <w:rPr>
          <w:rStyle w:val="FloatTok"/>
        </w:rPr>
        <w:t xml:space="preserve">0</w:t>
      </w:r>
      <w:r>
        <w:rPr>
          <w:rStyle w:val="OperatorTok"/>
        </w:rPr>
        <w:t xml:space="preserve">:</w:t>
      </w:r>
      <w:r>
        <w:rPr>
          <w:rStyle w:val="FloatTok"/>
        </w:rPr>
        <w:t xml:space="preserve">0.1</w:t>
      </w:r>
      <w:r>
        <w:rPr>
          <w:rStyle w:val="OperatorTok"/>
        </w:rPr>
        <w:t xml:space="preserve">:</w:t>
      </w:r>
      <w:r>
        <w:rPr>
          <w:rStyle w:val="FloatTok"/>
        </w:rPr>
        <w:t xml:space="preserve">0.2</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passo</w:t>
      </w:r>
      <w:r>
        <w:rPr>
          <w:rStyle w:val="NormalTok"/>
        </w:rPr>
        <w:t xml:space="preserve"> </w:t>
      </w:r>
      <w:r>
        <w:rPr>
          <w:rStyle w:val="VariableTok"/>
        </w:rPr>
        <w:t xml:space="preserve">da</w:t>
      </w:r>
      <w:r>
        <w:rPr>
          <w:rStyle w:val="NormalTok"/>
        </w:rPr>
        <w:t xml:space="preserve"> </w:t>
      </w:r>
      <w:r>
        <w:rPr>
          <w:rStyle w:val="VariableTok"/>
        </w:rPr>
        <w:t xml:space="preserve">specificare</w:t>
      </w:r>
      <w:r>
        <w:rPr>
          <w:rStyle w:val="NormalTok"/>
        </w:rPr>
        <w:t xml:space="preserve"> </w:t>
      </w:r>
      <w:r>
        <w:rPr>
          <w:rStyle w:val="VariableTok"/>
        </w:rPr>
        <w:t xml:space="preserve">altrimenti</w:t>
      </w:r>
      <w:r>
        <w:rPr>
          <w:rStyle w:val="NormalTok"/>
        </w:rPr>
        <w:t xml:space="preserve"> </w:t>
      </w:r>
      <w:r>
        <w:rPr>
          <w:rStyle w:val="FloatTok"/>
        </w:rPr>
        <w:t xml:space="preserve">1</w:t>
      </w:r>
      <w:r>
        <w:rPr>
          <w:rStyle w:val="NormalTok"/>
        </w:rPr>
        <w:t xml:space="preserve"> </w:t>
      </w:r>
      <w:r>
        <w:rPr>
          <w:rStyle w:val="VariableTok"/>
        </w:rPr>
        <w:t xml:space="preserve">default</w:t>
      </w:r>
      <w:r>
        <w:br/>
      </w:r>
      <w:r>
        <w:rPr>
          <w:rStyle w:val="VariableTok"/>
        </w:rPr>
        <w:t xml:space="preserve">x</w:t>
      </w:r>
      <w:r>
        <w:rPr>
          <w:rStyle w:val="NormalTok"/>
        </w:rPr>
        <w:t xml:space="preserve"> </w:t>
      </w:r>
      <w:r>
        <w:rPr>
          <w:rStyle w:val="OperatorTok"/>
        </w:rPr>
        <w:t xml:space="preserve">=</w:t>
      </w:r>
      <w:r>
        <w:rPr>
          <w:rStyle w:val="NormalTok"/>
        </w:rPr>
        <w:t xml:space="preserve"> </w:t>
      </w:r>
      <w:r>
        <w:rPr>
          <w:rStyle w:val="VariableTok"/>
        </w:rPr>
        <w:t xml:space="preserve">sin</w:t>
      </w:r>
      <w:r>
        <w:rPr>
          <w:rStyle w:val="Normal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f0</w:t>
      </w:r>
      <w:r>
        <w:rPr>
          <w:rStyle w:val="NormalTok"/>
        </w:rPr>
        <w:t xml:space="preserve"> </w:t>
      </w:r>
      <w:r>
        <w:rPr>
          <w:rStyle w:val="OperatorTok"/>
        </w:rPr>
        <w:t xml:space="preserve">*</w:t>
      </w:r>
      <w:r>
        <w:rPr>
          <w:rStyle w:val="NormalTok"/>
        </w:rPr>
        <w:t xml:space="preserve"> </w:t>
      </w:r>
      <w:r>
        <w:rPr>
          <w:rStyle w:val="VariableTok"/>
        </w:rPr>
        <w:t xml:space="preserve">pi</w:t>
      </w:r>
      <w:r>
        <w:rPr>
          <w:rStyle w:val="NormalTok"/>
        </w:rPr>
        <w:t xml:space="preserve"> </w:t>
      </w:r>
      <w:r>
        <w:rPr>
          <w:rStyle w:val="OperatorTok"/>
        </w:rPr>
        <w:t xml:space="preserve">*</w:t>
      </w:r>
      <w:r>
        <w:rPr>
          <w:rStyle w:val="NormalTok"/>
        </w:rPr>
        <w:t xml:space="preserve"> </w:t>
      </w:r>
      <w:r>
        <w:rPr>
          <w:rStyle w:val="VariableTok"/>
        </w:rPr>
        <w:t xml:space="preserve">t</w:t>
      </w:r>
      <w:r>
        <w:rPr>
          <w:rStyle w:val="NormalTok"/>
        </w:rPr>
        <w:t xml:space="preserve">)</w:t>
      </w:r>
      <w:r>
        <w:rPr>
          <w:rStyle w:val="OperatorTok"/>
        </w:rPr>
        <w:t xml:space="preserve">;</w:t>
      </w:r>
      <w:r>
        <w:br/>
      </w:r>
      <w:r>
        <w:rPr>
          <w:rStyle w:val="VariableTok"/>
        </w:rPr>
        <w:t xml:space="preserve">plot</w:t>
      </w:r>
      <w:r>
        <w:rPr>
          <w:rStyle w:val="NormalTok"/>
        </w:rPr>
        <w:t xml:space="preserve">(</w:t>
      </w:r>
      <w:r>
        <w:rPr>
          <w:rStyle w:val="VariableTok"/>
        </w:rPr>
        <w:t xml:space="preserve">t</w:t>
      </w:r>
      <w:r>
        <w:rPr>
          <w:rStyle w:val="OperatorTok"/>
        </w:rPr>
        <w:t xml:space="preserve">,</w:t>
      </w:r>
      <w:r>
        <w:rPr>
          <w:rStyle w:val="NormalTok"/>
        </w:rPr>
        <w:t xml:space="preserve"> </w:t>
      </w:r>
      <w:r>
        <w:rPr>
          <w:rStyle w:val="VariableTok"/>
        </w:rPr>
        <w:t xml:space="preserve">x</w:t>
      </w:r>
      <w:r>
        <w:rPr>
          <w:rStyle w:val="NormalTok"/>
        </w:rPr>
        <w:t xml:space="preserve">)</w:t>
      </w:r>
      <w:r>
        <w:br/>
      </w:r>
      <w:r>
        <w:rPr>
          <w:rStyle w:val="VariableTok"/>
        </w:rPr>
        <w:t xml:space="preserve">plot</w:t>
      </w:r>
      <w:r>
        <w:rPr>
          <w:rStyle w:val="NormalTok"/>
        </w:rPr>
        <w:t xml:space="preserve">(</w:t>
      </w:r>
      <w:r>
        <w:rPr>
          <w:rStyle w:val="OperatorTok"/>
        </w:rPr>
        <w:t xml:space="preserve">&lt;</w:t>
      </w:r>
      <w:r>
        <w:rPr>
          <w:rStyle w:val="VariableTok"/>
        </w:rPr>
        <w:t xml:space="preserve">grafico1</w:t>
      </w:r>
      <w:r>
        <w:rPr>
          <w:rStyle w:val="OperatorTok"/>
        </w:rPr>
        <w:t xml:space="preserve">&gt;</w:t>
      </w:r>
      <w:r>
        <w:rPr>
          <w:rStyle w:val="NormalTok"/>
        </w:rPr>
        <w:t xml:space="preserve">)</w:t>
      </w:r>
      <w:r>
        <w:rPr>
          <w:rStyle w:val="OperatorTok"/>
        </w:rPr>
        <w:t xml:space="preserve">;</w:t>
      </w:r>
      <w:r>
        <w:rPr>
          <w:rStyle w:val="NormalTok"/>
        </w:rPr>
        <w:t xml:space="preserve"> </w:t>
      </w:r>
      <w:r>
        <w:rPr>
          <w:rStyle w:val="VariableTok"/>
        </w:rPr>
        <w:t xml:space="preserve">hold</w:t>
      </w:r>
      <w:r>
        <w:rPr>
          <w:rStyle w:val="NormalTok"/>
        </w:rPr>
        <w:t xml:space="preserve"> </w:t>
      </w:r>
      <w:r>
        <w:rPr>
          <w:rStyle w:val="VariableTok"/>
        </w:rPr>
        <w:t xml:space="preserve">on</w:t>
      </w:r>
      <w:r>
        <w:rPr>
          <w:rStyle w:val="OperatorTok"/>
        </w:rPr>
        <w:t xml:space="preserve">;</w:t>
      </w:r>
      <w:r>
        <w:rPr>
          <w:rStyle w:val="NormalTok"/>
        </w:rPr>
        <w:t xml:space="preserve"> </w:t>
      </w:r>
      <w:r>
        <w:rPr>
          <w:rStyle w:val="VariableTok"/>
        </w:rPr>
        <w:t xml:space="preserve">plot</w:t>
      </w:r>
      <w:r>
        <w:rPr>
          <w:rStyle w:val="NormalTok"/>
        </w:rPr>
        <w:t xml:space="preserve">(</w:t>
      </w:r>
      <w:r>
        <w:rPr>
          <w:rStyle w:val="OperatorTok"/>
        </w:rPr>
        <w:t xml:space="preserve">&lt;</w:t>
      </w:r>
      <w:r>
        <w:rPr>
          <w:rStyle w:val="VariableTok"/>
        </w:rPr>
        <w:t xml:space="preserve">grafico2</w:t>
      </w:r>
      <w:r>
        <w:rPr>
          <w:rStyle w:val="OperatorTok"/>
        </w:rPr>
        <w:t xml:space="preserve">&gt;</w:t>
      </w:r>
      <w:r>
        <w:rPr>
          <w:rStyle w:val="NormalTok"/>
        </w:rPr>
        <w:t xml:space="preserve">)</w:t>
      </w:r>
      <w:r>
        <w:br/>
      </w:r>
      <w:r>
        <w:rPr>
          <w:rStyle w:val="VariableTok"/>
        </w:rPr>
        <w:t xml:space="preserve">plot</w:t>
      </w:r>
      <w:r>
        <w:rPr>
          <w:rStyle w:val="NormalTok"/>
        </w:rPr>
        <w:t xml:space="preserve">(</w:t>
      </w:r>
      <w:r>
        <w:rPr>
          <w:rStyle w:val="VariableTok"/>
        </w:rPr>
        <w:t xml:space="preserve">x1</w:t>
      </w:r>
      <w:r>
        <w:rPr>
          <w:rStyle w:val="OperatorTok"/>
        </w:rPr>
        <w:t xml:space="preserve">,</w:t>
      </w:r>
      <w:r>
        <w:rPr>
          <w:rStyle w:val="NormalTok"/>
        </w:rPr>
        <w:t xml:space="preserve"> </w:t>
      </w:r>
      <w:r>
        <w:rPr>
          <w:rStyle w:val="VariableTok"/>
        </w:rPr>
        <w:t xml:space="preserve">t1</w:t>
      </w:r>
      <w:r>
        <w:rPr>
          <w:rStyle w:val="OperatorTok"/>
        </w:rPr>
        <w:t xml:space="preserve">,</w:t>
      </w:r>
      <w:r>
        <w:rPr>
          <w:rStyle w:val="NormalTok"/>
        </w:rPr>
        <w:t xml:space="preserve"> </w:t>
      </w:r>
      <w:r>
        <w:rPr>
          <w:rStyle w:val="VariableTok"/>
        </w:rPr>
        <w:t xml:space="preserve">x2</w:t>
      </w:r>
      <w:r>
        <w:rPr>
          <w:rStyle w:val="OperatorTok"/>
        </w:rPr>
        <w:t xml:space="preserve">,</w:t>
      </w:r>
      <w:r>
        <w:rPr>
          <w:rStyle w:val="NormalTok"/>
        </w:rPr>
        <w:t xml:space="preserve"> </w:t>
      </w:r>
      <w:r>
        <w:rPr>
          <w:rStyle w:val="VariableTok"/>
        </w:rPr>
        <w:t xml:space="preserve">t2</w:t>
      </w:r>
      <w:r>
        <w:rPr>
          <w:rStyle w:val="NormalTok"/>
        </w:rPr>
        <w:t xml:space="preserve">) </w:t>
      </w:r>
      <w:r>
        <w:rPr>
          <w:rStyle w:val="OperatorTok"/>
        </w:rPr>
        <w:t xml:space="preserve">//</w:t>
      </w:r>
      <w:r>
        <w:rPr>
          <w:rStyle w:val="NormalTok"/>
        </w:rPr>
        <w:t xml:space="preserve"> </w:t>
      </w:r>
      <w:r>
        <w:rPr>
          <w:rStyle w:val="VariableTok"/>
        </w:rPr>
        <w:t xml:space="preserve">anche</w:t>
      </w:r>
      <w:r>
        <w:rPr>
          <w:rStyle w:val="NormalTok"/>
        </w:rPr>
        <w:t xml:space="preserve"> </w:t>
      </w:r>
      <w:r>
        <w:rPr>
          <w:rStyle w:val="VariableTok"/>
        </w:rPr>
        <w:t xml:space="preserve">valido</w:t>
      </w:r>
    </w:p>
    <w:p>
      <w:pPr>
        <w:pStyle w:val="FirstParagraph"/>
      </w:pPr>
      <w:r>
        <w:t xml:space="preserve">%%</w:t>
      </w:r>
    </w:p>
    <w:bookmarkStart w:id="25" w:name="Xbe8a84f0bf25b1135b7127d0e63a19e5369ad0e"/>
    <w:p>
      <w:pPr>
        <w:pStyle w:val="Heading1"/>
      </w:pPr>
      <w:r>
        <w:t xml:space="preserve">Principi fondamentali delle reti cellulari</w:t>
      </w:r>
    </w:p>
    <w:p>
      <w:pPr>
        <w:pStyle w:val="FirstParagraph"/>
      </w:pPr>
      <w:r>
        <w:t xml:space="preserve">In una rete cellulare, vi sono due fondamentali attori:</w:t>
      </w:r>
      <w:r>
        <w:t xml:space="preserve"> </w:t>
      </w:r>
      <w:r>
        <w:t xml:space="preserve">-</w:t>
      </w:r>
      <w:r>
        <w:t xml:space="preserve"> </w:t>
      </w:r>
      <w:r>
        <w:rPr>
          <w:b/>
          <w:bCs/>
        </w:rPr>
        <w:t xml:space="preserve">mobile station</w:t>
      </w:r>
      <w:r>
        <w:t xml:space="preserve">, cioè gli utenti che si collegano alla rete</w:t>
      </w:r>
      <w:r>
        <w:t xml:space="preserve"> </w:t>
      </w:r>
      <w:r>
        <w:t xml:space="preserve">-</w:t>
      </w:r>
      <w:r>
        <w:t xml:space="preserve"> </w:t>
      </w:r>
      <w:r>
        <w:rPr>
          <w:b/>
          <w:bCs/>
        </w:rPr>
        <w:t xml:space="preserve">base station</w:t>
      </w:r>
      <w:r>
        <w:t xml:space="preserve">, un punto di accesso centrale (l’antenna).</w:t>
      </w:r>
    </w:p>
    <w:p>
      <w:pPr>
        <w:pStyle w:val="BodyText"/>
      </w:pPr>
      <w:r>
        <w:t xml:space="preserve">Tra questi attori sono in gioco due risorse critiche,</w:t>
      </w:r>
      <w:r>
        <w:t xml:space="preserve"> </w:t>
      </w:r>
      <w:r>
        <w:rPr>
          <w:b/>
          <w:bCs/>
        </w:rPr>
        <w:t xml:space="preserve">banda</w:t>
      </w:r>
      <w:r>
        <w:rPr>
          <w:rStyle w:val="FootnoteReference"/>
        </w:rPr>
        <w:footnoteReference w:id="20"/>
      </w:r>
      <w:r>
        <w:t xml:space="preserve"> </w:t>
      </w:r>
      <w:r>
        <w:t xml:space="preserve">e</w:t>
      </w:r>
      <w:r>
        <w:t xml:space="preserve"> </w:t>
      </w:r>
      <w:r>
        <w:rPr>
          <w:b/>
          <w:bCs/>
        </w:rPr>
        <w:t xml:space="preserve">potenza</w:t>
      </w:r>
      <w:r>
        <w:t xml:space="preserve"> </w:t>
      </w:r>
      <w:r>
        <w:t xml:space="preserve">di trasmissione. L’utilizzo efficienti delle due è un importante punto da dover realizzare nell’ambito delle reti cellulari, in particolare posizionando la base station:</w:t>
      </w:r>
      <w:r>
        <w:t xml:space="preserve"> </w:t>
      </w:r>
      <w:r>
        <w:t xml:space="preserve">- non troppo distante dagli utenti finali, in quanto questo richiederebbe un eccessivo consumo di energia da parte degli apparecchi mobili;</w:t>
      </w:r>
      <w:r>
        <w:t xml:space="preserve"> </w:t>
      </w:r>
      <w:r>
        <w:t xml:space="preserve">- non troppo vicino ad altre BSs, così da poter consentire il riuso delle frequenze</w:t>
      </w:r>
      <w:r>
        <w:rPr>
          <w:rStyle w:val="FootnoteReference"/>
        </w:rPr>
        <w:footnoteReference w:id="21"/>
      </w:r>
      <w:r>
        <w:t xml:space="preserve">.</w:t>
      </w:r>
    </w:p>
    <w:p>
      <w:pPr>
        <w:pStyle w:val="BodyText"/>
      </w:pPr>
      <w:r>
        <w:t xml:space="preserve">Nasce così il concetto di</w:t>
      </w:r>
      <w:r>
        <w:t xml:space="preserve"> </w:t>
      </w:r>
      <w:r>
        <w:rPr>
          <w:b/>
          <w:bCs/>
        </w:rPr>
        <w:t xml:space="preserve">cella</w:t>
      </w:r>
      <w:r>
        <w:rPr>
          <w:rStyle w:val="FootnoteReference"/>
        </w:rPr>
        <w:footnoteReference w:id="22"/>
      </w:r>
      <w:r>
        <w:t xml:space="preserve">, cioè una suddivisione di un’area geografica più ampia che può essere servita da una singola base station; insieme di celle formano i</w:t>
      </w:r>
      <w:r>
        <w:t xml:space="preserve"> </w:t>
      </w:r>
      <w:r>
        <w:rPr>
          <w:b/>
          <w:bCs/>
        </w:rPr>
        <w:t xml:space="preserve">cluster</w:t>
      </w:r>
      <w:r>
        <w:t xml:space="preserve">. Inoltre, le antenne non sono omnidirezionali ma direzionali: questo consente di dividere la cella in</w:t>
      </w:r>
      <w:r>
        <w:t xml:space="preserve"> </w:t>
      </w:r>
      <w:r>
        <w:rPr>
          <w:b/>
          <w:bCs/>
        </w:rPr>
        <w:t xml:space="preserve">settori</w:t>
      </w:r>
      <w:r>
        <w:t xml:space="preserve">.</w:t>
      </w:r>
    </w:p>
    <w:p>
      <w:pPr>
        <w:pStyle w:val="BodyText"/>
      </w:pPr>
      <w:r>
        <w:t xml:space="preserve">All’interno di una cella:</w:t>
      </w:r>
      <w:r>
        <w:t xml:space="preserve"> </w:t>
      </w:r>
      <w:r>
        <w:t xml:space="preserve">- l’ammontare di banda è definito a priori e si seguono degli standard per l’allocazione</w:t>
      </w:r>
      <w:r>
        <w:rPr>
          <w:rStyle w:val="FootnoteReference"/>
        </w:rPr>
        <w:footnoteReference w:id="23"/>
      </w:r>
      <w:r>
        <w:t xml:space="preserve">;</w:t>
      </w:r>
      <w:r>
        <w:t xml:space="preserve"> </w:t>
      </w:r>
      <w:r>
        <w:t xml:space="preserve">- vi è la necessità di utilizzare schemi per l’accesso multiplo al canale condiviso di comunicazione (FDMA, TDMA</w:t>
      </w:r>
      <w:r>
        <w:rPr>
          <w:rStyle w:val="FootnoteReference"/>
        </w:rPr>
        <w:footnoteReference w:id="24"/>
      </w:r>
      <w:r>
        <w:t xml:space="preserve"> </w:t>
      </w:r>
      <w:r>
        <w:t xml:space="preserve">etc), insieme a degli schemi di modulazione efficienti (QAM, PSK etc);</w:t>
      </w:r>
      <w:r>
        <w:t xml:space="preserve"> </w:t>
      </w:r>
      <w:r>
        <w:t xml:space="preserve">- le antenne fanno uso di tecnologie quali beamforming e MIMO.</w:t>
      </w:r>
    </w:p>
    <w:bookmarkEnd w:id="25"/>
    <w:bookmarkStart w:id="26" w:name="microwaves"/>
    <w:p>
      <w:pPr>
        <w:pStyle w:val="Heading1"/>
      </w:pPr>
      <w:r>
        <w:t xml:space="preserve">Microwaves</w:t>
      </w:r>
    </w:p>
    <w:p>
      <w:pPr>
        <w:pStyle w:val="FirstParagraph"/>
      </w:pPr>
      <w:r>
        <w:t xml:space="preserve">Per le telecomunicazioni si è scelto l’intervallo di frequenze appartenente alle microonde, tra i 300MHz e i 300GHz di frequenza, con lunghezze d’onda variabili tra 1m e 1mm. Tale scelta viene effettuata sulla base di alcuni fattori, tra cui:</w:t>
      </w:r>
      <w:r>
        <w:t xml:space="preserve"> </w:t>
      </w:r>
      <w:r>
        <w:t xml:space="preserve">- grossa</w:t>
      </w:r>
      <w:r>
        <w:t xml:space="preserve"> </w:t>
      </w:r>
      <w:r>
        <w:rPr>
          <w:b/>
          <w:bCs/>
        </w:rPr>
        <w:t xml:space="preserve">disponibilità di spettro</w:t>
      </w:r>
      <w:r>
        <w:t xml:space="preserve"> </w:t>
      </w:r>
      <w:r>
        <w:t xml:space="preserve">in quell’intervallo di frequenze;</w:t>
      </w:r>
      <w:r>
        <w:t xml:space="preserve"> </w:t>
      </w:r>
      <w:r>
        <w:t xml:space="preserve">- il processo produttivo delle</w:t>
      </w:r>
      <w:r>
        <w:t xml:space="preserve"> </w:t>
      </w:r>
      <w:r>
        <w:rPr>
          <w:b/>
          <w:bCs/>
        </w:rPr>
        <w:t xml:space="preserve">antenne</w:t>
      </w:r>
      <w:r>
        <w:t xml:space="preserve"> </w:t>
      </w:r>
      <w:r>
        <w:t xml:space="preserve">è conveniente ed è possibile la realizzazione di antenne altamente direzionali per connessioni affidabili.</w:t>
      </w:r>
    </w:p>
    <w:p>
      <w:pPr>
        <w:pStyle w:val="BodyText"/>
      </w:pPr>
      <w:r>
        <w:t xml:space="preserve">È bene ricordare che vi è un nesso tra la frequenza di un segnale e la grandezza dell’antenna che emette tale segnale: sono legate secondo una relazione di proporzionalità inversa:</w:t>
      </w:r>
    </w:p>
    <w:p>
      <w:pPr>
        <w:pStyle w:val="BodyText"/>
      </w:pPr>
      <m:oMathPara>
        <m:oMathParaPr>
          <m:jc m:val="center"/>
        </m:oMathParaPr>
        <m:oMath>
          <m:r>
            <m:t>f</m:t>
          </m:r>
          <m:r>
            <m:rPr>
              <m:sty m:val="p"/>
            </m:rPr>
            <m:t>=</m:t>
          </m:r>
          <m:f>
            <m:fPr>
              <m:type m:val="bar"/>
            </m:fPr>
            <m:num>
              <m:r>
                <m:t>c</m:t>
              </m:r>
            </m:num>
            <m:den>
              <m:r>
                <m:t>λ</m:t>
              </m:r>
            </m:den>
          </m:f>
          <m:r>
            <m:t> </m:t>
          </m:r>
          <m:r>
            <m:rPr>
              <m:sty m:val="p"/>
            </m:rPr>
            <m:t>→</m:t>
          </m:r>
          <m:r>
            <m:t> </m:t>
          </m:r>
          <m:r>
            <m:t>λ</m:t>
          </m:r>
          <m:r>
            <m:rPr>
              <m:sty m:val="p"/>
            </m:rPr>
            <m:t>=</m:t>
          </m:r>
          <m:f>
            <m:fPr>
              <m:type m:val="bar"/>
            </m:fPr>
            <m:num>
              <m:r>
                <m:t>c</m:t>
              </m:r>
            </m:num>
            <m:den>
              <m:r>
                <m:t>f</m:t>
              </m:r>
            </m:den>
          </m:f>
        </m:oMath>
      </m:oMathPara>
    </w:p>
    <w:p>
      <w:pPr>
        <w:pStyle w:val="FirstParagraph"/>
      </w:pPr>
      <w:r>
        <w:t xml:space="preserve">Più la frequenza</w:t>
      </w:r>
      <w:r>
        <w:t xml:space="preserve"> </w:t>
      </w:r>
      <m:oMath>
        <m:r>
          <m:t>f</m:t>
        </m:r>
      </m:oMath>
      <w:r>
        <w:t xml:space="preserve"> </w:t>
      </w:r>
      <w:r>
        <w:t xml:space="preserve">è maggiore, minore dovrà essere la grandezza dell’antenna</w:t>
      </w:r>
      <w:r>
        <w:t xml:space="preserve"> </w:t>
      </w:r>
      <m:oMath>
        <m:r>
          <m:t>λ</m:t>
        </m:r>
      </m:oMath>
      <w:r>
        <w:t xml:space="preserve">.</w:t>
      </w:r>
    </w:p>
    <w:bookmarkEnd w:id="26"/>
    <w:bookmarkStart w:id="33" w:name="X0d7dabde0e2857116aabcd8aa1cd643d9a8aefe"/>
    <w:p>
      <w:pPr>
        <w:pStyle w:val="Heading1"/>
      </w:pPr>
      <w:r>
        <w:t xml:space="preserve">Panoramica delle generazioni della rete cellulare</w:t>
      </w:r>
    </w:p>
    <w:bookmarkStart w:id="28" w:name="g"/>
    <w:p>
      <w:pPr>
        <w:pStyle w:val="Heading2"/>
      </w:pPr>
      <w:r>
        <w:t xml:space="preserve">1G</w:t>
      </w:r>
    </w:p>
    <w:p>
      <w:pPr>
        <w:pStyle w:val="FirstParagraph"/>
      </w:pPr>
      <w:r>
        <w:t xml:space="preserve">La prima generazione di reti cellulare comprende delle piccole reti costruite ad-hoc che seguono standard diversi in diverse regione del mondo</w:t>
      </w:r>
      <w:r>
        <w:rPr>
          <w:rStyle w:val="FootnoteReference"/>
        </w:rPr>
        <w:footnoteReference w:id="27"/>
      </w:r>
      <w:r>
        <w:t xml:space="preserve">.</w:t>
      </w:r>
    </w:p>
    <w:p>
      <w:pPr>
        <w:pStyle w:val="BodyText"/>
      </w:pPr>
      <w:r>
        <w:t xml:space="preserve">Si tratta di sistemi analogici pensati per essere utilizzati esclusivamente per la fonia, sfruttando FMDA come metodo per accesso al canale condiviso e non si implementano misure di autenticazione, crittografia etc. Data inoltre l’eterogeneità delle varie tecnologie in utilizzo, non è possibile effettuare roaming.</w:t>
      </w:r>
    </w:p>
    <w:bookmarkEnd w:id="28"/>
    <w:bookmarkStart w:id="29" w:name="g---gsm-global-system-mobile"/>
    <w:p>
      <w:pPr>
        <w:pStyle w:val="Heading2"/>
      </w:pPr>
      <w:r>
        <w:t xml:space="preserve">2G - GSM (Global System Mobile)</w:t>
      </w:r>
    </w:p>
    <w:p>
      <w:pPr>
        <w:pStyle w:val="FirstParagraph"/>
      </w:pPr>
      <w:r>
        <w:rPr>
          <w:i/>
          <w:iCs/>
        </w:rPr>
        <w:t xml:space="preserve">[[2. 2G - GSM|Vedi in dettaglio.]]</w:t>
      </w:r>
    </w:p>
    <w:p>
      <w:pPr>
        <w:pStyle w:val="BodyText"/>
      </w:pPr>
      <w:r>
        <w:t xml:space="preserve">Con il GSM si inizia ad utilizzare una trasmissione digitale, sfruttando sia TDMA che FDMA per l’accesso al canale condiviso. Questo consente di introdurre meccanismi per la sicurezza come autenticazione e crittografia dei dati in transito, oltre che la trasmissione di dati non legati alla fonia (e.g. SMS).</w:t>
      </w:r>
    </w:p>
    <w:p>
      <w:pPr>
        <w:pStyle w:val="BodyText"/>
      </w:pPr>
      <w:r>
        <w:t xml:space="preserve">A differenza delle reti di prima generazione, lo standard GSM è valido a livello globale ed è ben standardizzato, portando all’introduzione del roaming internazionale.</w:t>
      </w:r>
    </w:p>
    <w:p>
      <w:pPr>
        <w:pStyle w:val="BodyText"/>
      </w:pPr>
      <w:r>
        <w:t xml:space="preserve">GSM vedrà due evoluzioni: GPRS e EDGE.</w:t>
      </w:r>
    </w:p>
    <w:bookmarkEnd w:id="29"/>
    <w:bookmarkStart w:id="30" w:name="X3b5ee7a3f8cdc22b79cbe03763c603b411b6144"/>
    <w:p>
      <w:pPr>
        <w:pStyle w:val="Heading2"/>
      </w:pPr>
      <w:r>
        <w:t xml:space="preserve">3G - UMTS (Universal Mobile Telecommunication System)</w:t>
      </w:r>
    </w:p>
    <w:p>
      <w:pPr>
        <w:pStyle w:val="FirstParagraph"/>
      </w:pPr>
      <w:r>
        <w:rPr>
          <w:i/>
          <w:iCs/>
        </w:rPr>
        <w:t xml:space="preserve">[[3. 3G - UMTS|Vedi in dettaglio.]]</w:t>
      </w:r>
    </w:p>
    <w:p>
      <w:pPr>
        <w:pStyle w:val="BodyText"/>
      </w:pPr>
      <w:r>
        <w:t xml:space="preserve">Nelle reti di terza generazione si utilizza un’architettura di rete simile a quella già impiegata con GPRS. Utilizza CDMA come politica di accesso al canale condiviso.</w:t>
      </w:r>
    </w:p>
    <w:p>
      <w:pPr>
        <w:pStyle w:val="BodyText"/>
      </w:pPr>
      <w:r>
        <w:t xml:space="preserve">Ci si concentra sul migliorare il data rate, in modo da poter supportare applicazioni multimediali e servizi non più legati alla fonia, arrivando a supportare decine di Megabit per secondo nelle evoluzioni HSPA e HSPA+; viene introdotto IMS (IP Multimedia Subsystem), cioè un sottosistema dedicato per applicazioni multimediali.</w:t>
      </w:r>
    </w:p>
    <w:bookmarkEnd w:id="30"/>
    <w:bookmarkStart w:id="31" w:name="g---lte-long-term-evolution"/>
    <w:p>
      <w:pPr>
        <w:pStyle w:val="Heading2"/>
      </w:pPr>
      <w:r>
        <w:t xml:space="preserve">4G - LTE (Long Term Evolution)</w:t>
      </w:r>
    </w:p>
    <w:p>
      <w:pPr>
        <w:pStyle w:val="FirstParagraph"/>
      </w:pPr>
      <w:r>
        <w:rPr>
          <w:i/>
          <w:iCs/>
        </w:rPr>
        <w:t xml:space="preserve">[[4. 4G - LTE|Vedi in dettaglio.]]</w:t>
      </w:r>
    </w:p>
    <w:p>
      <w:pPr>
        <w:pStyle w:val="BodyText"/>
      </w:pPr>
      <w:r>
        <w:t xml:space="preserve">Con le reti di quarta generazione si passa ad una rete Full-IP, perdendo dunque la distinzione tra fonia e dati (la parte</w:t>
      </w:r>
      <w:r>
        <w:t xml:space="preserve"> </w:t>
      </w:r>
      <w:r>
        <w:t xml:space="preserve">“voce”</w:t>
      </w:r>
      <w:r>
        <w:t xml:space="preserve"> </w:t>
      </w:r>
      <w:r>
        <w:t xml:space="preserve">infatti sarà adattata per passare su una rete IP a pacchetti), consentendo alla rete di acquisire una struttura semplificata e più flessibile.</w:t>
      </w:r>
    </w:p>
    <w:p>
      <w:pPr>
        <w:pStyle w:val="BodyText"/>
      </w:pPr>
      <w:r>
        <w:t xml:space="preserve">Vi sono notevoli miglioramenti alla parte radio, consentendo di raggiungere data-rates nell’ordine delle centinaia di Megabit per secondo. Queste innovazioni sono individuate in OFDMA come protocollo di accesso al canale condiviso, in aggiunta a tecnologie dell’antenna, quali MIMO (e Massive MIMO), 256-QAM etc, impiegati anche nelle reti di quinta generazione.</w:t>
      </w:r>
    </w:p>
    <w:bookmarkEnd w:id="31"/>
    <w:bookmarkStart w:id="32" w:name="g-6g"/>
    <w:p>
      <w:pPr>
        <w:pStyle w:val="Heading2"/>
      </w:pPr>
      <w:r>
        <w:t xml:space="preserve">5G &amp; 6G</w:t>
      </w:r>
    </w:p>
    <w:p>
      <w:pPr>
        <w:pStyle w:val="FirstParagraph"/>
      </w:pPr>
      <w:r>
        <w:t xml:space="preserve">Nelle reti di quinta generazione si settano dei requisiti tali da supportare nuove applicazioni, basate principalmente su collegamenti molto affidabili e a bassa latenza, un grosso numero di dispositivi connessi e una banda sempre crescente a disposizione dell’utente finale.</w:t>
      </w:r>
    </w:p>
    <w:p>
      <w:pPr>
        <w:pStyle w:val="BodyText"/>
      </w:pPr>
      <w:r>
        <w:t xml:space="preserve">Si pone l’accetto su un’architettura di rete basata sui servizi e sempre più virtualizzata.</w:t>
      </w:r>
    </w:p>
    <w:bookmarkEnd w:id="32"/>
    <w:bookmarkEnd w:id="33"/>
    <w:bookmarkStart w:id="34" w:name="macro-architettura-di-una-rete-cellulare"/>
    <w:p>
      <w:pPr>
        <w:pStyle w:val="Heading1"/>
      </w:pPr>
      <w:r>
        <w:t xml:space="preserve">Macro-architettura di una rete cellulare</w:t>
      </w:r>
    </w:p>
    <w:p>
      <w:pPr>
        <w:pStyle w:val="FirstParagraph"/>
      </w:pPr>
      <w:r>
        <w:t xml:space="preserve">![[Pasted image 20230927160007.png]]</w:t>
      </w:r>
    </w:p>
    <w:p>
      <w:pPr>
        <w:pStyle w:val="Compact"/>
        <w:numPr>
          <w:ilvl w:val="0"/>
          <w:numId w:val="1001"/>
        </w:numPr>
      </w:pPr>
      <w:r>
        <w:rPr>
          <w:b/>
          <w:bCs/>
        </w:rPr>
        <w:t xml:space="preserve">mobile station</w:t>
      </w:r>
      <w:r>
        <w:t xml:space="preserve">: consente all’utente di accedere alla rete;</w:t>
      </w:r>
    </w:p>
    <w:p>
      <w:pPr>
        <w:pStyle w:val="Compact"/>
        <w:numPr>
          <w:ilvl w:val="0"/>
          <w:numId w:val="1001"/>
        </w:numPr>
      </w:pPr>
      <w:r>
        <w:rPr>
          <w:b/>
          <w:bCs/>
        </w:rPr>
        <w:t xml:space="preserve">access network</w:t>
      </w:r>
      <w:r>
        <w:t xml:space="preserve">: si occupa delle comunicazioni da e per le mobile stations, gestendo tutte le funzionalità radio legate alla rete;</w:t>
      </w:r>
    </w:p>
    <w:p>
      <w:pPr>
        <w:pStyle w:val="Compact"/>
        <w:numPr>
          <w:ilvl w:val="0"/>
          <w:numId w:val="1001"/>
        </w:numPr>
      </w:pPr>
      <w:r>
        <w:rPr>
          <w:b/>
          <w:bCs/>
        </w:rPr>
        <w:t xml:space="preserve">core network</w:t>
      </w:r>
      <w:r>
        <w:t xml:space="preserve">: gestisce la comunicazione con le reti esterne, occupandosi di routing e switching;</w:t>
      </w:r>
    </w:p>
    <w:p>
      <w:pPr>
        <w:pStyle w:val="Compact"/>
        <w:numPr>
          <w:ilvl w:val="0"/>
          <w:numId w:val="1001"/>
        </w:numPr>
      </w:pPr>
      <w:r>
        <w:rPr>
          <w:b/>
          <w:bCs/>
        </w:rPr>
        <w:t xml:space="preserve">applications</w:t>
      </w:r>
      <w:r>
        <w:t xml:space="preserve">: sopra il resto dell’architettura.</w:t>
      </w:r>
    </w:p>
    <w:p>
      <w:pPr>
        <w:pStyle w:val="FirstParagraph"/>
      </w:pPr>
      <w:r>
        <w:t xml:space="preserve">Le informazioni scambiate sono di due tipi:</w:t>
      </w:r>
      <w:r>
        <w:t xml:space="preserve"> </w:t>
      </w:r>
      <w:r>
        <w:t xml:space="preserve">-</w:t>
      </w:r>
      <w:r>
        <w:t xml:space="preserve"> </w:t>
      </w:r>
      <w:r>
        <w:rPr>
          <w:b/>
          <w:bCs/>
        </w:rPr>
        <w:t xml:space="preserve">user plane</w:t>
      </w:r>
      <w:r>
        <w:t xml:space="preserve">: sono i dati generati dall’utente/applicazione;</w:t>
      </w:r>
      <w:r>
        <w:t xml:space="preserve"> </w:t>
      </w:r>
      <w:r>
        <w:t xml:space="preserve">-</w:t>
      </w:r>
      <w:r>
        <w:t xml:space="preserve"> </w:t>
      </w:r>
      <w:r>
        <w:rPr>
          <w:b/>
          <w:bCs/>
        </w:rPr>
        <w:t xml:space="preserve">control plane</w:t>
      </w:r>
      <w:r>
        <w:t xml:space="preserve">: si tratta di informazioni di signaling e controllo della rete.</w:t>
      </w:r>
    </w:p>
    <w:p>
      <w:pPr>
        <w:pStyle w:val="BodyText"/>
      </w:pPr>
      <w:r>
        <w:rPr>
          <w:i/>
          <w:iCs/>
        </w:rPr>
        <w:t xml:space="preserve">Questo argomento è stato trattato in #5GNetwork</w:t>
      </w:r>
      <w:r>
        <w:t xml:space="preserve"> </w:t>
      </w:r>
      <w:r>
        <w:t xml:space="preserve">***</w:t>
      </w:r>
    </w:p>
    <w:bookmarkEnd w:id="34"/>
    <w:bookmarkStart w:id="37" w:name="storia-di-gsm"/>
    <w:p>
      <w:pPr>
        <w:pStyle w:val="Heading1"/>
      </w:pPr>
      <w:r>
        <w:t xml:space="preserve">Storia di GSM</w:t>
      </w:r>
    </w:p>
    <w:p>
      <w:pPr>
        <w:pStyle w:val="FirstParagraph"/>
      </w:pPr>
      <w:r>
        <w:t xml:space="preserve">Con le reti GSM di seconda generazione si ottiene il primo esempio di rete standardizzata a livello globale: il design della rete è guidato dal</w:t>
      </w:r>
      <w:r>
        <w:t xml:space="preserve"> </w:t>
      </w:r>
      <w:r>
        <w:rPr>
          <w:i/>
          <w:iCs/>
        </w:rPr>
        <w:t xml:space="preserve">Groupe Spéciale Mobile</w:t>
      </w:r>
      <w:r>
        <w:t xml:space="preserve">, un committee guidato in primis da Unione Europea e ETSI.</w:t>
      </w:r>
    </w:p>
    <w:bookmarkStart w:id="36" w:name="novità-introdotte-da-gsm"/>
    <w:p>
      <w:pPr>
        <w:pStyle w:val="Heading2"/>
      </w:pPr>
      <w:r>
        <w:t xml:space="preserve">Novità introdotte da GSM</w:t>
      </w:r>
    </w:p>
    <w:p>
      <w:pPr>
        <w:pStyle w:val="FirstParagraph"/>
      </w:pPr>
      <w:r>
        <w:t xml:space="preserve">Per la prima volta, si ha un sistema completamente digitale, con TDMA come tecnica di modulazione. Una delle milestone raggiunte con GSM è un data rate tali da consentire un modesto scambio dati, pur rimanendo ==GSM una rete a commutazione di circuito==.</w:t>
      </w:r>
    </w:p>
    <w:bookmarkStart w:id="35" w:name="sicurezza"/>
    <w:p>
      <w:pPr>
        <w:pStyle w:val="Heading3"/>
      </w:pPr>
      <w:r>
        <w:t xml:space="preserve">Sicurezza</w:t>
      </w:r>
    </w:p>
    <w:p>
      <w:pPr>
        <w:pStyle w:val="FirstParagraph"/>
      </w:pPr>
      <w:r>
        <w:t xml:space="preserve">Inoltre, la trasmissione fully-digital consente di fare passi in avanti anche per quanto riguarda la sicurezza della rete stessa, introducendo dei meccanismi di autenticazione per accedere alla rete (ad esempio, SIM, PIN e algoritmi appositamente disegnati) e garantendo la sicurezza nella comunicazione. Ciò viene reso in modo tale che l’utente:</w:t>
      </w:r>
      <w:r>
        <w:t xml:space="preserve"> </w:t>
      </w:r>
      <w:r>
        <w:t xml:space="preserve">- sia protetto da</w:t>
      </w:r>
      <w:r>
        <w:t xml:space="preserve"> </w:t>
      </w:r>
      <w:r>
        <w:rPr>
          <w:b/>
          <w:bCs/>
        </w:rPr>
        <w:t xml:space="preserve">tracking</w:t>
      </w:r>
      <w:r>
        <w:t xml:space="preserve"> </w:t>
      </w:r>
      <w:r>
        <w:t xml:space="preserve">e</w:t>
      </w:r>
      <w:r>
        <w:t xml:space="preserve"> </w:t>
      </w:r>
      <w:r>
        <w:rPr>
          <w:b/>
          <w:bCs/>
        </w:rPr>
        <w:t xml:space="preserve">wiretapping</w:t>
      </w:r>
      <w:r>
        <w:t xml:space="preserve"> </w:t>
      </w:r>
      <w:r>
        <w:t xml:space="preserve">(intercettazione);</w:t>
      </w:r>
      <w:r>
        <w:t xml:space="preserve"> </w:t>
      </w:r>
      <w:r>
        <w:t xml:space="preserve">- usufruisca di</w:t>
      </w:r>
      <w:r>
        <w:t xml:space="preserve"> </w:t>
      </w:r>
      <w:r>
        <w:rPr>
          <w:b/>
          <w:bCs/>
        </w:rPr>
        <w:t xml:space="preserve">anonimità</w:t>
      </w:r>
      <w:r>
        <w:t xml:space="preserve"> </w:t>
      </w:r>
      <w:r>
        <w:t xml:space="preserve">(essendo identificato da un identificativo casuale e temporaneo);</w:t>
      </w:r>
      <w:r>
        <w:t xml:space="preserve"> </w:t>
      </w:r>
      <w:r>
        <w:t xml:space="preserve">- abbia delle conversazioni che godano di</w:t>
      </w:r>
      <w:r>
        <w:t xml:space="preserve"> </w:t>
      </w:r>
      <w:r>
        <w:rPr>
          <w:b/>
          <w:bCs/>
        </w:rPr>
        <w:t xml:space="preserve">confidenzialità</w:t>
      </w:r>
      <w:r>
        <w:t xml:space="preserve">, essendo crittografate le conversazioni in transito.</w:t>
      </w:r>
    </w:p>
    <w:p>
      <w:pPr>
        <w:pStyle w:val="BodyText"/>
      </w:pPr>
      <w:r>
        <w:t xml:space="preserve">Ad ogni modo, la sicurezza di GSM era garantita da una logica di</w:t>
      </w:r>
      <w:r>
        <w:t xml:space="preserve"> </w:t>
      </w:r>
      <w:r>
        <w:rPr>
          <w:i/>
          <w:iCs/>
        </w:rPr>
        <w:t xml:space="preserve">security through obscurity</w:t>
      </w:r>
      <w:r>
        <w:t xml:space="preserve">; questo rappresenta un main security flaw: infatti, la sicurezza di GSM è stata oggetto di reverse engineering, facendo crollare tutta la sicurezza che tali meccanismi garantivano.</w:t>
      </w:r>
    </w:p>
    <w:bookmarkEnd w:id="35"/>
    <w:bookmarkEnd w:id="36"/>
    <w:bookmarkEnd w:id="37"/>
    <w:bookmarkStart w:id="51" w:name="architettura-di-una-rete-gsm"/>
    <w:p>
      <w:pPr>
        <w:pStyle w:val="Heading1"/>
      </w:pPr>
      <w:r>
        <w:t xml:space="preserve">Architettura di una rete GSM</w:t>
      </w:r>
    </w:p>
    <w:p>
      <w:pPr>
        <w:pStyle w:val="FirstParagraph"/>
      </w:pPr>
      <w:r>
        <w:t xml:space="preserve">![[Pasted image 20230928165417.png]]</w:t>
      </w:r>
    </w:p>
    <w:p>
      <w:pPr>
        <w:pStyle w:val="BodyText"/>
      </w:pPr>
      <w:r>
        <w:t xml:space="preserve">Nel disegnare l’architettura della rete GSM, si pone molta enfasi nel far sì che l’accesso alla rete sia il più seamless possibile. I dispositivi in grado di utilizzare una rete GSM devono seguire gli standard imposti dalla commissione GSM; innovazioni come il roaming internazionali vengono garantiti, oltre che dall’architettura stessa, dal modo con cui vengono identificati gli utenti che usufruiscono della rete. Si introducono quindi due identificativi:</w:t>
      </w:r>
      <w:r>
        <w:t xml:space="preserve"> </w:t>
      </w:r>
      <w:r>
        <w:t xml:space="preserve">-</w:t>
      </w:r>
      <w:r>
        <w:t xml:space="preserve"> </w:t>
      </w:r>
      <w:r>
        <w:rPr>
          <w:b/>
          <w:bCs/>
        </w:rPr>
        <w:t xml:space="preserve">IMEI</w:t>
      </w:r>
      <w:r>
        <w:t xml:space="preserve"> </w:t>
      </w:r>
      <w:r>
        <w:t xml:space="preserve">(International Mobile Equipment Identity) per individuare in modo univoco il dispositivo;</w:t>
      </w:r>
      <w:r>
        <w:t xml:space="preserve"> </w:t>
      </w:r>
      <w:r>
        <w:t xml:space="preserve">-</w:t>
      </w:r>
      <w:r>
        <w:t xml:space="preserve"> </w:t>
      </w:r>
      <w:r>
        <w:rPr>
          <w:b/>
          <w:bCs/>
        </w:rPr>
        <w:t xml:space="preserve">IMSI</w:t>
      </w:r>
      <w:r>
        <w:t xml:space="preserve"> </w:t>
      </w:r>
      <w:r>
        <w:t xml:space="preserve">(International Mobile Subscriber Identity) per individuare in modo univoco l’utenza (contenuto nella SIM).</w:t>
      </w:r>
    </w:p>
    <w:bookmarkStart w:id="49" w:name="apparati-dellarchitettura-gsm"/>
    <w:p>
      <w:pPr>
        <w:pStyle w:val="Heading2"/>
      </w:pPr>
      <w:r>
        <w:t xml:space="preserve">Apparati dell’architettura GSM</w:t>
      </w:r>
    </w:p>
    <w:bookmarkStart w:id="40" w:name="access-network"/>
    <w:p>
      <w:pPr>
        <w:pStyle w:val="Heading3"/>
      </w:pPr>
      <w:r>
        <w:t xml:space="preserve">Access Network</w:t>
      </w:r>
    </w:p>
    <w:bookmarkStart w:id="38" w:name="bts"/>
    <w:p>
      <w:pPr>
        <w:pStyle w:val="Heading4"/>
      </w:pPr>
      <w:r>
        <w:t xml:space="preserve">BTS</w:t>
      </w:r>
    </w:p>
    <w:p>
      <w:pPr>
        <w:pStyle w:val="FirstParagraph"/>
      </w:pPr>
      <w:r>
        <w:rPr>
          <w:i/>
          <w:iCs/>
        </w:rPr>
        <w:t xml:space="preserve">Base Transceiver Station</w:t>
      </w:r>
    </w:p>
    <w:p>
      <w:pPr>
        <w:pStyle w:val="BodyText"/>
      </w:pPr>
      <w:r>
        <w:t xml:space="preserve">Identificata nell’antenna trasmittente, si occupa di gestire il segnale radio e l’accesso alla rete, come processing del segnale radio, encoding e decoding, crittografia, riconoscimento dell’utente e sincronizzazione con la core network.</w:t>
      </w:r>
    </w:p>
    <w:bookmarkEnd w:id="38"/>
    <w:bookmarkStart w:id="39" w:name="bsc"/>
    <w:p>
      <w:pPr>
        <w:pStyle w:val="Heading4"/>
      </w:pPr>
      <w:r>
        <w:t xml:space="preserve">BSC</w:t>
      </w:r>
    </w:p>
    <w:p>
      <w:pPr>
        <w:pStyle w:val="FirstParagraph"/>
      </w:pPr>
      <w:r>
        <w:rPr>
          <w:i/>
          <w:iCs/>
        </w:rPr>
        <w:t xml:space="preserve">Base Station Controller</w:t>
      </w:r>
    </w:p>
    <w:p>
      <w:pPr>
        <w:pStyle w:val="BodyText"/>
      </w:pPr>
      <w:r>
        <w:t xml:space="preserve">Analizzando i parametri radio (eg. qualità del segnale), gestisce le procedure di handover, cambio di frequenza etc di un gruppo di BTS.</w:t>
      </w:r>
    </w:p>
    <w:bookmarkEnd w:id="39"/>
    <w:bookmarkEnd w:id="40"/>
    <w:bookmarkStart w:id="48" w:name="core-network"/>
    <w:p>
      <w:pPr>
        <w:pStyle w:val="Heading3"/>
      </w:pPr>
      <w:r>
        <w:t xml:space="preserve">Core Network</w:t>
      </w:r>
    </w:p>
    <w:bookmarkStart w:id="44" w:name="msc---switching-routing"/>
    <w:p>
      <w:pPr>
        <w:pStyle w:val="Heading4"/>
      </w:pPr>
      <w:r>
        <w:t xml:space="preserve">MSC</w:t>
      </w:r>
      <w:r>
        <w:rPr>
          <w:rStyle w:val="FootnoteReference"/>
        </w:rPr>
        <w:footnoteReference w:id="41"/>
      </w:r>
      <w:r>
        <w:t xml:space="preserve"> </w:t>
      </w:r>
      <w:r>
        <w:t xml:space="preserve">- Switching &amp; Routing</w:t>
      </w:r>
    </w:p>
    <w:p>
      <w:pPr>
        <w:pStyle w:val="BodyText"/>
      </w:pPr>
      <w:r>
        <w:rPr>
          <w:i/>
          <w:iCs/>
        </w:rPr>
        <w:t xml:space="preserve">Mobile Switching Center</w:t>
      </w:r>
    </w:p>
    <w:p>
      <w:pPr>
        <w:pStyle w:val="BodyText"/>
      </w:pPr>
      <w:r>
        <w:t xml:space="preserve">Si tratta dell’elemento più importante della core network: gestisce il routing e lo switch del traffico generato dagli utenti</w:t>
      </w:r>
      <w:r>
        <w:rPr>
          <w:rStyle w:val="FootnoteReference"/>
        </w:rPr>
        <w:footnoteReference w:id="42"/>
      </w:r>
      <w:r>
        <w:t xml:space="preserve"> </w:t>
      </w:r>
      <w:r>
        <w:t xml:space="preserve">e l’allocazione delle risorse radio (oltre che la gestione della mobilità)</w:t>
      </w:r>
      <w:r>
        <w:rPr>
          <w:rStyle w:val="FootnoteReference"/>
        </w:rPr>
        <w:footnoteReference w:id="43"/>
      </w:r>
      <w:r>
        <w:t xml:space="preserve">.</w:t>
      </w:r>
    </w:p>
    <w:bookmarkEnd w:id="44"/>
    <w:bookmarkStart w:id="46" w:name="gmsc---switching-routing"/>
    <w:p>
      <w:pPr>
        <w:pStyle w:val="Heading4"/>
      </w:pPr>
      <w:r>
        <w:t xml:space="preserve">GMSC - Switching &amp; Routing</w:t>
      </w:r>
    </w:p>
    <w:p>
      <w:pPr>
        <w:pStyle w:val="FirstParagraph"/>
      </w:pPr>
      <w:r>
        <w:rPr>
          <w:i/>
          <w:iCs/>
        </w:rPr>
        <w:t xml:space="preserve">Gateway MSC</w:t>
      </w:r>
    </w:p>
    <w:p>
      <w:pPr>
        <w:pStyle w:val="BodyText"/>
      </w:pPr>
      <w:r>
        <w:t xml:space="preserve">Si tratta di un particolare Mobile Switching Center che consente l’interfacciamento con altre reti</w:t>
      </w:r>
      <w:r>
        <w:rPr>
          <w:rStyle w:val="FootnoteReference"/>
        </w:rPr>
        <w:footnoteReference w:id="45"/>
      </w:r>
      <w:r>
        <w:t xml:space="preserve">.</w:t>
      </w:r>
    </w:p>
    <w:bookmarkEnd w:id="46"/>
    <w:bookmarkStart w:id="47" w:name="eir-auc-hlr-vlr---databases"/>
    <w:p>
      <w:pPr>
        <w:pStyle w:val="Heading4"/>
      </w:pPr>
      <w:r>
        <w:t xml:space="preserve">EIR, AUC, HLR, VLR - Databases</w:t>
      </w:r>
    </w:p>
    <w:p>
      <w:pPr>
        <w:pStyle w:val="FirstParagraph"/>
      </w:pPr>
      <w:r>
        <w:rPr>
          <w:i/>
          <w:iCs/>
        </w:rPr>
        <w:t xml:space="preserve">Equipment Identity Register</w:t>
      </w:r>
      <w:r>
        <w:t xml:space="preserve">,</w:t>
      </w:r>
      <w:r>
        <w:t xml:space="preserve"> </w:t>
      </w:r>
      <w:r>
        <w:rPr>
          <w:i/>
          <w:iCs/>
        </w:rPr>
        <w:t xml:space="preserve">Autentication Center</w:t>
      </w:r>
      <w:r>
        <w:t xml:space="preserve">,</w:t>
      </w:r>
      <w:r>
        <w:t xml:space="preserve"> </w:t>
      </w:r>
      <w:r>
        <w:rPr>
          <w:i/>
          <w:iCs/>
        </w:rPr>
        <w:t xml:space="preserve">Home Loation Register</w:t>
      </w:r>
      <w:r>
        <w:t xml:space="preserve">,</w:t>
      </w:r>
      <w:r>
        <w:t xml:space="preserve"> </w:t>
      </w:r>
      <w:r>
        <w:rPr>
          <w:i/>
          <w:iCs/>
        </w:rPr>
        <w:t xml:space="preserve">Visitor Location Register</w:t>
      </w:r>
    </w:p>
    <w:p>
      <w:pPr>
        <w:pStyle w:val="Compact"/>
        <w:numPr>
          <w:ilvl w:val="0"/>
          <w:numId w:val="1002"/>
        </w:numPr>
      </w:pPr>
      <w:r>
        <w:rPr>
          <w:b/>
          <w:bCs/>
        </w:rPr>
        <w:t xml:space="preserve">HLR</w:t>
      </w:r>
      <w:r>
        <w:t xml:space="preserve">: si tratta del database master con le informazioni di tutti gli utenti;</w:t>
      </w:r>
    </w:p>
    <w:p>
      <w:pPr>
        <w:pStyle w:val="Compact"/>
        <w:numPr>
          <w:ilvl w:val="0"/>
          <w:numId w:val="1002"/>
        </w:numPr>
      </w:pPr>
      <w:r>
        <w:rPr>
          <w:b/>
          <w:bCs/>
        </w:rPr>
        <w:t xml:space="preserve">VLR</w:t>
      </w:r>
      <w:r>
        <w:t xml:space="preserve">: si tratta di copie</w:t>
      </w:r>
      <w:r>
        <w:t xml:space="preserve"> </w:t>
      </w:r>
      <w:r>
        <w:t xml:space="preserve">“locali”</w:t>
      </w:r>
      <w:r>
        <w:t xml:space="preserve"> </w:t>
      </w:r>
      <w:r>
        <w:t xml:space="preserve">degli HLR (informazioni solo sugli utenti serviti da quella cella), geograficamente distribuite;</w:t>
      </w:r>
    </w:p>
    <w:p>
      <w:pPr>
        <w:pStyle w:val="Compact"/>
        <w:numPr>
          <w:ilvl w:val="0"/>
          <w:numId w:val="1002"/>
        </w:numPr>
      </w:pPr>
      <w:r>
        <w:rPr>
          <w:b/>
          <w:bCs/>
        </w:rPr>
        <w:t xml:space="preserve">EIR</w:t>
      </w:r>
      <w:r>
        <w:t xml:space="preserve"> </w:t>
      </w:r>
      <w:r>
        <w:t xml:space="preserve">e</w:t>
      </w:r>
      <w:r>
        <w:t xml:space="preserve"> </w:t>
      </w:r>
      <w:r>
        <w:rPr>
          <w:b/>
          <w:bCs/>
        </w:rPr>
        <w:t xml:space="preserve">AUC</w:t>
      </w:r>
      <w:r>
        <w:t xml:space="preserve">: sono apparati deputati a svolgere operazioni di autenticazione e crittografia.</w:t>
      </w:r>
    </w:p>
    <w:bookmarkEnd w:id="47"/>
    <w:bookmarkEnd w:id="48"/>
    <w:bookmarkEnd w:id="49"/>
    <w:bookmarkStart w:id="50" w:name="gestione-della-mobilità-handover"/>
    <w:p>
      <w:pPr>
        <w:pStyle w:val="Heading2"/>
      </w:pPr>
      <w:r>
        <w:t xml:space="preserve">Gestione della mobilità (handover)</w:t>
      </w:r>
    </w:p>
    <w:p>
      <w:pPr>
        <w:pStyle w:val="FirstParagraph"/>
      </w:pPr>
      <w:r>
        <w:t xml:space="preserve">Un punto di particolare rilievo nelle reti di seconda generazione è rappresentato dalla gestione della mobilità dell’utente, che garantisce la continuità del servizio anche in caso di movimento (sia nell’area della stessa cella, che in celle vicine). Questo viene realizzato, innanzitutto, con un meccanismo di signaling tra la Mobile Station e la BTS della posizione del primo, aggiornata in modo costante all’interno dei databases (HLR, VLR), in modo da poter implementare il meccanismo di</w:t>
      </w:r>
      <w:r>
        <w:t xml:space="preserve"> </w:t>
      </w:r>
      <w:r>
        <w:rPr>
          <w:i/>
          <w:iCs/>
        </w:rPr>
        <w:t xml:space="preserve">paging</w:t>
      </w:r>
      <w:r>
        <w:t xml:space="preserve">, cioè il processo di ricerca, all’interno della rete, di uno specifico utente (in modo da poter creare in circuito per raggiungere tale utente).</w:t>
      </w:r>
    </w:p>
    <w:p>
      <w:pPr>
        <w:pStyle w:val="BodyText"/>
      </w:pPr>
      <w:r>
        <w:t xml:space="preserve">Come anticipato, si vuole che la connessione alla rete sia</w:t>
      </w:r>
      <w:r>
        <w:t xml:space="preserve"> </w:t>
      </w:r>
      <w:r>
        <w:rPr>
          <w:i/>
          <w:iCs/>
        </w:rPr>
        <w:t xml:space="preserve">seamless</w:t>
      </w:r>
      <w:r>
        <w:t xml:space="preserve">: questo viene garantito dalla procedura di</w:t>
      </w:r>
      <w:r>
        <w:t xml:space="preserve"> </w:t>
      </w:r>
      <w:r>
        <w:rPr>
          <w:i/>
          <w:iCs/>
        </w:rPr>
        <w:t xml:space="preserve">handover</w:t>
      </w:r>
      <w:r>
        <w:t xml:space="preserve">, in modo che anche in situazioni critiche (eg. quando un utente sta effettuando una telefonata) la continuità di servizio sia garantita. Si hanno tre possibilità di handover:</w:t>
      </w:r>
      <w:r>
        <w:t xml:space="preserve"> </w:t>
      </w:r>
      <w:r>
        <w:t xml:space="preserve">-</w:t>
      </w:r>
      <w:r>
        <w:t xml:space="preserve"> </w:t>
      </w:r>
      <w:r>
        <w:rPr>
          <w:b/>
          <w:bCs/>
        </w:rPr>
        <w:t xml:space="preserve">intra-cell</w:t>
      </w:r>
      <w:r>
        <w:t xml:space="preserve">: nell’ambito della stessa cella, solitamente indica un cambio di frequenza e/o di timeslot (a carico del BSC);</w:t>
      </w:r>
      <w:r>
        <w:t xml:space="preserve"> </w:t>
      </w:r>
      <w:r>
        <w:t xml:space="preserve">-</w:t>
      </w:r>
      <w:r>
        <w:t xml:space="preserve"> </w:t>
      </w:r>
      <w:r>
        <w:rPr>
          <w:b/>
          <w:bCs/>
        </w:rPr>
        <w:t xml:space="preserve">inter-cell</w:t>
      </w:r>
      <w:r>
        <w:t xml:space="preserve">: nell’ambito di due celle diverse, nell’ambito dello stesso BSC (a carico del BSC);</w:t>
      </w:r>
      <w:r>
        <w:t xml:space="preserve"> </w:t>
      </w:r>
      <w:r>
        <w:t xml:space="preserve">-</w:t>
      </w:r>
      <w:r>
        <w:t xml:space="preserve"> </w:t>
      </w:r>
      <w:r>
        <w:rPr>
          <w:b/>
          <w:bCs/>
        </w:rPr>
        <w:t xml:space="preserve">inter-BSC</w:t>
      </w:r>
      <w:r>
        <w:t xml:space="preserve">: caso raro, nell’ambito di due celle diverse, gestite da due BSC diverse (a carico dei BSC e MSC).</w:t>
      </w:r>
    </w:p>
    <w:bookmarkEnd w:id="50"/>
    <w:bookmarkEnd w:id="51"/>
    <w:bookmarkStart w:id="56" w:name="evoluzioni-di-gsm"/>
    <w:p>
      <w:pPr>
        <w:pStyle w:val="Heading1"/>
      </w:pPr>
      <w:r>
        <w:t xml:space="preserve">Evoluzioni di GSM</w:t>
      </w:r>
    </w:p>
    <w:p>
      <w:pPr>
        <w:pStyle w:val="FirstParagraph"/>
      </w:pPr>
      <w:r>
        <w:rPr>
          <w:i/>
          <w:iCs/>
        </w:rPr>
        <w:t xml:space="preserve">Una evoluzione intermedia tra GSM e GPRS viene individuata da HSCSD (Hisgh Speed Circuit Switched Data), di cui non viene effettuata trattazione.</w:t>
      </w:r>
    </w:p>
    <w:bookmarkStart w:id="53" w:name="gprs"/>
    <w:p>
      <w:pPr>
        <w:pStyle w:val="Heading2"/>
      </w:pPr>
      <w:r>
        <w:t xml:space="preserve">GPRS</w:t>
      </w:r>
    </w:p>
    <w:p>
      <w:pPr>
        <w:pStyle w:val="FirstParagraph"/>
      </w:pPr>
      <w:r>
        <w:t xml:space="preserve">Con GPRS si modifica l’architettura della rete GSM, introducendo la capacità di poter avere commutazione di pacchetto</w:t>
      </w:r>
      <w:r>
        <w:rPr>
          <w:rStyle w:val="FootnoteReference"/>
        </w:rPr>
        <w:footnoteReference w:id="52"/>
      </w:r>
      <w:r>
        <w:t xml:space="preserve">.</w:t>
      </w:r>
    </w:p>
    <w:p>
      <w:pPr>
        <w:pStyle w:val="BodyText"/>
      </w:pPr>
      <w:r>
        <w:t xml:space="preserve">![[Pasted image 20230928180859.png]]</w:t>
      </w:r>
    </w:p>
    <w:p>
      <w:pPr>
        <w:pStyle w:val="BodyText"/>
      </w:pPr>
      <w:r>
        <w:t xml:space="preserve">Nel contesto di GPRS, l’architettura di rete vede l’aggiunta di altri apparati: questo serve per garantire la raggiungibilità anche di reti nel</w:t>
      </w:r>
      <w:r>
        <w:t xml:space="preserve"> </w:t>
      </w:r>
      <w:r>
        <w:t xml:space="preserve">“dominio”</w:t>
      </w:r>
      <w:r>
        <w:t xml:space="preserve"> </w:t>
      </w:r>
      <w:r>
        <w:t xml:space="preserve">della commutazione a pacchetto. Nel dettaglio, questi apparati sono:</w:t>
      </w:r>
      <w:r>
        <w:t xml:space="preserve"> </w:t>
      </w:r>
      <w:r>
        <w:t xml:space="preserve">-</w:t>
      </w:r>
      <w:r>
        <w:t xml:space="preserve"> </w:t>
      </w:r>
      <w:r>
        <w:rPr>
          <w:b/>
          <w:bCs/>
        </w:rPr>
        <w:t xml:space="preserve">PCU</w:t>
      </w:r>
      <w:r>
        <w:t xml:space="preserve"> </w:t>
      </w:r>
      <w:r>
        <w:t xml:space="preserve">(Packet Control Unit): un’estensione del BSC per gestire la trasmissione di pacchetti;</w:t>
      </w:r>
      <w:r>
        <w:t xml:space="preserve"> </w:t>
      </w:r>
      <w:r>
        <w:t xml:space="preserve">-</w:t>
      </w:r>
      <w:r>
        <w:t xml:space="preserve"> </w:t>
      </w:r>
      <w:r>
        <w:rPr>
          <w:b/>
          <w:bCs/>
        </w:rPr>
        <w:t xml:space="preserve">SGSN</w:t>
      </w:r>
      <w:r>
        <w:t xml:space="preserve"> </w:t>
      </w:r>
      <w:r>
        <w:t xml:space="preserve">(Serving GPRS Support Node): gestisce routing e forwarding (user plane) dei pacchetti, oltre a gestire il control plane;</w:t>
      </w:r>
      <w:r>
        <w:t xml:space="preserve"> </w:t>
      </w:r>
      <w:r>
        <w:t xml:space="preserve">-</w:t>
      </w:r>
      <w:r>
        <w:t xml:space="preserve"> </w:t>
      </w:r>
      <w:r>
        <w:rPr>
          <w:b/>
          <w:bCs/>
        </w:rPr>
        <w:t xml:space="preserve">GGSN</w:t>
      </w:r>
      <w:r>
        <w:t xml:space="preserve"> </w:t>
      </w:r>
      <w:r>
        <w:t xml:space="preserve">(Gateway GPRS Support Node): funge da gateway per internet (implementa funzionalità quali NAT e Firewall) e si occupa della conversione dei pacchetti nel formato PDP (Packet Data Protocol).</w:t>
      </w:r>
    </w:p>
    <w:p>
      <w:pPr>
        <w:pStyle w:val="BodyText"/>
      </w:pPr>
      <w:r>
        <w:t xml:space="preserve">Inoltre, i database già implementati devono poter gestire nuove informazioni (eg. indirizzo IP di MS, profilo QoS etc). Le funzionalità della commutazione di pacchetto vengono implementate da MS, SGSN e GGSN, implementando lo stack TCP/IP. In particolare, i pacchetti IP standard sono incapsulati in GTP (GPRS Tunneling Protocol) per consentire l’interfacciamento con la backbone GPRS.</w:t>
      </w:r>
    </w:p>
    <w:p>
      <w:pPr>
        <w:pStyle w:val="BodyText"/>
      </w:pPr>
      <w:r>
        <w:t xml:space="preserve">Viene introdotto un nuovo set di metodi di codifica, in modo da poter aumentare l’affidabilità o il data rate in base alle condizioni del canale.</w:t>
      </w:r>
    </w:p>
    <w:bookmarkEnd w:id="53"/>
    <w:bookmarkStart w:id="55" w:name="Xea38c12a2d9fabb9528bdd0ba86a73c20a8a078"/>
    <w:p>
      <w:pPr>
        <w:pStyle w:val="Heading2"/>
      </w:pPr>
      <w:r>
        <w:t xml:space="preserve">EDGE (Enhanced Data Rates for GSM Evolution)</w:t>
      </w:r>
    </w:p>
    <w:p>
      <w:pPr>
        <w:pStyle w:val="FirstParagraph"/>
      </w:pPr>
      <w:r>
        <w:t xml:space="preserve">Se con GPRS si ha un’evoluzione della backbone, con EDGE l’architettura di rete non viene modificata. A cambiare è la parte radio, con l’introduzione di nuove combinazioni di modulazioni e codifica (viene introdotta la modulazione 8-PSK in sostituzione della modulazione GMSK: da 1 bit per simbolo a 3 bit per simbolo</w:t>
      </w:r>
      <w:r>
        <w:rPr>
          <w:rStyle w:val="FootnoteReference"/>
        </w:rPr>
        <w:footnoteReference w:id="54"/>
      </w:r>
      <w:r>
        <w:t xml:space="preserve">). Inoltre, in ripresa del lavoro fatto con GPRS, gli schemi di modulazione e codifica sono scelti dinamicamente durante una trasmissione, al variare delle condizioni del canale.</w:t>
      </w:r>
    </w:p>
    <w:p>
      <w:pPr>
        <w:pStyle w:val="BodyText"/>
      </w:pPr>
      <w:r>
        <w:rPr>
          <w:i/>
          <w:iCs/>
        </w:rPr>
        <w:t xml:space="preserve">Questo argomento è stato trattato in #5gNetwork</w:t>
      </w:r>
      <w:r>
        <w:t xml:space="preserve"> </w:t>
      </w:r>
      <w:r>
        <w:t xml:space="preserve">***</w:t>
      </w:r>
    </w:p>
    <w:bookmarkEnd w:id="55"/>
    <w:bookmarkEnd w:id="56"/>
    <w:bookmarkStart w:id="58" w:name="nascita-del-3g"/>
    <w:p>
      <w:pPr>
        <w:pStyle w:val="Heading1"/>
      </w:pPr>
      <w:r>
        <w:t xml:space="preserve">Nascita del 3G</w:t>
      </w:r>
    </w:p>
    <w:p>
      <w:pPr>
        <w:pStyle w:val="FirstParagraph"/>
      </w:pPr>
      <w:r>
        <w:t xml:space="preserve">Con le reti mobili di terza generazione si cerca di superare la principale debolezza del 2G: il basso data rate; ciò avviene anche in un’ottica di</w:t>
      </w:r>
      <w:r>
        <w:t xml:space="preserve"> </w:t>
      </w:r>
      <w:r>
        <w:t xml:space="preserve">“emulazione”</w:t>
      </w:r>
      <w:r>
        <w:t xml:space="preserve"> </w:t>
      </w:r>
      <w:r>
        <w:t xml:space="preserve">delle tecnologie di cui si dispone già nell’ambiente domestico (ADSL).</w:t>
      </w:r>
    </w:p>
    <w:p>
      <w:pPr>
        <w:pStyle w:val="BodyText"/>
      </w:pPr>
      <w:r>
        <w:t xml:space="preserve">Nasce così un nuovo standard, internazionale, a cura dell’ITU, nel documento</w:t>
      </w:r>
      <w:r>
        <w:t xml:space="preserve"> </w:t>
      </w:r>
      <w:r>
        <w:rPr>
          <w:i/>
          <w:iCs/>
        </w:rPr>
        <w:t xml:space="preserve">IMT-2000</w:t>
      </w:r>
      <w:r>
        <w:t xml:space="preserve"> </w:t>
      </w:r>
      <w:r>
        <w:t xml:space="preserve">e lo sviluppo è guidato dal 3GPP. Diverse implementazione sono</w:t>
      </w:r>
      <w:r>
        <w:t xml:space="preserve"> </w:t>
      </w:r>
      <w:r>
        <w:rPr>
          <w:i/>
          <w:iCs/>
        </w:rPr>
        <w:t xml:space="preserve">compliant</w:t>
      </w:r>
      <w:r>
        <w:t xml:space="preserve"> </w:t>
      </w:r>
      <w:r>
        <w:t xml:space="preserve">con quando definito dall’IMT-2000:</w:t>
      </w:r>
      <w:r>
        <w:t xml:space="preserve"> </w:t>
      </w:r>
      <w:r>
        <w:t xml:space="preserve">-</w:t>
      </w:r>
      <w:r>
        <w:t xml:space="preserve"> </w:t>
      </w:r>
      <w:r>
        <w:rPr>
          <w:b/>
          <w:bCs/>
        </w:rPr>
        <w:t xml:space="preserve">UMTS</w:t>
      </w:r>
      <w:r>
        <w:t xml:space="preserve"> </w:t>
      </w:r>
      <w:r>
        <w:t xml:space="preserve">(Universal Mobile Telecommunication System), in Europa;</w:t>
      </w:r>
      <w:r>
        <w:t xml:space="preserve"> </w:t>
      </w:r>
      <w:r>
        <w:t xml:space="preserve">-</w:t>
      </w:r>
      <w:r>
        <w:t xml:space="preserve"> </w:t>
      </w:r>
      <w:r>
        <w:rPr>
          <w:b/>
          <w:bCs/>
        </w:rPr>
        <w:t xml:space="preserve">CDMA2000</w:t>
      </w:r>
      <w:r>
        <w:t xml:space="preserve">, negli Stati Uniti e in Corea del Sud.</w:t>
      </w:r>
    </w:p>
    <w:bookmarkStart w:id="57" w:name="requisiti-del-3g"/>
    <w:p>
      <w:pPr>
        <w:pStyle w:val="Heading2"/>
      </w:pPr>
      <w:r>
        <w:t xml:space="preserve">Requisiti del 3G</w:t>
      </w:r>
    </w:p>
    <w:p>
      <w:pPr>
        <w:pStyle w:val="Compact"/>
        <w:numPr>
          <w:ilvl w:val="0"/>
          <w:numId w:val="1003"/>
        </w:numPr>
      </w:pPr>
      <w:r>
        <w:t xml:space="preserve">Data rate minimo di 144 kbps, fino a 2 Mbps, variabile e con allocazione dinamica della banda;</w:t>
      </w:r>
    </w:p>
    <w:p>
      <w:pPr>
        <w:pStyle w:val="Compact"/>
        <w:numPr>
          <w:ilvl w:val="0"/>
          <w:numId w:val="1003"/>
        </w:numPr>
      </w:pPr>
      <w:r>
        <w:t xml:space="preserve">multiplexing di servizi diversi con diverse QoS;</w:t>
      </w:r>
    </w:p>
    <w:p>
      <w:pPr>
        <w:pStyle w:val="Compact"/>
        <w:numPr>
          <w:ilvl w:val="0"/>
          <w:numId w:val="1003"/>
        </w:numPr>
      </w:pPr>
      <w:r>
        <w:t xml:space="preserve">error rate dal 10% dei frame a</w:t>
      </w:r>
      <w:r>
        <w:t xml:space="preserve"> </w:t>
      </w:r>
      <m:oMath>
        <m:sSup>
          <m:e>
            <m:r>
              <m:t>10</m:t>
            </m:r>
          </m:e>
          <m:sup>
            <m:r>
              <m:rPr>
                <m:sty m:val="p"/>
              </m:rPr>
              <m:t>−</m:t>
            </m:r>
            <m:r>
              <m:t>6</m:t>
            </m:r>
          </m:sup>
        </m:sSup>
      </m:oMath>
      <w:r>
        <w:t xml:space="preserve"> </w:t>
      </w:r>
      <w:r>
        <w:t xml:space="preserve">bit;</w:t>
      </w:r>
    </w:p>
    <w:p>
      <w:pPr>
        <w:pStyle w:val="Compact"/>
        <w:numPr>
          <w:ilvl w:val="0"/>
          <w:numId w:val="1003"/>
        </w:numPr>
      </w:pPr>
      <w:r>
        <w:t xml:space="preserve">interoperabilità con le reti di seconda generazione (per questioni di load balancing e handover);</w:t>
      </w:r>
    </w:p>
    <w:p>
      <w:pPr>
        <w:pStyle w:val="Compact"/>
        <w:numPr>
          <w:ilvl w:val="0"/>
          <w:numId w:val="1003"/>
        </w:numPr>
      </w:pPr>
      <w:r>
        <w:t xml:space="preserve">supporto per velocità in downlink e uplink asimmetriche.</w:t>
      </w:r>
    </w:p>
    <w:bookmarkEnd w:id="57"/>
    <w:bookmarkEnd w:id="58"/>
    <w:bookmarkStart w:id="62" w:name="umts-e-cdma"/>
    <w:p>
      <w:pPr>
        <w:pStyle w:val="Heading1"/>
      </w:pPr>
      <w:r>
        <w:t xml:space="preserve">UMTS e CDMA</w:t>
      </w:r>
    </w:p>
    <w:p>
      <w:pPr>
        <w:pStyle w:val="FirstParagraph"/>
      </w:pPr>
      <w:r>
        <w:t xml:space="preserve">UMTS è noto anche come WCDMA, cioè</w:t>
      </w:r>
      <w:r>
        <w:t xml:space="preserve"> </w:t>
      </w:r>
      <w:r>
        <w:rPr>
          <w:i/>
          <w:iCs/>
        </w:rPr>
        <w:t xml:space="preserve">Wideband</w:t>
      </w:r>
      <w:r>
        <w:rPr>
          <w:rStyle w:val="FootnoteReference"/>
        </w:rPr>
        <w:footnoteReference w:id="59"/>
      </w:r>
      <w:r>
        <w:rPr>
          <w:i/>
          <w:iCs/>
        </w:rPr>
        <w:t xml:space="preserve"> </w:t>
      </w:r>
      <w:r>
        <w:rPr>
          <w:i/>
          <w:iCs/>
        </w:rPr>
        <w:t xml:space="preserve">CDMA</w:t>
      </w:r>
      <w:r>
        <w:rPr>
          <w:rStyle w:val="FootnoteReference"/>
        </w:rPr>
        <w:footnoteReference w:id="60"/>
      </w:r>
      <w:r>
        <w:t xml:space="preserve">. L’implementazione di CDMA comporta numerosi vantaggi, tra cui una maggiore possibilità di riuso delle frequenze, celle più piccole con una copertura più affidabile e una più bassa potenza di trasmissione richiesta; tuttavia, è richiesto un più rigido controllo della potenza. Inoltre, con CDMA si passa a delle trasmissioni simultanee non più divise su base tempo o su base tempo, proprio grazie all’introduzione del codice</w:t>
      </w:r>
      <w:r>
        <w:rPr>
          <w:rStyle w:val="FootnoteReference"/>
        </w:rPr>
        <w:footnoteReference w:id="61"/>
      </w:r>
      <w:r>
        <w:t xml:space="preserve">:</w:t>
      </w:r>
    </w:p>
    <w:p>
      <w:pPr>
        <w:pStyle w:val="BodyText"/>
      </w:pPr>
      <w:r>
        <w:t xml:space="preserve">![[Pasted image 20231005165106.png]]</w:t>
      </w:r>
    </w:p>
    <w:p>
      <w:pPr>
        <w:pStyle w:val="BodyText"/>
      </w:pPr>
      <w:r>
        <w:t xml:space="preserve">L’accesso multiplo, in CDMA, avviene mediante l’uso di</w:t>
      </w:r>
      <w:r>
        <w:t xml:space="preserve"> </w:t>
      </w:r>
      <w:r>
        <w:rPr>
          <w:b/>
          <w:bCs/>
        </w:rPr>
        <w:t xml:space="preserve">codici</w:t>
      </w:r>
      <w:r>
        <w:t xml:space="preserve"> </w:t>
      </w:r>
      <w:r>
        <w:t xml:space="preserve">impressi sulla forma d’onda da trasmettere che, per nell’implementazione di UMTS, sono due,</w:t>
      </w:r>
      <w:r>
        <w:t xml:space="preserve"> </w:t>
      </w:r>
      <w:r>
        <w:t xml:space="preserve">-</w:t>
      </w:r>
      <w:r>
        <w:t xml:space="preserve"> </w:t>
      </w:r>
      <w:r>
        <w:rPr>
          <w:b/>
          <w:bCs/>
        </w:rPr>
        <w:t xml:space="preserve">channelization code</w:t>
      </w:r>
      <w:r>
        <w:t xml:space="preserve"> </w:t>
      </w:r>
      <w:r>
        <w:t xml:space="preserve">??? ;</w:t>
      </w:r>
      <w:r>
        <w:t xml:space="preserve"> </w:t>
      </w:r>
      <w:r>
        <w:t xml:space="preserve">-</w:t>
      </w:r>
      <w:r>
        <w:t xml:space="preserve"> </w:t>
      </w:r>
      <w:r>
        <w:rPr>
          <w:b/>
          <w:bCs/>
        </w:rPr>
        <w:t xml:space="preserve">scrambling code</w:t>
      </w:r>
      <w:r>
        <w:t xml:space="preserve">, necessario per separare i flussi trasmissivi di più utenti.</w:t>
      </w:r>
    </w:p>
    <w:p>
      <w:pPr>
        <w:pStyle w:val="BodyText"/>
      </w:pPr>
      <w:r>
        <w:t xml:space="preserve">![[msedge_KrkQM5vlVm.png]]</w:t>
      </w:r>
    </w:p>
    <w:bookmarkEnd w:id="62"/>
    <w:bookmarkStart w:id="70" w:name="controllo-della-potenza-nel-3g"/>
    <w:p>
      <w:pPr>
        <w:pStyle w:val="Heading1"/>
      </w:pPr>
      <w:r>
        <w:t xml:space="preserve">Controllo della potenza nel 3G</w:t>
      </w:r>
    </w:p>
    <w:bookmarkStart w:id="64" w:name="trasmissioni-multipath"/>
    <w:p>
      <w:pPr>
        <w:pStyle w:val="Heading2"/>
      </w:pPr>
      <w:r>
        <w:t xml:space="preserve">Trasmissioni multipath</w:t>
      </w:r>
    </w:p>
    <w:p>
      <w:pPr>
        <w:pStyle w:val="FirstParagraph"/>
      </w:pPr>
      <w:r>
        <w:t xml:space="preserve">Con</w:t>
      </w:r>
      <w:r>
        <w:t xml:space="preserve"> </w:t>
      </w:r>
      <w:r>
        <w:rPr>
          <w:i/>
          <w:iCs/>
        </w:rPr>
        <w:t xml:space="preserve">trasmissione multipath</w:t>
      </w:r>
      <w:r>
        <w:t xml:space="preserve"> </w:t>
      </w:r>
      <w:r>
        <w:t xml:space="preserve">si intende ciò che accade al segnale durante una trasmissione in un ambiente reale. Le onde elettromagnetiche che lo costituiscono, infatti, non hanno la tendenza a viaggiare in linea retta, ma subiscono una serie di fenomeni, quali rifrazione, riflessione e attuazione, che deviano il normale percorso dell’onda, introducendo del ritardo e potendo causare la perdita di quanto si è trasmesso.</w:t>
      </w:r>
    </w:p>
    <w:p>
      <w:pPr>
        <w:pStyle w:val="BodyText"/>
      </w:pPr>
      <w:r>
        <w:t xml:space="preserve">Potenzialmente, le conseguenze della trasmissione multipath possono portare alla trasmissione di ulteriori copie della stessa unità di dati, soggette ai medesimi fenomeni; con le reti di terza generazione, le multiple copie ricevute possono essere sfruttate in modo da creare un vantaggio. Questo diviene possibile grazie al fatto che i dispositivi UMTS sfruttano dei</w:t>
      </w:r>
      <w:r>
        <w:t xml:space="preserve"> </w:t>
      </w:r>
      <w:r>
        <w:rPr>
          <w:i/>
          <w:iCs/>
        </w:rPr>
        <w:t xml:space="preserve">rake receivers</w:t>
      </w:r>
      <w:r>
        <w:rPr>
          <w:rStyle w:val="FootnoteReference"/>
        </w:rPr>
        <w:footnoteReference w:id="63"/>
      </w:r>
      <w:r>
        <w:t xml:space="preserve"> </w:t>
      </w:r>
      <w:r>
        <w:t xml:space="preserve">che combinano le diverse copie ricevute.</w:t>
      </w:r>
    </w:p>
    <w:bookmarkEnd w:id="64"/>
    <w:bookmarkStart w:id="68" w:name="near-far-problem-bignote"/>
    <w:p>
      <w:pPr>
        <w:pStyle w:val="Heading2"/>
      </w:pPr>
      <w:r>
        <w:t xml:space="preserve">Near-far problem</w:t>
      </w:r>
      <w:r>
        <w:t xml:space="preserve"> </w:t>
      </w:r>
      <w:r>
        <w:rPr>
          <w:rStyle w:val="FootnoteReference"/>
        </w:rPr>
        <w:footnoteReference w:id="65"/>
      </w:r>
    </w:p>
    <w:p>
      <w:pPr>
        <w:pStyle w:val="BodyText"/>
      </w:pPr>
      <w:r>
        <w:t xml:space="preserve">Il corretto funzionamento di CDMA richiede che i diversi segnali che l’antenna riceve siano a medesima potenza; infatti, se un segnale avesse una potenza tanto maggiore di un altro, finirebbe per rendere inascoltabile il segnale a potenza minore.</w:t>
      </w:r>
    </w:p>
    <w:p>
      <w:pPr>
        <w:pStyle w:val="BodyText"/>
      </w:pPr>
      <w:r>
        <w:t xml:space="preserve">Per ovviare a tale problema, con CDMA si implementa il</w:t>
      </w:r>
      <w:r>
        <w:t xml:space="preserve"> </w:t>
      </w:r>
      <w:r>
        <w:rPr>
          <w:b/>
          <w:bCs/>
        </w:rPr>
        <w:t xml:space="preserve">controllo della potenza</w:t>
      </w:r>
      <w:r>
        <w:t xml:space="preserve">; la metrica fondamentale per realizzarlo è il</w:t>
      </w:r>
      <w:r>
        <w:t xml:space="preserve"> </w:t>
      </w:r>
      <w:r>
        <w:rPr>
          <w:rStyle w:val="VerbatimChar"/>
        </w:rPr>
        <w:t xml:space="preserve">SIR</w:t>
      </w:r>
      <w:r>
        <w:t xml:space="preserve">, cioè</w:t>
      </w:r>
      <w:r>
        <w:t xml:space="preserve"> </w:t>
      </w:r>
      <w:r>
        <w:rPr>
          <w:i/>
          <w:iCs/>
        </w:rPr>
        <w:t xml:space="preserve">Signal to Interference Ratio</w:t>
      </w:r>
      <w:r>
        <w:t xml:space="preserve">, che viene periodicamente comunicato tra stazione base e terminale per operare al livello ottimale di potenza.</w:t>
      </w:r>
    </w:p>
    <w:bookmarkStart w:id="66" w:name="closed-loop-aka-inner-loop"/>
    <w:p>
      <w:pPr>
        <w:pStyle w:val="Heading3"/>
      </w:pPr>
      <w:r>
        <w:t xml:space="preserve">Closed Loop (aka Inner Loop)</w:t>
      </w:r>
    </w:p>
    <w:p>
      <w:pPr>
        <w:pStyle w:val="FirstParagraph"/>
      </w:pPr>
      <w:r>
        <w:t xml:space="preserve">Il closed loop, nell’ambito del controllo della potenza, avviene sulla base di comunicazioni scambiate tra la stazione base e il terminale. Dopo aver stimato il SIR (per ogni terminale), si confronta questo con un SIR di riferimento (</w:t>
      </w:r>
      <w:r>
        <w:rPr>
          <w:i/>
          <w:iCs/>
        </w:rPr>
        <w:t xml:space="preserve">reference SIR</w:t>
      </w:r>
      <w:r>
        <w:t xml:space="preserve">) e:</w:t>
      </w:r>
      <w:r>
        <w:t xml:space="preserve"> </w:t>
      </w:r>
      <w:r>
        <w:t xml:space="preserve">- se il SIR stimato è</w:t>
      </w:r>
      <w:r>
        <w:t xml:space="preserve"> </w:t>
      </w:r>
      <w:r>
        <w:rPr>
          <w:b/>
          <w:bCs/>
        </w:rPr>
        <w:t xml:space="preserve">più alto</w:t>
      </w:r>
      <w:r>
        <w:t xml:space="preserve"> </w:t>
      </w:r>
      <w:r>
        <w:t xml:space="preserve">del SIR di riferimento, la stazione base ordinerà di</w:t>
      </w:r>
      <w:r>
        <w:t xml:space="preserve"> </w:t>
      </w:r>
      <w:r>
        <w:rPr>
          <w:b/>
          <w:bCs/>
        </w:rPr>
        <w:t xml:space="preserve">abbassare</w:t>
      </w:r>
      <w:r>
        <w:t xml:space="preserve"> </w:t>
      </w:r>
      <w:r>
        <w:t xml:space="preserve">la potenza di trasmissione del terminale;</w:t>
      </w:r>
      <w:r>
        <w:t xml:space="preserve"> </w:t>
      </w:r>
      <w:r>
        <w:t xml:space="preserve">- se il SIR stimato è</w:t>
      </w:r>
      <w:r>
        <w:t xml:space="preserve"> </w:t>
      </w:r>
      <w:r>
        <w:rPr>
          <w:b/>
          <w:bCs/>
        </w:rPr>
        <w:t xml:space="preserve">più basso</w:t>
      </w:r>
      <w:r>
        <w:t xml:space="preserve"> </w:t>
      </w:r>
      <w:r>
        <w:t xml:space="preserve">del SIR di riferimento, la stazione base ordinerà di</w:t>
      </w:r>
      <w:r>
        <w:t xml:space="preserve"> </w:t>
      </w:r>
      <w:r>
        <w:rPr>
          <w:b/>
          <w:bCs/>
        </w:rPr>
        <w:t xml:space="preserve">aumentare</w:t>
      </w:r>
      <w:r>
        <w:t xml:space="preserve"> </w:t>
      </w:r>
      <w:r>
        <w:t xml:space="preserve">la potenza di trasmissione al terminale.</w:t>
      </w:r>
    </w:p>
    <w:p>
      <w:pPr>
        <w:pStyle w:val="BodyText"/>
      </w:pPr>
      <w:r>
        <w:t xml:space="preserve">Questo ciclo di controllo è effettuato ad una frequenza di 1.5kHz (1500 volte al secondo); tale misura suggerisce un buon bilanciamento per far fronte alla mobilità degli utenti, senza aggiungere un overhead esagerato a carico della rete.</w:t>
      </w:r>
    </w:p>
    <w:p>
      <w:pPr>
        <w:pStyle w:val="BlockText"/>
      </w:pPr>
      <w:r>
        <w:t xml:space="preserve">[!danger] Power control nel closed loop</w:t>
      </w:r>
      <w:r>
        <w:t xml:space="preserve"> </w:t>
      </w:r>
      <w:r>
        <w:t xml:space="preserve">Il controllo della potenza è critico nell’uplink per risolvere il</w:t>
      </w:r>
      <w:r>
        <w:t xml:space="preserve"> </w:t>
      </w:r>
      <w:r>
        <w:rPr>
          <w:i/>
          <w:iCs/>
        </w:rPr>
        <w:t xml:space="preserve">near-far problem</w:t>
      </w:r>
      <w:r>
        <w:t xml:space="preserve">. Pur non esistendo, tale problema, in downlink, si implementa comunque in UMTS un controllo della potenza, in modo da raggiungere al meglio anche gli utenti a bordo cella, in modo da contrastare l’interferenza co-canale tra due celle adiacenti.</w:t>
      </w:r>
    </w:p>
    <w:bookmarkEnd w:id="66"/>
    <w:bookmarkStart w:id="67" w:name="outer-loop"/>
    <w:p>
      <w:pPr>
        <w:pStyle w:val="Heading3"/>
      </w:pPr>
      <w:r>
        <w:t xml:space="preserve">Outer Loop</w:t>
      </w:r>
    </w:p>
    <w:p>
      <w:pPr>
        <w:pStyle w:val="FirstParagraph"/>
      </w:pPr>
      <w:r>
        <w:t xml:space="preserve">Il controllo della potenza, tuttavia, non avviene solo a livello del closed loop, ma vi è un altro livello di controllo all’esterno di tale loop. L’outer loop coinvolge, infatti, la core network e ha la funzione di definire i SIR di riferimento, talvolta mediante parametri come la qualità di trasmissione e il bit error rate.</w:t>
      </w:r>
    </w:p>
    <w:bookmarkEnd w:id="67"/>
    <w:bookmarkEnd w:id="68"/>
    <w:bookmarkStart w:id="69" w:name="cell-breathing"/>
    <w:p>
      <w:pPr>
        <w:pStyle w:val="Heading2"/>
      </w:pPr>
      <w:r>
        <w:t xml:space="preserve">Cell breathing</w:t>
      </w:r>
    </w:p>
    <w:p>
      <w:pPr>
        <w:pStyle w:val="FirstParagraph"/>
      </w:pPr>
      <w:r>
        <w:t xml:space="preserve">Il controllo della potenza è utilizzato anche per scalare dinamicamente la copertura della cella; come anticipato, maggiore è la potenza trasmissiva, più il segnale viaggerà lontano (e la cella sarà espansa).</w:t>
      </w:r>
    </w:p>
    <w:p>
      <w:pPr>
        <w:pStyle w:val="BodyText"/>
      </w:pPr>
      <w:r>
        <w:t xml:space="preserve">Al crescere delle utenze collegate, si desidererebbe diminuire la copertura della cella, in modo da consentire a tutti gli utenti una qualità adeguata di servizio. Così facendo, la cella si</w:t>
      </w:r>
      <w:r>
        <w:t xml:space="preserve"> </w:t>
      </w:r>
      <w:r>
        <w:t xml:space="preserve">“scaricherà”</w:t>
      </w:r>
      <w:r>
        <w:t xml:space="preserve"> </w:t>
      </w:r>
      <w:r>
        <w:t xml:space="preserve">degli utenti collegati a bordo cella, i quali saranno forzati a procedure di handover. È bene ricordare che la quantità di utenti che può collegarsi a una cella non dipende solo dalle risorse radio disponibili, ma anche dalla QoS.</w:t>
      </w:r>
    </w:p>
    <w:bookmarkEnd w:id="69"/>
    <w:bookmarkEnd w:id="70"/>
    <w:bookmarkStart w:id="74" w:name="handover-in-umts"/>
    <w:p>
      <w:pPr>
        <w:pStyle w:val="Heading1"/>
      </w:pPr>
      <w:r>
        <w:t xml:space="preserve">Handover in UMTS</w:t>
      </w:r>
    </w:p>
    <w:p>
      <w:pPr>
        <w:pStyle w:val="FirstParagraph"/>
      </w:pPr>
      <w:r>
        <w:t xml:space="preserve">Vi sono tre categorie di handover in UMTS: softer, soft, hard e tre tipologie di handover consentiti:</w:t>
      </w:r>
      <w:r>
        <w:t xml:space="preserve"> </w:t>
      </w:r>
      <w:r>
        <w:t xml:space="preserve">- intra-frequency handover: all’interno della stessa frequenza e dello stesso sistema (softer, soft, hard);</w:t>
      </w:r>
      <w:r>
        <w:t xml:space="preserve"> </w:t>
      </w:r>
      <w:r>
        <w:t xml:space="preserve">- inter-frequency handover: all’interno dello stesso sistema, ma con diverse frequenze (solo hard);</w:t>
      </w:r>
      <w:r>
        <w:t xml:space="preserve"> </w:t>
      </w:r>
      <w:r>
        <w:t xml:space="preserve">- inter-system handover: cambio del sistema di comunicazione (passaggio a GSM, solo hard).</w:t>
      </w:r>
    </w:p>
    <w:bookmarkStart w:id="71" w:name="softer-handover"/>
    <w:p>
      <w:pPr>
        <w:pStyle w:val="Heading2"/>
      </w:pPr>
      <w:r>
        <w:t xml:space="preserve">Softer handover</w:t>
      </w:r>
    </w:p>
    <w:p>
      <w:pPr>
        <w:pStyle w:val="FirstParagraph"/>
      </w:pPr>
      <w:r>
        <w:t xml:space="preserve">Questo avviene quando il terminale si trova nella zona in cui si sovrappongono le aree di copertura di settori diversi di una stessa stazione base; si realizza (quello che non è un vero) handover consentendo al terminale di usare due percorsi radio diversi, implementando questo più di una radio per aumentare la qualità del segnale ricevuto e la base station combinerà i dati provenienti dal terminale, da più di un settore.</w:t>
      </w:r>
    </w:p>
    <w:bookmarkEnd w:id="71"/>
    <w:bookmarkStart w:id="72" w:name="soft-handover"/>
    <w:p>
      <w:pPr>
        <w:pStyle w:val="Heading2"/>
      </w:pPr>
      <w:r>
        <w:t xml:space="preserve">Soft handover</w:t>
      </w:r>
    </w:p>
    <w:p>
      <w:pPr>
        <w:pStyle w:val="FirstParagraph"/>
      </w:pPr>
      <w:r>
        <w:t xml:space="preserve">In questo caso, il terminale si trova nella zona in cui si sovrappongono settori diversi, di stazioni base diverse. In downlink, il terminale combina i dati ricevuti da più stazioni base, mentre in uplink solo un segnale emesso verrà ricevuto da una sola stazione base.</w:t>
      </w:r>
    </w:p>
    <w:p>
      <w:pPr>
        <w:pStyle w:val="BodyText"/>
      </w:pPr>
      <w:r>
        <w:t xml:space="preserve">In questo tipo di handover, i terminali sono soggetti al controllo della potenza di tutte le stazioni base che ne ricevono segnali.</w:t>
      </w:r>
    </w:p>
    <w:bookmarkEnd w:id="72"/>
    <w:bookmarkStart w:id="73" w:name="hard-handover"/>
    <w:p>
      <w:pPr>
        <w:pStyle w:val="Heading2"/>
      </w:pPr>
      <w:r>
        <w:t xml:space="preserve">Hard handover</w:t>
      </w:r>
    </w:p>
    <w:p>
      <w:pPr>
        <w:pStyle w:val="FirstParagraph"/>
      </w:pPr>
      <w:r>
        <w:t xml:space="preserve">Nell’hard handover vi è la sostituzione del collegamento radio con una precedente stazione base con uno verso una nuova stazione base. Può avvenire seamlessly o meno.</w:t>
      </w:r>
    </w:p>
    <w:bookmarkEnd w:id="73"/>
    <w:bookmarkEnd w:id="74"/>
    <w:bookmarkStart w:id="76" w:name="architettura-della-rete-3g"/>
    <w:p>
      <w:pPr>
        <w:pStyle w:val="Heading1"/>
      </w:pPr>
      <w:r>
        <w:t xml:space="preserve">Architettura della rete 3G</w:t>
      </w:r>
    </w:p>
    <w:p>
      <w:pPr>
        <w:pStyle w:val="FirstParagraph"/>
      </w:pPr>
      <w:r>
        <w:t xml:space="preserve">![[Pasted image 20231005175654.png]]</w:t>
      </w:r>
    </w:p>
    <w:p>
      <w:pPr>
        <w:pStyle w:val="BodyText"/>
      </w:pPr>
      <w:r>
        <w:t xml:space="preserve">A livello della core network, non molto è differente tra la prima Release (Release 99) del 3G rispetto ad una rete GPRS/EDGE.</w:t>
      </w:r>
    </w:p>
    <w:p>
      <w:pPr>
        <w:pStyle w:val="BodyText"/>
      </w:pPr>
      <w:r>
        <w:t xml:space="preserve">Ciò che è diverso è la parte radio, ora chiamata</w:t>
      </w:r>
      <w:r>
        <w:t xml:space="preserve"> </w:t>
      </w:r>
      <w:r>
        <w:rPr>
          <w:i/>
          <w:iCs/>
        </w:rPr>
        <w:t xml:space="preserve">UTRAN</w:t>
      </w:r>
      <w:r>
        <w:t xml:space="preserve">, i cui punti chiave risultano essere:</w:t>
      </w:r>
      <w:r>
        <w:t xml:space="preserve"> </w:t>
      </w:r>
      <w:r>
        <w:t xml:space="preserve">- MS diventa UE</w:t>
      </w:r>
      <w:r>
        <w:rPr>
          <w:rStyle w:val="FootnoteReference"/>
        </w:rPr>
        <w:footnoteReference w:id="75"/>
      </w:r>
      <w:r>
        <w:t xml:space="preserve">, così come BTS diventa NodeB;</w:t>
      </w:r>
      <w:r>
        <w:t xml:space="preserve"> </w:t>
      </w:r>
      <w:r>
        <w:t xml:space="preserve">- RNC sostituisce BSC.</w:t>
      </w:r>
      <w:r>
        <w:t xml:space="preserve"> </w:t>
      </w:r>
      <w:r>
        <w:t xml:space="preserve">Inoltre, UTRAN gestisce gli handover</w:t>
      </w:r>
      <w:r>
        <w:t xml:space="preserve"> </w:t>
      </w:r>
      <w:r>
        <w:t xml:space="preserve">“soft”</w:t>
      </w:r>
      <w:r>
        <w:t xml:space="preserve"> </w:t>
      </w:r>
      <w:r>
        <w:t xml:space="preserve">e</w:t>
      </w:r>
      <w:r>
        <w:t xml:space="preserve"> </w:t>
      </w:r>
      <w:r>
        <w:t xml:space="preserve">“softer”</w:t>
      </w:r>
      <w:r>
        <w:t xml:space="preserve">, senza intervento della core network.</w:t>
      </w:r>
    </w:p>
    <w:p>
      <w:pPr>
        <w:pStyle w:val="BodyText"/>
      </w:pPr>
      <w:r>
        <w:t xml:space="preserve">Questi cambiamenti riflettono la necessità di nuovo hardware in grado di gestire le interfacce radio basate su WCDMA.</w:t>
      </w:r>
    </w:p>
    <w:bookmarkEnd w:id="76"/>
    <w:bookmarkStart w:id="84" w:name="evoluzioni-del-3g"/>
    <w:p>
      <w:pPr>
        <w:pStyle w:val="Heading1"/>
      </w:pPr>
      <w:r>
        <w:t xml:space="preserve">Evoluzioni del 3G</w:t>
      </w:r>
    </w:p>
    <w:p>
      <w:pPr>
        <w:pStyle w:val="FirstParagraph"/>
      </w:pPr>
      <w:r>
        <w:rPr>
          <w:i/>
          <w:iCs/>
        </w:rPr>
        <w:t xml:space="preserve">Le evoluzioni del 3G sono rilasciate mediante documenti detti</w:t>
      </w:r>
      <w:r>
        <w:rPr>
          <w:i/>
          <w:iCs/>
        </w:rPr>
        <w:t xml:space="preserve"> </w:t>
      </w:r>
      <w:r>
        <w:rPr>
          <w:i/>
          <w:iCs/>
        </w:rPr>
        <w:t xml:space="preserve">“releases”</w:t>
      </w:r>
      <w:r>
        <w:rPr>
          <w:i/>
          <w:iCs/>
        </w:rPr>
        <w:t xml:space="preserve">.</w:t>
      </w:r>
    </w:p>
    <w:bookmarkStart w:id="77" w:name="release-4---verso-fully-ip"/>
    <w:p>
      <w:pPr>
        <w:pStyle w:val="Heading2"/>
      </w:pPr>
      <w:r>
        <w:t xml:space="preserve">Release 4 - Verso fully-IP</w:t>
      </w:r>
    </w:p>
    <w:p>
      <w:pPr>
        <w:pStyle w:val="FirstParagraph"/>
      </w:pPr>
      <w:r>
        <w:t xml:space="preserve">Con la Release 4 ci si muove verso una rete completamente a circuitazione di pacchetto. Infatti, vengono apportate delle modifiche alla core network per poter instradare le chiamate mediante pacchetti (anziché circuito).</w:t>
      </w:r>
    </w:p>
    <w:p>
      <w:pPr>
        <w:pStyle w:val="BodyText"/>
      </w:pPr>
      <w:r>
        <w:t xml:space="preserve">![[Pasted image 20231005180531.png]]</w:t>
      </w:r>
    </w:p>
    <w:p>
      <w:pPr>
        <w:pStyle w:val="BodyText"/>
      </w:pPr>
      <w:r>
        <w:t xml:space="preserve">Le modifiche principali introdotte sono:</w:t>
      </w:r>
      <w:r>
        <w:t xml:space="preserve"> </w:t>
      </w:r>
      <w:r>
        <w:t xml:space="preserve">- MSC-S (MSC Server) al posto di MSC, per il controllo delle chiamate e la gestione della mobilità;</w:t>
      </w:r>
      <w:r>
        <w:t xml:space="preserve"> </w:t>
      </w:r>
      <w:r>
        <w:t xml:space="preserve">- MGW (Media GateWay) al posto di GMSC, gestisce il traffico (di pacchetti!) generato dall’utente e consente di convertire i dati in pacchetti in dati per commutazione di circuito (al fine di evitare problemi di compatibilità).</w:t>
      </w:r>
      <w:r>
        <w:t xml:space="preserve"> </w:t>
      </w:r>
      <w:r>
        <w:t xml:space="preserve">## Release 5 - IMS</w:t>
      </w:r>
    </w:p>
    <w:p>
      <w:pPr>
        <w:pStyle w:val="BodyText"/>
      </w:pPr>
      <w:r>
        <w:t xml:space="preserve">La novità principale della Release 5 è l’introduzione di IMS (IP Multimedia System).</w:t>
      </w:r>
    </w:p>
    <w:p>
      <w:pPr>
        <w:pStyle w:val="BodyText"/>
      </w:pPr>
      <w:r>
        <w:t xml:space="preserve">![[Pasted image 20231005193502.png]]</w:t>
      </w:r>
    </w:p>
    <w:p>
      <w:pPr>
        <w:pStyle w:val="BodyText"/>
      </w:pPr>
      <w:r>
        <w:t xml:space="preserve">Mediante l’introduzione di IMS si rende il servizio indipendente dalla tecnologia della rete di accesso; l’obiettivo che si vuole perseguire è quello di fa convergere tutti i servizi multimediali in un singolo sottosistema della rete.</w:t>
      </w:r>
    </w:p>
    <w:p>
      <w:pPr>
        <w:pStyle w:val="BodyText"/>
      </w:pPr>
      <w:r>
        <w:t xml:space="preserve">Inoltre, il database HLR diventa HSS (Home Subscriber Server).</w:t>
      </w:r>
    </w:p>
    <w:bookmarkEnd w:id="77"/>
    <w:bookmarkStart w:id="82" w:name="hspa"/>
    <w:p>
      <w:pPr>
        <w:pStyle w:val="Heading2"/>
      </w:pPr>
      <w:r>
        <w:t xml:space="preserve">HSPA</w:t>
      </w:r>
    </w:p>
    <w:p>
      <w:pPr>
        <w:pStyle w:val="FirstParagraph"/>
      </w:pPr>
      <w:r>
        <w:rPr>
          <w:i/>
          <w:iCs/>
        </w:rPr>
        <w:t xml:space="preserve">È la combinazione di HSDPA e HSUPA, analizzati di seguito.</w:t>
      </w:r>
    </w:p>
    <w:bookmarkStart w:id="80" w:name="hsdpa"/>
    <w:p>
      <w:pPr>
        <w:pStyle w:val="Heading3"/>
      </w:pPr>
      <w:r>
        <w:t xml:space="preserve">HSDPA</w:t>
      </w:r>
    </w:p>
    <w:p>
      <w:pPr>
        <w:pStyle w:val="FirstParagraph"/>
      </w:pPr>
      <w:r>
        <w:t xml:space="preserve">HSDPA è un’evoluzione di UMTS in grado di portare ad un significante aumento del data rate, che arriva a 14.4Mbps, oltre ad una minore latenza. Questo è possibile, analogamente a quanto visto in GPRS/EDGE, migliorando la parte radio mediante dei meccanismi di adattamento alle condizioni del canale. I principali cambiamenti che portano al miglioramento del data rate sono i seguenti:</w:t>
      </w:r>
      <w:r>
        <w:t xml:space="preserve"> </w:t>
      </w:r>
      <w:r>
        <w:t xml:space="preserve">- minore TTI (Time Transmission Interval) per ridurre RTT;</w:t>
      </w:r>
      <w:r>
        <w:t xml:space="preserve"> </w:t>
      </w:r>
      <w:r>
        <w:t xml:space="preserve">- modulazione e codifica adattiva (AMC, Adaptive Modulation and Coding), introducendo QPSK e 16-QAM</w:t>
      </w:r>
      <w:r>
        <w:rPr>
          <w:rStyle w:val="FootnoteReference"/>
        </w:rPr>
        <w:footnoteReference w:id="78"/>
      </w:r>
      <w:r>
        <w:t xml:space="preserve">;</w:t>
      </w:r>
      <w:r>
        <w:t xml:space="preserve"> </w:t>
      </w:r>
      <w:r>
        <w:t xml:space="preserve">- Hybrid Automatic Repeat Request (HARQ), la logica di ritrasmissione viene spostata al NodeB</w:t>
      </w:r>
      <w:r>
        <w:rPr>
          <w:rStyle w:val="FootnoteReference"/>
        </w:rPr>
        <w:footnoteReference w:id="79"/>
      </w:r>
      <w:r>
        <w:t xml:space="preserve"> </w:t>
      </w:r>
      <w:r>
        <w:t xml:space="preserve">e si aggiungono codici per la rilevazione degli errori (EDC, Error Detection Codes) e Forward Error Correciton (FEC), che consentono di ricombinare le diverse copie ritrasmesse.</w:t>
      </w:r>
    </w:p>
    <w:bookmarkEnd w:id="80"/>
    <w:bookmarkStart w:id="81" w:name="hsupa"/>
    <w:p>
      <w:pPr>
        <w:pStyle w:val="Heading3"/>
      </w:pPr>
      <w:r>
        <w:t xml:space="preserve">HSUPA</w:t>
      </w:r>
    </w:p>
    <w:p>
      <w:pPr>
        <w:pStyle w:val="FirstParagraph"/>
      </w:pPr>
      <w:r>
        <w:t xml:space="preserve">Di base, si implementano le stesse novità già viste in HSDPA, per raggiungere un data rate massimo di 5.76Mbps.</w:t>
      </w:r>
    </w:p>
    <w:bookmarkEnd w:id="81"/>
    <w:bookmarkEnd w:id="82"/>
    <w:bookmarkStart w:id="83" w:name="hspa-1"/>
    <w:p>
      <w:pPr>
        <w:pStyle w:val="Heading2"/>
      </w:pPr>
      <w:r>
        <w:t xml:space="preserve">HSPA+</w:t>
      </w:r>
    </w:p>
    <w:p>
      <w:pPr>
        <w:pStyle w:val="FirstParagraph"/>
      </w:pPr>
      <w:r>
        <w:t xml:space="preserve">L’ultima evoluzione nelle reti di terza generazioni, in grado di raggiungere un data rate di 42Mbps.</w:t>
      </w:r>
    </w:p>
    <w:p>
      <w:pPr>
        <w:pStyle w:val="BodyText"/>
      </w:pPr>
      <w:r>
        <w:t xml:space="preserve">Le tecnologie radio introdotte sono:</w:t>
      </w:r>
      <w:r>
        <w:t xml:space="preserve"> </w:t>
      </w:r>
      <w:r>
        <w:t xml:space="preserve">- modulazione 64-QAM;</w:t>
      </w:r>
      <w:r>
        <w:t xml:space="preserve"> </w:t>
      </w:r>
      <w:r>
        <w:t xml:space="preserve">- MIMO 2x2;</w:t>
      </w:r>
      <w:r>
        <w:t xml:space="preserve"> </w:t>
      </w:r>
      <w:r>
        <w:t xml:space="preserve">- carrier aggregation (max 2CA).</w:t>
      </w:r>
    </w:p>
    <w:bookmarkEnd w:id="83"/>
    <w:bookmarkEnd w:id="84"/>
    <w:bookmarkStart w:id="86" w:name="sicurezza-in-umts"/>
    <w:p>
      <w:pPr>
        <w:pStyle w:val="Heading1"/>
      </w:pPr>
      <w:r>
        <w:t xml:space="preserve">Sicurezza in UMTS</w:t>
      </w:r>
    </w:p>
    <w:p>
      <w:pPr>
        <w:pStyle w:val="FirstParagraph"/>
      </w:pPr>
      <w:r>
        <w:t xml:space="preserve">Importanti novità vengono introdotte anche dal punto di vista della sicurezza. Si va nella direzione opposta rispetto a quanto fatto con 2G, implementando un meccanismo di autenticazione mutua</w:t>
      </w:r>
      <w:r>
        <w:rPr>
          <w:rStyle w:val="FootnoteReference"/>
        </w:rPr>
        <w:footnoteReference w:id="85"/>
      </w:r>
      <w:r>
        <w:t xml:space="preserve">, introducendo la protezione contro gli</w:t>
      </w:r>
      <w:r>
        <w:t xml:space="preserve"> </w:t>
      </w:r>
      <w:r>
        <w:rPr>
          <w:i/>
          <w:iCs/>
        </w:rPr>
        <w:t xml:space="preserve">impersonating attacks</w:t>
      </w:r>
      <w:r>
        <w:t xml:space="preserve">. Le nuove misure adottate in materia di crittografia garantiscono anche l’integrità dei dati, oltre all’estensione del dominio di azione della crittografia (ora, infatti, anche comunicazioni con parte della core network sono crittografate), fino all’RNC.</w:t>
      </w:r>
    </w:p>
    <w:p>
      <w:pPr>
        <w:pStyle w:val="BodyText"/>
      </w:pPr>
      <w:r>
        <w:t xml:space="preserve">Si sceglie, inoltre, un cambio di passo: viene abbandonato il concetto di</w:t>
      </w:r>
      <w:r>
        <w:t xml:space="preserve"> </w:t>
      </w:r>
      <w:r>
        <w:rPr>
          <w:i/>
          <w:iCs/>
        </w:rPr>
        <w:t xml:space="preserve">security through obscurity</w:t>
      </w:r>
      <w:r>
        <w:t xml:space="preserve">, privilegiando lo sviluppo in open dei protocolli di sicurezza.</w:t>
      </w:r>
    </w:p>
    <w:p>
      <w:pPr>
        <w:pStyle w:val="BodyText"/>
      </w:pPr>
      <w:r>
        <w:t xml:space="preserve">%%</w:t>
      </w:r>
    </w:p>
    <w:bookmarkEnd w:id="86"/>
    <w:bookmarkStart w:id="89" w:name="appunti-classe"/>
    <w:p>
      <w:pPr>
        <w:pStyle w:val="Heading1"/>
      </w:pPr>
      <w:r>
        <w:t xml:space="preserve">Appunti classe</w:t>
      </w:r>
    </w:p>
    <w:p>
      <w:pPr>
        <w:pStyle w:val="FirstParagraph"/>
      </w:pPr>
      <w:r>
        <w:t xml:space="preserve">Fading nel canale reale. Si tende ad unire le copie ricevute. Rake receiver: ogni ramo del rastrello riesce a prendere una delle copie del pacchetto. Nel 2G si cerca di evitare il multipath (si vuole ricevere solo</w:t>
      </w:r>
      <w:r>
        <w:t xml:space="preserve"> </w:t>
      </w:r>
      <w:r>
        <w:t xml:space="preserve">“la copia più bella”</w:t>
      </w:r>
      <w:r>
        <w:t xml:space="preserve">), nel 3G no.</w:t>
      </w:r>
    </w:p>
    <w:p>
      <w:pPr>
        <w:pStyle w:val="BodyText"/>
      </w:pPr>
      <w:r>
        <w:t xml:space="preserve">L’antenna deve ricevere segnali con la stessa potenza, altrimenti non è possibile distinguere l’utente che comunica (</w:t>
      </w:r>
      <w:r>
        <w:rPr>
          <w:i/>
          <w:iCs/>
        </w:rPr>
        <w:t xml:space="preserve">near far problem</w:t>
      </w:r>
      <w:r>
        <w:t xml:space="preserve">).</w:t>
      </w:r>
    </w:p>
    <w:p>
      <w:pPr>
        <w:pStyle w:val="BodyText"/>
      </w:pPr>
      <w:r>
        <w:t xml:space="preserve">Interferenza e non noise perché potrebbe essere un altro segnale a creare interferenza anziché il rumore.</w:t>
      </w:r>
    </w:p>
    <w:p>
      <w:pPr>
        <w:pStyle w:val="BodyText"/>
      </w:pPr>
      <w:r>
        <w:t xml:space="preserve">Loop interno sulla parte radio, governato dal loop esterno.</w:t>
      </w:r>
    </w:p>
    <w:bookmarkStart w:id="87" w:name="architettura-di-rete"/>
    <w:p>
      <w:pPr>
        <w:pStyle w:val="Heading2"/>
      </w:pPr>
      <w:r>
        <w:t xml:space="preserve">Architettura di rete</w:t>
      </w:r>
    </w:p>
    <w:p>
      <w:pPr>
        <w:pStyle w:val="FirstParagraph"/>
      </w:pPr>
      <w:r>
        <w:t xml:space="preserve">L’architettura di rete core di UMTS è la stessa di GPRS/EDGE.</w:t>
      </w:r>
    </w:p>
    <w:p>
      <w:pPr>
        <w:pStyle w:val="BodyText"/>
      </w:pPr>
      <w:r>
        <w:t xml:space="preserve">IMS: si cerca di rendere la rete indipendente dal servizio.</w:t>
      </w:r>
    </w:p>
    <w:bookmarkEnd w:id="87"/>
    <w:bookmarkStart w:id="88" w:name="hsdpa-1"/>
    <w:p>
      <w:pPr>
        <w:pStyle w:val="Heading2"/>
      </w:pPr>
      <w:r>
        <w:t xml:space="preserve">HSDPA</w:t>
      </w:r>
    </w:p>
    <w:p>
      <w:pPr>
        <w:pStyle w:val="FirstParagraph"/>
      </w:pPr>
      <w:r>
        <w:t xml:space="preserve">QPSK 2 bit per simbolo; 16 QAM 4 bit per simbolo.</w:t>
      </w:r>
    </w:p>
    <w:p>
      <w:pPr>
        <w:pStyle w:val="BodyText"/>
      </w:pPr>
      <w:r>
        <w:t xml:space="preserve">Modulazione in seno e coseno a pari frequenza sono ortogonali.</w:t>
      </w:r>
      <w:r>
        <w:t xml:space="preserve"> </w:t>
      </w:r>
      <w:r>
        <w:t xml:space="preserve">QPSK e QAM simili a PAM; le modulazioni digitali si dividono in:</w:t>
      </w:r>
      <w:r>
        <w:t xml:space="preserve"> </w:t>
      </w:r>
      <w:r>
        <w:t xml:space="preserve">- modulazioni ortogonali (eg. PPM), si aumenta la banda (aumenta la dimensionalità);</w:t>
      </w:r>
      <w:r>
        <w:t xml:space="preserve"> </w:t>
      </w:r>
      <w:r>
        <w:t xml:space="preserve">- PAM, si aumenta l’energia (si aumenta la circonferenza ma non la dimensionalità)</w:t>
      </w:r>
    </w:p>
    <w:p>
      <w:pPr>
        <w:pStyle w:val="BodyText"/>
      </w:pPr>
      <w:r>
        <w:t xml:space="preserve">MIMO: tecniche di diversità (eg per il multipath).</w:t>
      </w:r>
    </w:p>
    <w:p>
      <w:pPr>
        <w:pStyle w:val="BodyText"/>
      </w:pPr>
      <w:r>
        <w:t xml:space="preserve">%%</w:t>
      </w:r>
    </w:p>
    <w:p>
      <w:pPr>
        <w:pStyle w:val="BodyText"/>
      </w:pPr>
      <w:r>
        <w:rPr>
          <w:i/>
          <w:iCs/>
        </w:rPr>
        <w:t xml:space="preserve">Questo argomento è stato trattato in #5gNetwork</w:t>
      </w:r>
      <w:r>
        <w:t xml:space="preserve"> </w:t>
      </w:r>
      <w:r>
        <w:t xml:space="preserve">***</w:t>
      </w:r>
    </w:p>
    <w:bookmarkEnd w:id="88"/>
    <w:bookmarkEnd w:id="89"/>
    <w:bookmarkStart w:id="90" w:name="introduzione-al-4g"/>
    <w:p>
      <w:pPr>
        <w:pStyle w:val="Heading1"/>
      </w:pPr>
      <w:r>
        <w:t xml:space="preserve">Introduzione al 4G</w:t>
      </w:r>
    </w:p>
    <w:p>
      <w:pPr>
        <w:pStyle w:val="FirstParagraph"/>
      </w:pPr>
      <w:r>
        <w:t xml:space="preserve">Le reti mobili di quarta generazione nascono con i requisiti fissati dall’ITU nel 2008 con il documento</w:t>
      </w:r>
      <w:r>
        <w:t xml:space="preserve"> </w:t>
      </w:r>
      <w:r>
        <w:rPr>
          <w:i/>
          <w:iCs/>
        </w:rPr>
        <w:t xml:space="preserve">IMT-Advanced</w:t>
      </w:r>
      <w:r>
        <w:t xml:space="preserve">; si passa ad una rete completamente a commutazione di pacchetti IP, in grado di garantire velocità fino a 100Mbps per utenti in mobilità e fino ad 1Gbps in condizioni stazionarie. Si gestisce la cella in modo dinamico col fine di aumentare la capacità della rete e garantire una banda scalabile, in previsione per la fruizione di contenuti multimediali in alta qualità. Viene garantita la compatibilità con gli standard definiti in precedenza.</w:t>
      </w:r>
    </w:p>
    <w:p>
      <w:pPr>
        <w:pStyle w:val="BodyText"/>
      </w:pPr>
      <w:r>
        <w:t xml:space="preserve">Un importante requisito da raggiungere per il 4G è l’efficienza spettrale, misurata in bps/Hz, fissata a 3 bps/Hz outdoor e 2.25 bps/Hz indoor. L’efficienza spettrale si ricava dalla formula:</w:t>
      </w:r>
    </w:p>
    <w:p>
      <w:pPr>
        <w:pStyle w:val="BodyText"/>
      </w:pPr>
      <m:oMathPara>
        <m:oMathParaPr>
          <m:jc m:val="center"/>
        </m:oMathParaPr>
        <m:oMath>
          <m:r>
            <m:t>η</m:t>
          </m:r>
          <m:r>
            <m:rPr>
              <m:sty m:val="p"/>
            </m:rPr>
            <m:t>=</m:t>
          </m:r>
          <m:f>
            <m:fPr>
              <m:type m:val="bar"/>
            </m:fPr>
            <m:num>
              <m:nary>
                <m:naryPr>
                  <m:chr m:val="∑"/>
                  <m:limLoc m:val="undOvr"/>
                  <m:subHide m:val="off"/>
                  <m:supHide m:val="off"/>
                </m:naryPr>
                <m:sub>
                  <m:r>
                    <m:t>i</m:t>
                  </m:r>
                  <m:r>
                    <m:rPr>
                      <m:sty m:val="p"/>
                    </m:rPr>
                    <m:t>=</m:t>
                  </m:r>
                  <m:r>
                    <m:t>1</m:t>
                  </m:r>
                </m:sub>
                <m:sup>
                  <m:r>
                    <m:t>N</m:t>
                  </m:r>
                </m:sup>
                <m:e>
                  <m:sSub>
                    <m:e>
                      <m:r>
                        <m:t>χ</m:t>
                      </m:r>
                    </m:e>
                    <m:sub>
                      <m:r>
                        <m:t>i</m:t>
                      </m:r>
                    </m:sub>
                  </m:sSub>
                </m:e>
              </m:nary>
            </m:num>
            <m:den>
              <m:r>
                <m:t>M</m:t>
              </m:r>
              <m:r>
                <m:t>ω</m:t>
              </m:r>
            </m:den>
          </m:f>
        </m:oMath>
      </m:oMathPara>
    </w:p>
    <w:p>
      <w:pPr>
        <w:pStyle w:val="FirstParagraph"/>
      </w:pPr>
      <w:r>
        <w:t xml:space="preserve">dove:</w:t>
      </w:r>
      <w:r>
        <w:t xml:space="preserve"> </w:t>
      </w:r>
      <w:r>
        <w:t xml:space="preserve">-</w:t>
      </w:r>
      <w:r>
        <w:t xml:space="preserve"> </w:t>
      </w:r>
      <m:oMath>
        <m:sSub>
          <m:e>
            <m:r>
              <m:t>χ</m:t>
            </m:r>
          </m:e>
          <m:sub>
            <m:r>
              <m:t>i</m:t>
            </m:r>
          </m:sub>
        </m:sSub>
      </m:oMath>
      <w:r>
        <w:t xml:space="preserve"> </w:t>
      </w:r>
      <w:r>
        <w:t xml:space="preserve">rappresenta il throughput di ogni bit ricevuto correttamente;</w:t>
      </w:r>
      <w:r>
        <w:t xml:space="preserve"> </w:t>
      </w:r>
      <w:r>
        <w:t xml:space="preserve">-</w:t>
      </w:r>
      <w:r>
        <w:t xml:space="preserve"> </w:t>
      </w:r>
      <m:oMath>
        <m:r>
          <m:t>N</m:t>
        </m:r>
      </m:oMath>
      <w:r>
        <w:t xml:space="preserve"> </w:t>
      </w:r>
      <w:r>
        <w:t xml:space="preserve">rappresenta il numero di utenti;</w:t>
      </w:r>
      <w:r>
        <w:t xml:space="preserve"> </w:t>
      </w:r>
      <w:r>
        <w:t xml:space="preserve">-</w:t>
      </w:r>
      <w:r>
        <w:t xml:space="preserve"> </w:t>
      </w:r>
      <m:oMath>
        <m:r>
          <m:t>M</m:t>
        </m:r>
      </m:oMath>
      <w:r>
        <w:t xml:space="preserve"> </w:t>
      </w:r>
      <w:r>
        <w:t xml:space="preserve">rappresenta il numero delle celle;</w:t>
      </w:r>
      <w:r>
        <w:t xml:space="preserve"> </w:t>
      </w:r>
      <w:r>
        <w:t xml:space="preserve">-</w:t>
      </w:r>
      <w:r>
        <w:t xml:space="preserve"> </w:t>
      </w:r>
      <m:oMath>
        <m:r>
          <m:t>ω</m:t>
        </m:r>
      </m:oMath>
      <w:r>
        <w:t xml:space="preserve"> </w:t>
      </w:r>
      <w:r>
        <w:t xml:space="preserve">rappresenta la banda.</w:t>
      </w:r>
    </w:p>
    <w:bookmarkEnd w:id="90"/>
    <w:bookmarkStart w:id="106" w:name="radio-access"/>
    <w:p>
      <w:pPr>
        <w:pStyle w:val="Heading1"/>
      </w:pPr>
      <w:r>
        <w:t xml:space="preserve">Radio Access</w:t>
      </w:r>
    </w:p>
    <w:p>
      <w:pPr>
        <w:pStyle w:val="FirstParagraph"/>
      </w:pPr>
      <w:r>
        <w:t xml:space="preserve">Nelle reti di quarta generazione si sostituisce CDMA con OFMA</w:t>
      </w:r>
      <w:r>
        <w:rPr>
          <w:rStyle w:val="FootnoteReference"/>
        </w:rPr>
        <w:footnoteReference w:id="91"/>
      </w:r>
      <w:r>
        <w:t xml:space="preserve">, dal momento in cui, data l’ampiezza di banda maggiorata dei canali, CDMA avrebbe creato problemi (a causa di fading e multpath).</w:t>
      </w:r>
    </w:p>
    <w:bookmarkStart w:id="92" w:name="ofdma"/>
    <w:p>
      <w:pPr>
        <w:pStyle w:val="Heading2"/>
      </w:pPr>
      <w:r>
        <w:t xml:space="preserve">OFDMA</w:t>
      </w:r>
    </w:p>
    <w:p>
      <w:pPr>
        <w:pStyle w:val="FirstParagraph"/>
      </w:pPr>
      <w:r>
        <w:t xml:space="preserve">Con OFDMA, si abbandonano segnali a banda larga tipici di CDMA; in sostituzione, si predilige splittare il flusso dei dati in sotto-flussi lenti, ciascuno dei quali è trasportato da una singola portante (sottoportanti). Le subcarriers hanno la caratteristica di essere a banda stretta ma il loro insieme occupa la stessa banda di</w:t>
      </w:r>
    </w:p>
    <w:p>
      <w:pPr>
        <w:pStyle w:val="BodyText"/>
      </w:pPr>
      <w:r>
        <w:rPr>
          <w:i/>
          <w:iCs/>
        </w:rPr>
        <w:t xml:space="preserve">Questo argomento è stato trattato in #5gNetwork .</w:t>
      </w:r>
      <w:r>
        <w:t xml:space="preserve"> </w:t>
      </w:r>
      <w:r>
        <w:t xml:space="preserve">***</w:t>
      </w:r>
      <w:r>
        <w:t xml:space="preserve"> </w:t>
      </w:r>
      <w:r>
        <w:t xml:space="preserve"># Definzione</w:t>
      </w:r>
    </w:p>
    <w:p>
      <w:pPr>
        <w:pStyle w:val="BlockText"/>
      </w:pPr>
      <w:r>
        <w:t xml:space="preserve">[!tip] Fading: definizione</w:t>
      </w:r>
      <w:r>
        <w:t xml:space="preserve"> </w:t>
      </w:r>
      <w:r>
        <w:t xml:space="preserve">Si definisce</w:t>
      </w:r>
      <w:r>
        <w:t xml:space="preserve"> </w:t>
      </w:r>
      <w:r>
        <w:rPr>
          <w:i/>
          <w:iCs/>
        </w:rPr>
        <w:t xml:space="preserve">fading</w:t>
      </w:r>
      <w:r>
        <w:t xml:space="preserve"> </w:t>
      </w:r>
      <w:r>
        <w:t xml:space="preserve">un fenomeno impredicibile che determina caratteristiche variabili del canale di comunicazione.</w:t>
      </w:r>
      <w:r>
        <w:t xml:space="preserve"> </w:t>
      </w:r>
      <w:r>
        <w:t xml:space="preserve">Il fading contribuisce al degrado delle prestazioni di un sistema di telecomunicazione.</w:t>
      </w:r>
    </w:p>
    <w:bookmarkEnd w:id="92"/>
    <w:bookmarkStart w:id="102" w:name="elementi-del-fading"/>
    <w:p>
      <w:pPr>
        <w:pStyle w:val="Heading2"/>
      </w:pPr>
      <w:r>
        <w:t xml:space="preserve">Elementi del fading</w:t>
      </w:r>
    </w:p>
    <w:p>
      <w:pPr>
        <w:pStyle w:val="FirstParagraph"/>
      </w:pPr>
      <w:r>
        <w:t xml:space="preserve">Il fenomeno del fading si compone di due elementi:</w:t>
      </w:r>
      <w:r>
        <w:t xml:space="preserve"> </w:t>
      </w:r>
      <w:r>
        <w:rPr>
          <w:i/>
          <w:iCs/>
        </w:rPr>
        <w:t xml:space="preserve">multipath</w:t>
      </w:r>
      <w:r>
        <w:t xml:space="preserve">, cioè copie dello stesso segnale che percorrono percorsi differenti, e effetto doppler.</w:t>
      </w:r>
    </w:p>
    <w:bookmarkStart w:id="99" w:name="multipath"/>
    <w:p>
      <w:pPr>
        <w:pStyle w:val="Heading3"/>
      </w:pPr>
      <w:r>
        <w:t xml:space="preserve">Multipath</w:t>
      </w:r>
    </w:p>
    <w:p>
      <w:pPr>
        <w:pStyle w:val="FirstParagraph"/>
      </w:pPr>
      <w:r>
        <w:t xml:space="preserve">Il multipath è il fenomeno che avviene quando l’entità ricevitore riceve più copie dello stesso segnale; queste, avendo viaggiato su percorsi differenti, arriveranno:</w:t>
      </w:r>
      <w:r>
        <w:t xml:space="preserve"> </w:t>
      </w:r>
      <w:r>
        <w:t xml:space="preserve">- con diversi tempi di arrivo (introducendo ritardo);</w:t>
      </w:r>
      <w:r>
        <w:t xml:space="preserve"> </w:t>
      </w:r>
      <w:r>
        <w:t xml:space="preserve">- ampiezze differenti (a causa dell’</w:t>
      </w:r>
      <w:r>
        <w:rPr>
          <w:b/>
          <w:bCs/>
        </w:rPr>
        <w:t xml:space="preserve">attenuazione</w:t>
      </w:r>
      <w:r>
        <w:t xml:space="preserve">).</w:t>
      </w:r>
    </w:p>
    <w:p>
      <w:pPr>
        <w:pStyle w:val="BodyText"/>
      </w:pPr>
      <w:r>
        <w:t xml:space="preserve">In formula si ha:</w:t>
      </w:r>
    </w:p>
    <w:p>
      <w:pPr>
        <w:pStyle w:val="BodyText"/>
      </w:pPr>
      <m:oMathPara>
        <m:oMathParaPr>
          <m:jc m:val="center"/>
        </m:oMathParaPr>
        <m:oMath>
          <m:r>
            <m:t>y</m:t>
          </m:r>
          <m:d>
            <m:dPr>
              <m:begChr m:val="("/>
              <m:endChr m:val=")"/>
              <m:sepChr m:val=""/>
              <m:grow/>
            </m:dPr>
            <m:e>
              <m:r>
                <m:t>t</m:t>
              </m:r>
            </m:e>
          </m:d>
          <m:r>
            <m:rPr>
              <m:sty m:val="p"/>
            </m:rPr>
            <m:t>=</m:t>
          </m:r>
          <m:nary>
            <m:naryPr>
              <m:chr m:val="∑"/>
              <m:limLoc m:val="undOvr"/>
              <m:subHide m:val="off"/>
              <m:supHide m:val="on"/>
            </m:naryPr>
            <m:sub>
              <m:r>
                <m:t>n</m:t>
              </m:r>
            </m:sub>
            <m:sup>
              <m:r>
                <m:t>​</m:t>
              </m:r>
            </m:sup>
            <m:e>
              <m:sSub>
                <m:e>
                  <m:r>
                    <m:t>a</m:t>
                  </m:r>
                </m:e>
                <m:sub>
                  <m:r>
                    <m:t>n</m:t>
                  </m:r>
                </m:sub>
              </m:sSub>
            </m:e>
          </m:nary>
          <m:d>
            <m:dPr>
              <m:begChr m:val="("/>
              <m:endChr m:val=")"/>
              <m:sepChr m:val=""/>
              <m:grow/>
            </m:dPr>
            <m:e>
              <m:r>
                <m:t>t</m:t>
              </m:r>
            </m:e>
          </m:d>
          <m:r>
            <m:t>x</m:t>
          </m:r>
          <m:d>
            <m:dPr>
              <m:begChr m:val="("/>
              <m:endChr m:val=")"/>
              <m:sepChr m:val=""/>
              <m:grow/>
            </m:dPr>
            <m:e>
              <m:r>
                <m:t>t</m:t>
              </m:r>
              <m:r>
                <m:rPr>
                  <m:sty m:val="p"/>
                </m:rPr>
                <m:t>−</m:t>
              </m:r>
              <m:sSub>
                <m:e>
                  <m:r>
                    <m:t>τ</m:t>
                  </m:r>
                </m:e>
                <m:sub>
                  <m:r>
                    <m:t>n</m:t>
                  </m:r>
                </m:sub>
              </m:sSub>
              <m:d>
                <m:dPr>
                  <m:begChr m:val="("/>
                  <m:endChr m:val=")"/>
                  <m:sepChr m:val=""/>
                  <m:grow/>
                </m:dPr>
                <m:e>
                  <m:r>
                    <m:t>t</m:t>
                  </m:r>
                </m:e>
              </m:d>
            </m:e>
          </m:d>
        </m:oMath>
      </m:oMathPara>
    </w:p>
    <w:p>
      <w:pPr>
        <w:pStyle w:val="FirstParagraph"/>
      </w:pPr>
      <w:r>
        <w:t xml:space="preserve">Se, per esempio, si hanno due percorsi (si supponga uno diretto), si ottiene:</w:t>
      </w:r>
    </w:p>
    <w:p>
      <w:pPr>
        <w:pStyle w:val="BodyText"/>
      </w:pPr>
      <m:oMathPara>
        <m:oMathParaPr>
          <m:jc m:val="center"/>
        </m:oMathParaPr>
        <m:oMath>
          <m:r>
            <m:t>y</m:t>
          </m:r>
          <m:d>
            <m:dPr>
              <m:begChr m:val="("/>
              <m:endChr m:val=")"/>
              <m:sepChr m:val=""/>
              <m:grow/>
            </m:dPr>
            <m:e>
              <m:r>
                <m:t>t</m:t>
              </m:r>
            </m:e>
          </m:d>
          <m:r>
            <m:rPr>
              <m:sty m:val="p"/>
            </m:rPr>
            <m:t>=</m:t>
          </m:r>
          <m:r>
            <m:t>x</m:t>
          </m:r>
          <m:d>
            <m:dPr>
              <m:begChr m:val="("/>
              <m:endChr m:val=")"/>
              <m:sepChr m:val=""/>
              <m:grow/>
            </m:dPr>
            <m:e>
              <m:r>
                <m:t>t</m:t>
              </m:r>
            </m:e>
          </m:d>
          <m:r>
            <m:rPr>
              <m:sty m:val="p"/>
            </m:rPr>
            <m:t>+</m:t>
          </m:r>
          <m:r>
            <m:t>b</m:t>
          </m:r>
          <m:r>
            <m:t>x</m:t>
          </m:r>
          <m:d>
            <m:dPr>
              <m:begChr m:val="("/>
              <m:endChr m:val=")"/>
              <m:sepChr m:val=""/>
              <m:grow/>
            </m:dPr>
            <m:e>
              <m:r>
                <m:t>t</m:t>
              </m:r>
              <m:r>
                <m:rPr>
                  <m:sty m:val="p"/>
                </m:rPr>
                <m:t>−</m:t>
              </m:r>
              <m:r>
                <m:t>τ</m:t>
              </m:r>
            </m:e>
          </m:d>
        </m:oMath>
      </m:oMathPara>
    </w:p>
    <w:p>
      <w:pPr>
        <w:pStyle w:val="FirstParagraph"/>
      </w:pPr>
      <w:r>
        <w:t xml:space="preserve">in cui:</w:t>
      </w:r>
      <w:r>
        <w:t xml:space="preserve"> </w:t>
      </w:r>
      <w:r>
        <w:t xml:space="preserve">-</w:t>
      </w:r>
      <w:r>
        <w:t xml:space="preserve"> </w:t>
      </w:r>
      <m:oMath>
        <m:r>
          <m:t>b</m:t>
        </m:r>
      </m:oMath>
      <w:r>
        <w:t xml:space="preserve"> </w:t>
      </w:r>
      <w:r>
        <w:t xml:space="preserve">indica l’ampiezza (il fattore</w:t>
      </w:r>
      <w:r>
        <w:t xml:space="preserve"> </w:t>
      </w:r>
      <w:r>
        <w:rPr>
          <w:i/>
          <w:iCs/>
        </w:rPr>
        <w:t xml:space="preserve">attenuazione</w:t>
      </w:r>
      <w:r>
        <w:t xml:space="preserve">);</w:t>
      </w:r>
      <w:r>
        <w:t xml:space="preserve"> </w:t>
      </w:r>
      <w:r>
        <w:t xml:space="preserve">-</w:t>
      </w:r>
      <w:r>
        <w:t xml:space="preserve"> </w:t>
      </w:r>
      <m:oMath>
        <m:r>
          <m:t>τ</m:t>
        </m:r>
      </m:oMath>
      <w:r>
        <w:t xml:space="preserve"> </w:t>
      </w:r>
      <w:r>
        <w:t xml:space="preserve">indica il ritardo.</w:t>
      </w:r>
    </w:p>
    <w:p>
      <w:pPr>
        <w:pStyle w:val="BodyText"/>
      </w:pPr>
      <w:r>
        <w:t xml:space="preserve">Si evince che, con il fenomeno del multipath, si ha una dispersione nel tempo. A tal proposito, è bene considerare due fattori caratteristici:</w:t>
      </w:r>
      <w:r>
        <w:t xml:space="preserve"> </w:t>
      </w:r>
      <w:r>
        <w:t xml:space="preserve">-</w:t>
      </w:r>
      <w:r>
        <w:t xml:space="preserve"> </w:t>
      </w:r>
      <m:oMath>
        <m:r>
          <m:t>D</m:t>
        </m:r>
        <m:r>
          <m:t>e</m:t>
        </m:r>
        <m:sSub>
          <m:e>
            <m:r>
              <m:t>l</m:t>
            </m:r>
          </m:e>
          <m:sub>
            <m:r>
              <m:t>s</m:t>
            </m:r>
          </m:sub>
        </m:sSub>
      </m:oMath>
      <w:r>
        <w:t xml:space="preserve">:</w:t>
      </w:r>
      <w:r>
        <w:t xml:space="preserve"> </w:t>
      </w:r>
      <w:r>
        <w:rPr>
          <w:i/>
          <w:iCs/>
        </w:rPr>
        <w:t xml:space="preserve">delay spread</w:t>
      </w:r>
      <w:r>
        <w:t xml:space="preserve">, indica la massima dispersione temporale</w:t>
      </w:r>
      <w:r>
        <w:rPr>
          <w:rStyle w:val="FootnoteReference"/>
        </w:rPr>
        <w:footnoteReference w:id="93"/>
      </w:r>
      <w:r>
        <w:t xml:space="preserve">;</w:t>
      </w:r>
      <w:r>
        <w:t xml:space="preserve"> </w:t>
      </w:r>
      <w:r>
        <w:t xml:space="preserve">-</w:t>
      </w:r>
      <w:r>
        <w:t xml:space="preserve"> </w:t>
      </w:r>
      <m:oMath>
        <m:r>
          <m:t>B</m:t>
        </m:r>
        <m:r>
          <m:t>c</m:t>
        </m:r>
        <m:r>
          <m:rPr>
            <m:sty m:val="p"/>
          </m:rPr>
          <m:t>=</m:t>
        </m:r>
        <m:f>
          <m:fPr>
            <m:type m:val="bar"/>
          </m:fPr>
          <m:num>
            <m:r>
              <m:t>1</m:t>
            </m:r>
          </m:num>
          <m:den>
            <m:r>
              <m:t>D</m:t>
            </m:r>
            <m:r>
              <m:t>e</m:t>
            </m:r>
            <m:sSub>
              <m:e>
                <m:r>
                  <m:t>l</m:t>
                </m:r>
              </m:e>
              <m:sub>
                <m:r>
                  <m:t>s</m:t>
                </m:r>
              </m:sub>
            </m:sSub>
          </m:den>
        </m:f>
      </m:oMath>
      <w:r>
        <w:t xml:space="preserve">,</w:t>
      </w:r>
      <w:r>
        <w:t xml:space="preserve"> </w:t>
      </w:r>
      <w:r>
        <w:rPr>
          <w:i/>
          <w:iCs/>
        </w:rPr>
        <w:t xml:space="preserve">banda di coerenza</w:t>
      </w:r>
      <w:r>
        <w:rPr>
          <w:rStyle w:val="FootnoteReference"/>
        </w:rPr>
        <w:footnoteReference w:id="94"/>
      </w:r>
      <w:r>
        <w:t xml:space="preserve">.</w:t>
      </w:r>
      <w:r>
        <w:t xml:space="preserve"> </w:t>
      </w:r>
      <w:r>
        <w:t xml:space="preserve">Il delay spread causa dispersione temporale e fading selettivo in frequenza.</w:t>
      </w:r>
    </w:p>
    <w:p>
      <w:pPr>
        <w:pStyle w:val="BodyText"/>
      </w:pPr>
      <w:r>
        <w:t xml:space="preserve">Considerando un canale LTI, la risposta in frequenza sarà data (con le [[f. Trasformata di Fourier|trasformata di Fourier]]</w:t>
      </w:r>
      <w:r>
        <w:rPr>
          <w:rStyle w:val="FootnoteReference"/>
        </w:rPr>
        <w:footnoteReference w:id="95"/>
      </w:r>
      <w:r>
        <w:t xml:space="preserve">) da:</w:t>
      </w:r>
    </w:p>
    <w:p>
      <w:pPr>
        <w:pStyle w:val="BodyText"/>
      </w:pPr>
      <m:oMathPara>
        <m:oMathParaPr>
          <m:jc m:val="center"/>
        </m:oMathParaPr>
        <m:oMath>
          <m:r>
            <m:t>H</m:t>
          </m:r>
          <m:d>
            <m:dPr>
              <m:begChr m:val="("/>
              <m:endChr m:val=")"/>
              <m:sepChr m:val=""/>
              <m:grow/>
            </m:dPr>
            <m:e>
              <m:r>
                <m:t>f</m:t>
              </m:r>
            </m:e>
          </m:d>
          <m:r>
            <m:rPr>
              <m:sty m:val="p"/>
            </m:rPr>
            <m:t>=</m:t>
          </m:r>
          <m:r>
            <m:t>1</m:t>
          </m:r>
          <m:r>
            <m:rPr>
              <m:sty m:val="p"/>
            </m:rPr>
            <m:t>+</m:t>
          </m:r>
          <m:r>
            <m:t>b</m:t>
          </m:r>
          <m:sSup>
            <m:e>
              <m:r>
                <m:t>e</m:t>
              </m:r>
            </m:e>
            <m:sup>
              <m:r>
                <m:rPr>
                  <m:sty m:val="p"/>
                </m:rPr>
                <m:t>−</m:t>
              </m:r>
              <m:r>
                <m:t>j</m:t>
              </m:r>
              <m:r>
                <m:t>2</m:t>
              </m:r>
              <m:r>
                <m:t>π</m:t>
              </m:r>
              <m:r>
                <m:t>f</m:t>
              </m:r>
              <m:r>
                <m:t>τ</m:t>
              </m:r>
            </m:sup>
          </m:sSup>
        </m:oMath>
      </m:oMathPara>
    </w:p>
    <w:p>
      <w:pPr>
        <w:pStyle w:val="FirstParagraph"/>
      </w:pPr>
      <w:r>
        <w:t xml:space="preserve">(in cui il fasore rappresenta la componente dovuta al multipath).</w:t>
      </w:r>
      <w:r>
        <w:t xml:space="preserve"> </w:t>
      </w:r>
      <w:r>
        <w:t xml:space="preserve">Per valutare quanto il canale sia ottimale per la trasmissione (cioè se il canale non abbatte la frequenza del segnale che si vuole trasmettere),</w:t>
      </w:r>
      <w:r>
        <w:t xml:space="preserve"> </w:t>
      </w:r>
      <w:r>
        <w:rPr>
          <w:strike/>
        </w:rPr>
        <w:t xml:space="preserve">è sufficiente vedere il modulo</w:t>
      </w:r>
      <w:r>
        <w:rPr>
          <w:rStyle w:val="FootnoteReference"/>
        </w:rPr>
        <w:footnoteReference w:id="96"/>
      </w:r>
    </w:p>
    <w:bookmarkStart w:id="98" w:name="selettività-in-frequenza"/>
    <w:p>
      <w:pPr>
        <w:pStyle w:val="Heading4"/>
      </w:pPr>
      <w:r>
        <w:t xml:space="preserve">Selettività in frequenza</w:t>
      </w:r>
    </w:p>
    <w:p>
      <w:pPr>
        <w:pStyle w:val="FirstParagraph"/>
      </w:pPr>
      <w:r>
        <w:t xml:space="preserve">Si introduce quindi il concetto di</w:t>
      </w:r>
      <w:r>
        <w:t xml:space="preserve"> </w:t>
      </w:r>
      <w:r>
        <w:rPr>
          <w:i/>
          <w:iCs/>
        </w:rPr>
        <w:t xml:space="preserve">selettività in frequenza</w:t>
      </w:r>
      <w:r>
        <w:t xml:space="preserve">; considerando</w:t>
      </w:r>
      <w:r>
        <w:t xml:space="preserve"> </w:t>
      </w:r>
      <m:oMath>
        <m:sSub>
          <m:e>
            <m:r>
              <m:t>B</m:t>
            </m:r>
          </m:e>
          <m:sub>
            <m:r>
              <m:t>x</m:t>
            </m:r>
          </m:sub>
        </m:sSub>
      </m:oMath>
      <w:r>
        <w:t xml:space="preserve"> </w:t>
      </w:r>
      <w:r>
        <w:t xml:space="preserve">la banda del segnale trasmesso:</w:t>
      </w:r>
      <w:r>
        <w:t xml:space="preserve"> </w:t>
      </w:r>
      <w:r>
        <w:t xml:space="preserve">-</w:t>
      </w:r>
      <w:r>
        <w:t xml:space="preserve"> </w:t>
      </w:r>
      <m:oMath>
        <m:sSub>
          <m:e>
            <m:r>
              <m:t>B</m:t>
            </m:r>
          </m:e>
          <m:sub>
            <m:r>
              <m:t>x</m:t>
            </m:r>
          </m:sub>
        </m:sSub>
        <m:r>
          <m:rPr>
            <m:sty m:val="p"/>
          </m:rPr>
          <m:t>≪</m:t>
        </m:r>
        <m:sSub>
          <m:e>
            <m:r>
              <m:t>B</m:t>
            </m:r>
          </m:e>
          <m:sub>
            <m:r>
              <m:t>c</m:t>
            </m:r>
          </m:sub>
        </m:sSub>
      </m:oMath>
      <w:r>
        <w:t xml:space="preserve">: l’effetto del multipath è trascurabile</w:t>
      </w:r>
      <w:r>
        <w:rPr>
          <w:rStyle w:val="FootnoteReference"/>
        </w:rPr>
        <w:footnoteReference w:id="97"/>
      </w:r>
      <w:r>
        <w:t xml:space="preserve"> </w:t>
      </w:r>
      <w:r>
        <w:t xml:space="preserve">e il canale non è selettivo in frequenza (si dirà</w:t>
      </w:r>
      <w:r>
        <w:t xml:space="preserve"> </w:t>
      </w:r>
      <w:r>
        <w:rPr>
          <w:i/>
          <w:iCs/>
        </w:rPr>
        <w:t xml:space="preserve">flat in frequency</w:t>
      </w:r>
      <w:r>
        <w:t xml:space="preserve">), per cui tutte le componenti spettrali del segnale sono trattate allo stesso modo (vedono una risposta piatta). In questo caso, tutte le componenti arrivano approssimativamente nell’intervallo</w:t>
      </w:r>
      <w:r>
        <w:t xml:space="preserve"> </w:t>
      </w:r>
      <m:oMath>
        <m:r>
          <m:t>T</m:t>
        </m:r>
      </m:oMath>
      <w:r>
        <w:t xml:space="preserve"> </w:t>
      </w:r>
      <w:r>
        <w:t xml:space="preserve">possono sommarsi in modo coerente;</w:t>
      </w:r>
      <w:r>
        <w:t xml:space="preserve"> </w:t>
      </w:r>
      <w:r>
        <w:t xml:space="preserve">-</w:t>
      </w:r>
      <w:r>
        <w:t xml:space="preserve"> </w:t>
      </w:r>
      <m:oMath>
        <m:sSub>
          <m:e>
            <m:r>
              <m:t>B</m:t>
            </m:r>
          </m:e>
          <m:sub>
            <m:r>
              <m:t>x</m:t>
            </m:r>
          </m:sub>
        </m:sSub>
        <m:r>
          <m:rPr>
            <m:sty m:val="p"/>
          </m:rPr>
          <m:t>≫</m:t>
        </m:r>
        <m:sSub>
          <m:e>
            <m:r>
              <m:t>B</m:t>
            </m:r>
          </m:e>
          <m:sub>
            <m:r>
              <m:t>c</m:t>
            </m:r>
          </m:sub>
        </m:sSub>
      </m:oMath>
      <w:r>
        <w:t xml:space="preserve">: il canale è selettivo in frequenza, le frequenze separate da un intervallo maggiore di</w:t>
      </w:r>
      <w:r>
        <w:t xml:space="preserve"> </w:t>
      </w:r>
      <m:oMath>
        <m:sSub>
          <m:e>
            <m:r>
              <m:t>B</m:t>
            </m:r>
          </m:e>
          <m:sub>
            <m:r>
              <m:t>c</m:t>
            </m:r>
          </m:sub>
        </m:sSub>
      </m:oMath>
      <w:r>
        <w:t xml:space="preserve"> </w:t>
      </w:r>
      <w:r>
        <w:t xml:space="preserve">subiscono trattamenti diversi, impedendo una somma coerente delle varie componenti spettrali (arrivano oltre l’intervallo</w:t>
      </w:r>
      <w:r>
        <w:t xml:space="preserve"> </w:t>
      </w:r>
      <m:oMath>
        <m:r>
          <m:t>T</m:t>
        </m:r>
      </m:oMath>
      <w:r>
        <w:t xml:space="preserve">).</w:t>
      </w:r>
    </w:p>
    <w:bookmarkEnd w:id="98"/>
    <w:bookmarkEnd w:id="99"/>
    <w:bookmarkStart w:id="101" w:name="effetto-doppler"/>
    <w:p>
      <w:pPr>
        <w:pStyle w:val="Heading3"/>
      </w:pPr>
      <w:r>
        <w:t xml:space="preserve">Effetto Doppler</w:t>
      </w:r>
    </w:p>
    <w:p>
      <w:pPr>
        <w:pStyle w:val="BlockText"/>
      </w:pPr>
      <w:r>
        <w:t xml:space="preserve">[!tip] Effetto Doppler: definizione</w:t>
      </w:r>
      <w:r>
        <w:t xml:space="preserve"> </w:t>
      </w:r>
      <w:r>
        <w:t xml:space="preserve">Con</w:t>
      </w:r>
      <w:r>
        <w:t xml:space="preserve"> </w:t>
      </w:r>
      <w:r>
        <w:rPr>
          <w:i/>
          <w:iCs/>
        </w:rPr>
        <w:t xml:space="preserve">effetto Doppler</w:t>
      </w:r>
      <w:r>
        <w:t xml:space="preserve"> </w:t>
      </w:r>
      <w:r>
        <w:t xml:space="preserve">si identifica un fenomeno per il quale, a causa del moto relativo di trasmettitore e ricevitore, il segnale ricevuto è soggetto ad uno</w:t>
      </w:r>
      <w:r>
        <w:t xml:space="preserve"> </w:t>
      </w:r>
      <w:r>
        <w:rPr>
          <w:b/>
          <w:bCs/>
        </w:rPr>
        <w:t xml:space="preserve">slittamento in frequenza</w:t>
      </w:r>
      <w:r>
        <w:t xml:space="preserve">, proporzionale alla frequenza del segnale trasmetto, alla velocità e al coseno dell’angolo dell’onda incidente.</w:t>
      </w:r>
    </w:p>
    <w:p>
      <w:pPr>
        <w:pStyle w:val="FirstParagraph"/>
      </w:pPr>
      <w:r>
        <w:t xml:space="preserve">Analogamente a quanto avviene con il multpath, un canale su cui insiste l’effetto Doppler può essere</w:t>
      </w:r>
      <w:r>
        <w:t xml:space="preserve"> </w:t>
      </w:r>
      <w:r>
        <w:rPr>
          <w:i/>
          <w:iCs/>
        </w:rPr>
        <w:t xml:space="preserve">dispersivo/selettivo in frequenza</w:t>
      </w:r>
      <w:r>
        <w:t xml:space="preserve">.</w:t>
      </w:r>
    </w:p>
    <w:p>
      <w:pPr>
        <w:pStyle w:val="BodyText"/>
      </w:pPr>
      <w:r>
        <w:t xml:space="preserve">In formule, si ha (considerando due percorsi e movimento, ma trascurando attenuazione e ritardo):</w:t>
      </w:r>
    </w:p>
    <w:p>
      <w:pPr>
        <w:pStyle w:val="BodyText"/>
      </w:pPr>
      <m:oMathPara>
        <m:oMathParaPr>
          <m:jc m:val="center"/>
        </m:oMathParaPr>
        <m:oMath>
          <m:r>
            <m:t>x</m:t>
          </m:r>
          <m:d>
            <m:dPr>
              <m:begChr m:val="("/>
              <m:endChr m:val=")"/>
              <m:sepChr m:val=""/>
              <m:grow/>
            </m:dPr>
            <m:e>
              <m:r>
                <m:t>t</m:t>
              </m:r>
            </m:e>
          </m:d>
          <m:r>
            <m:rPr>
              <m:sty m:val="p"/>
            </m:rPr>
            <m:t>=</m:t>
          </m:r>
          <m:r>
            <m:t>A</m:t>
          </m:r>
          <m:sSup>
            <m:e>
              <m:r>
                <m:t>e</m:t>
              </m:r>
            </m:e>
            <m:sup>
              <m:r>
                <m:t>j</m:t>
              </m:r>
              <m:r>
                <m:t>2</m:t>
              </m:r>
              <m:r>
                <m:t>π</m:t>
              </m:r>
              <m:sSub>
                <m:e>
                  <m:r>
                    <m:t>f</m:t>
                  </m:r>
                </m:e>
                <m:sub>
                  <m:r>
                    <m:t>0</m:t>
                  </m:r>
                </m:sub>
              </m:sSub>
              <m:r>
                <m:t>t</m:t>
              </m:r>
            </m:sup>
          </m:sSup>
        </m:oMath>
      </m:oMathPara>
    </w:p>
    <w:p>
      <w:pPr>
        <w:pStyle w:val="FirstParagraph"/>
      </w:pPr>
      <m:oMathPara>
        <m:oMathParaPr>
          <m:jc m:val="center"/>
        </m:oMathParaPr>
        <m:oMath>
          <m:sSub>
            <m:e>
              <m:r>
                <m:t>f</m:t>
              </m:r>
            </m:e>
            <m:sub>
              <m:r>
                <m:t>D</m:t>
              </m:r>
              <m:r>
                <m:t>1</m:t>
              </m:r>
            </m:sub>
          </m:sSub>
          <m:r>
            <m:rPr>
              <m:sty m:val="p"/>
            </m:rPr>
            <m:t>=</m:t>
          </m:r>
          <m:sSub>
            <m:e>
              <m:r>
                <m:t>f</m:t>
              </m:r>
            </m:e>
            <m:sub>
              <m:r>
                <m:t>0</m:t>
              </m:r>
            </m:sub>
          </m:sSub>
          <m:f>
            <m:fPr>
              <m:type m:val="bar"/>
            </m:fPr>
            <m:num>
              <m:r>
                <m:t>v</m:t>
              </m:r>
            </m:num>
            <m:den>
              <m:r>
                <m:t>c</m:t>
              </m:r>
            </m:den>
          </m:f>
          <m:r>
            <m:rPr>
              <m:sty m:val="p"/>
            </m:rPr>
            <m:t>cos</m:t>
          </m:r>
          <m:d>
            <m:dPr>
              <m:begChr m:val="("/>
              <m:endChr m:val=")"/>
              <m:sepChr m:val=""/>
              <m:grow/>
            </m:dPr>
            <m:e>
              <m:r>
                <m:t>0</m:t>
              </m:r>
            </m:e>
          </m:d>
          <m:r>
            <m:rPr>
              <m:sty m:val="p"/>
            </m:rPr>
            <m:t>=</m:t>
          </m:r>
          <m:sSub>
            <m:e>
              <m:r>
                <m:t>f</m:t>
              </m:r>
            </m:e>
            <m:sub>
              <m:r>
                <m:t>0</m:t>
              </m:r>
            </m:sub>
          </m:sSub>
          <m:f>
            <m:fPr>
              <m:type m:val="bar"/>
            </m:fPr>
            <m:num>
              <m:r>
                <m:t>v</m:t>
              </m:r>
            </m:num>
            <m:den>
              <m:r>
                <m:t>c</m:t>
              </m:r>
            </m:den>
          </m:f>
        </m:oMath>
      </m:oMathPara>
    </w:p>
    <w:p>
      <w:pPr>
        <w:pStyle w:val="FirstParagraph"/>
      </w:pPr>
      <m:oMathPara>
        <m:oMathParaPr>
          <m:jc m:val="center"/>
        </m:oMathParaPr>
        <m:oMath>
          <m:sSub>
            <m:e>
              <m:r>
                <m:t>f</m:t>
              </m:r>
            </m:e>
            <m:sub>
              <m:r>
                <m:t>D</m:t>
              </m:r>
              <m:r>
                <m:t>2</m:t>
              </m:r>
            </m:sub>
          </m:sSub>
          <m:r>
            <m:rPr>
              <m:sty m:val="p"/>
            </m:rPr>
            <m:t>=</m:t>
          </m:r>
          <m:sSub>
            <m:e>
              <m:r>
                <m:t>f</m:t>
              </m:r>
            </m:e>
            <m:sub>
              <m:r>
                <m:t>0</m:t>
              </m:r>
            </m:sub>
          </m:sSub>
          <m:f>
            <m:fPr>
              <m:type m:val="bar"/>
            </m:fPr>
            <m:num>
              <m:r>
                <m:t>v</m:t>
              </m:r>
            </m:num>
            <m:den>
              <m:r>
                <m:t>c</m:t>
              </m:r>
            </m:den>
          </m:f>
          <m:r>
            <m:rPr>
              <m:sty m:val="p"/>
            </m:rPr>
            <m:t>cos</m:t>
          </m:r>
          <m:d>
            <m:dPr>
              <m:begChr m:val="("/>
              <m:endChr m:val=")"/>
              <m:sepChr m:val=""/>
              <m:grow/>
            </m:dPr>
            <m:e>
              <m:r>
                <m:t>γ</m:t>
              </m:r>
            </m:e>
          </m:d>
        </m:oMath>
      </m:oMathPara>
    </w:p>
    <w:p>
      <w:pPr>
        <w:pStyle w:val="FirstParagraph"/>
      </w:pPr>
      <m:oMathPara>
        <m:oMathParaPr>
          <m:jc m:val="center"/>
        </m:oMathParaPr>
        <m:oMath>
          <m:r>
            <m:t>y</m:t>
          </m:r>
          <m:d>
            <m:dPr>
              <m:begChr m:val="("/>
              <m:endChr m:val=")"/>
              <m:sepChr m:val=""/>
              <m:grow/>
            </m:dPr>
            <m:e>
              <m:r>
                <m:t>t</m:t>
              </m:r>
            </m:e>
          </m:d>
          <m:r>
            <m:rPr>
              <m:sty m:val="p"/>
            </m:rPr>
            <m:t>=</m:t>
          </m:r>
          <m:r>
            <m:t>A</m:t>
          </m:r>
          <m:sSup>
            <m:e>
              <m:r>
                <m:t>e</m:t>
              </m:r>
            </m:e>
            <m:sup>
              <m:r>
                <m:t>j</m:t>
              </m:r>
              <m:r>
                <m:t>2</m:t>
              </m:r>
              <m:r>
                <m:t>π</m:t>
              </m:r>
              <m:d>
                <m:dPr>
                  <m:begChr m:val="("/>
                  <m:endChr m:val=")"/>
                  <m:sepChr m:val=""/>
                  <m:grow/>
                </m:dPr>
                <m:e>
                  <m:sSub>
                    <m:e>
                      <m:r>
                        <m:t>f</m:t>
                      </m:r>
                    </m:e>
                    <m:sub>
                      <m:r>
                        <m:t>0</m:t>
                      </m:r>
                    </m:sub>
                  </m:sSub>
                  <m:r>
                    <m:rPr>
                      <m:sty m:val="p"/>
                    </m:rPr>
                    <m:t>−</m:t>
                  </m:r>
                  <m:sSub>
                    <m:e>
                      <m:r>
                        <m:t>f</m:t>
                      </m:r>
                    </m:e>
                    <m:sub>
                      <m:r>
                        <m:t>D</m:t>
                      </m:r>
                      <m:r>
                        <m:t>1</m:t>
                      </m:r>
                    </m:sub>
                  </m:sSub>
                </m:e>
              </m:d>
              <m:r>
                <m:t>t</m:t>
              </m:r>
            </m:sup>
          </m:sSup>
          <m:r>
            <m:rPr>
              <m:sty m:val="p"/>
            </m:rPr>
            <m:t>+</m:t>
          </m:r>
          <m:r>
            <m:t>A</m:t>
          </m:r>
          <m:sSup>
            <m:e>
              <m:r>
                <m:t>e</m:t>
              </m:r>
            </m:e>
            <m:sup>
              <m:r>
                <m:t>j</m:t>
              </m:r>
              <m:r>
                <m:t>2</m:t>
              </m:r>
              <m:r>
                <m:t>π</m:t>
              </m:r>
              <m:d>
                <m:dPr>
                  <m:begChr m:val="("/>
                  <m:endChr m:val=")"/>
                  <m:sepChr m:val=""/>
                  <m:grow/>
                </m:dPr>
                <m:e>
                  <m:sSub>
                    <m:e>
                      <m:r>
                        <m:t>f</m:t>
                      </m:r>
                    </m:e>
                    <m:sub>
                      <m:r>
                        <m:t>0</m:t>
                      </m:r>
                    </m:sub>
                  </m:sSub>
                  <m:r>
                    <m:rPr>
                      <m:sty m:val="p"/>
                    </m:rPr>
                    <m:t>−</m:t>
                  </m:r>
                  <m:sSub>
                    <m:e>
                      <m:r>
                        <m:t>f</m:t>
                      </m:r>
                    </m:e>
                    <m:sub>
                      <m:r>
                        <m:t>D</m:t>
                      </m:r>
                      <m:r>
                        <m:t>2</m:t>
                      </m:r>
                    </m:sub>
                  </m:sSub>
                </m:e>
              </m:d>
              <m:r>
                <m:t>t</m:t>
              </m:r>
            </m:sup>
          </m:sSup>
        </m:oMath>
      </m:oMathPara>
    </w:p>
    <w:p>
      <w:pPr>
        <w:pStyle w:val="FirstParagraph"/>
      </w:pPr>
      <w:r>
        <w:t xml:space="preserve">Per dualità, si ricavano i parametri:</w:t>
      </w:r>
      <w:r>
        <w:t xml:space="preserve"> </w:t>
      </w:r>
      <w:r>
        <w:t xml:space="preserve">-</w:t>
      </w:r>
      <w:r>
        <w:t xml:space="preserve"> </w:t>
      </w:r>
      <m:oMath>
        <m:r>
          <m:t>D</m:t>
        </m:r>
        <m:r>
          <m:t>o</m:t>
        </m:r>
        <m:sSub>
          <m:e>
            <m:r>
              <m:t>p</m:t>
            </m:r>
          </m:e>
          <m:sub>
            <m:r>
              <m:t>s</m:t>
            </m:r>
          </m:sub>
        </m:sSub>
      </m:oMath>
      <w:r>
        <w:t xml:space="preserve">,</w:t>
      </w:r>
      <w:r>
        <w:t xml:space="preserve"> </w:t>
      </w:r>
      <w:r>
        <w:rPr>
          <w:i/>
          <w:iCs/>
        </w:rPr>
        <w:t xml:space="preserve">Doppler spread</w:t>
      </w:r>
      <w:r>
        <w:t xml:space="preserve">, cioè la massima dispersione in frequenza;</w:t>
      </w:r>
      <w:r>
        <w:t xml:space="preserve"> </w:t>
      </w:r>
      <w:r>
        <w:t xml:space="preserve">-</w:t>
      </w:r>
      <w:r>
        <w:t xml:space="preserve"> </w:t>
      </w:r>
      <m:oMath>
        <m:r>
          <m:t>T</m:t>
        </m:r>
        <m:r>
          <m:t>c</m:t>
        </m:r>
        <m:r>
          <m:rPr>
            <m:sty m:val="p"/>
          </m:rPr>
          <m:t>=</m:t>
        </m:r>
        <m:f>
          <m:fPr>
            <m:type m:val="bar"/>
          </m:fPr>
          <m:num>
            <m:r>
              <m:t>1</m:t>
            </m:r>
          </m:num>
          <m:den>
            <m:r>
              <m:t>D</m:t>
            </m:r>
            <m:r>
              <m:t>o</m:t>
            </m:r>
            <m:sSub>
              <m:e>
                <m:r>
                  <m:t>p</m:t>
                </m:r>
              </m:e>
              <m:sub>
                <m:r>
                  <m:t>s</m:t>
                </m:r>
              </m:sub>
            </m:sSub>
          </m:den>
        </m:f>
      </m:oMath>
      <w:r>
        <w:t xml:space="preserve">,</w:t>
      </w:r>
      <w:r>
        <w:t xml:space="preserve"> </w:t>
      </w:r>
      <w:r>
        <w:rPr>
          <w:i/>
          <w:iCs/>
        </w:rPr>
        <w:t xml:space="preserve">tempo di coerenza</w:t>
      </w:r>
      <w:r>
        <w:t xml:space="preserve">.</w:t>
      </w:r>
      <w:r>
        <w:t xml:space="preserve"> </w:t>
      </w:r>
      <w:r>
        <w:t xml:space="preserve">Il Doppler spread causa dispersione in frequenza e fading selettivo nel tempo.</w:t>
      </w:r>
    </w:p>
    <w:bookmarkStart w:id="100" w:name="selettività-nel-tempo"/>
    <w:p>
      <w:pPr>
        <w:pStyle w:val="Heading4"/>
      </w:pPr>
      <w:r>
        <w:t xml:space="preserve">Selettività nel tempo</w:t>
      </w:r>
    </w:p>
    <w:p>
      <w:pPr>
        <w:pStyle w:val="FirstParagraph"/>
      </w:pPr>
      <w:r>
        <w:t xml:space="preserve">Data</w:t>
      </w:r>
      <w:r>
        <w:t xml:space="preserve"> </w:t>
      </w:r>
      <m:oMath>
        <m:sSub>
          <m:e>
            <m:r>
              <m:t>T</m:t>
            </m:r>
          </m:e>
          <m:sub>
            <m:r>
              <m:t>x</m:t>
            </m:r>
          </m:sub>
        </m:sSub>
      </m:oMath>
      <w:r>
        <w:t xml:space="preserve"> </w:t>
      </w:r>
      <w:r>
        <w:t xml:space="preserve">durata del segnale trasmesso:</w:t>
      </w:r>
      <w:r>
        <w:t xml:space="preserve"> </w:t>
      </w:r>
      <w:r>
        <w:t xml:space="preserve">-</w:t>
      </w:r>
      <w:r>
        <w:t xml:space="preserve"> </w:t>
      </w:r>
      <m:oMath>
        <m:sSub>
          <m:e>
            <m:r>
              <m:t>T</m:t>
            </m:r>
          </m:e>
          <m:sub>
            <m:r>
              <m:t>x</m:t>
            </m:r>
          </m:sub>
        </m:sSub>
        <m:r>
          <m:rPr>
            <m:sty m:val="p"/>
          </m:rPr>
          <m:t>≪</m:t>
        </m:r>
        <m:sSub>
          <m:e>
            <m:r>
              <m:t>T</m:t>
            </m:r>
          </m:e>
          <m:sub>
            <m:r>
              <m:t>c</m:t>
            </m:r>
          </m:sub>
        </m:sSub>
      </m:oMath>
      <w:r>
        <w:t xml:space="preserve">: l’effetto Doppler è trascurabile e il canale non è selettivo nel tempo (</w:t>
      </w:r>
      <w:r>
        <w:rPr>
          <w:i/>
          <w:iCs/>
        </w:rPr>
        <w:t xml:space="preserve">flat in time</w:t>
      </w:r>
      <w:r>
        <w:t xml:space="preserve">). Da ciò deriva che il segnale è trattato in modo uguale in istanti temporali diversi;</w:t>
      </w:r>
      <w:r>
        <w:t xml:space="preserve"> </w:t>
      </w:r>
      <w:r>
        <w:t xml:space="preserve">-</w:t>
      </w:r>
      <w:r>
        <w:t xml:space="preserve"> </w:t>
      </w:r>
      <m:oMath>
        <m:sSub>
          <m:e>
            <m:r>
              <m:t>T</m:t>
            </m:r>
          </m:e>
          <m:sub>
            <m:r>
              <m:t>x</m:t>
            </m:r>
          </m:sub>
        </m:sSub>
        <m:r>
          <m:rPr>
            <m:sty m:val="p"/>
          </m:rPr>
          <m:t>≫</m:t>
        </m:r>
        <m:sSub>
          <m:e>
            <m:r>
              <m:t>T</m:t>
            </m:r>
          </m:e>
          <m:sub>
            <m:r>
              <m:t>c</m:t>
            </m:r>
          </m:sub>
        </m:sSub>
      </m:oMath>
      <w:r>
        <w:t xml:space="preserve">: il canale è selettivo nel tempo e il segnale è trattato diversamente in istanti temporali differenti.</w:t>
      </w:r>
    </w:p>
    <w:bookmarkEnd w:id="100"/>
    <w:bookmarkEnd w:id="101"/>
    <w:bookmarkEnd w:id="102"/>
    <w:bookmarkStart w:id="104" w:name="classificazione-del-fading"/>
    <w:p>
      <w:pPr>
        <w:pStyle w:val="Heading2"/>
      </w:pPr>
      <w:r>
        <w:t xml:space="preserve">Classificazione del fading</w:t>
      </w:r>
    </w:p>
    <w:p>
      <w:pPr>
        <w:pStyle w:val="FirstParagraph"/>
      </w:pPr>
      <w:r>
        <w:t xml:space="preserve">![[Pasted image 20231114115023.png]]</w:t>
      </w:r>
    </w:p>
    <w:bookmarkStart w:id="103" w:name="slow-fading"/>
    <w:p>
      <w:pPr>
        <w:pStyle w:val="Heading3"/>
      </w:pPr>
      <w:r>
        <w:t xml:space="preserve">Slow fading</w:t>
      </w:r>
    </w:p>
    <w:p>
      <w:pPr>
        <w:pStyle w:val="FirstParagraph"/>
      </w:pPr>
      <w:r>
        <w:t xml:space="preserve">Date le seguenti proprietà:</w:t>
      </w:r>
      <w:r>
        <w:t xml:space="preserve"> </w:t>
      </w:r>
      <w:r>
        <w:t xml:space="preserve">1. il canale non è selettivo in frequenza;</w:t>
      </w:r>
      <w:r>
        <w:t xml:space="preserve"> </w:t>
      </w:r>
      <w:r>
        <w:t xml:space="preserve">2. il canale è selettivo nel tempo, ma la risposta varia tra un intervallo di simbolo e il successivo (e non apprezzabilmente nell’intervallo di un simbolo)</w:t>
      </w:r>
      <w:r>
        <w:t xml:space="preserve"> </w:t>
      </w:r>
      <w:r>
        <w:t xml:space="preserve">si parla di</w:t>
      </w:r>
      <w:r>
        <w:t xml:space="preserve"> </w:t>
      </w:r>
      <w:r>
        <w:rPr>
          <w:i/>
          <w:iCs/>
        </w:rPr>
        <w:t xml:space="preserve">frequency-flat</w:t>
      </w:r>
      <w:r>
        <w:rPr>
          <w:i/>
          <w:iCs/>
        </w:rPr>
        <w:t xml:space="preserve"> </w:t>
      </w:r>
      <w:r>
        <w:rPr>
          <w:b/>
          <w:bCs/>
          <w:i/>
          <w:iCs/>
        </w:rPr>
        <w:t xml:space="preserve">slow</w:t>
      </w:r>
      <w:r>
        <w:rPr>
          <w:i/>
          <w:iCs/>
        </w:rPr>
        <w:t xml:space="preserve"> </w:t>
      </w:r>
      <w:r>
        <w:rPr>
          <w:i/>
          <w:iCs/>
        </w:rPr>
        <w:t xml:space="preserve">fading</w:t>
      </w:r>
      <w:r>
        <w:t xml:space="preserve">.</w:t>
      </w:r>
    </w:p>
    <w:bookmarkEnd w:id="103"/>
    <w:bookmarkEnd w:id="104"/>
    <w:bookmarkStart w:id="105" w:name="sum-up"/>
    <w:p>
      <w:pPr>
        <w:pStyle w:val="Heading2"/>
      </w:pPr>
      <w:r>
        <w:t xml:space="preserve">Sum up</w:t>
      </w:r>
    </w:p>
    <w:p>
      <w:pPr>
        <w:pStyle w:val="FirstParagraph"/>
      </w:pPr>
      <w:r>
        <w:t xml:space="preserve">Dati</w:t>
      </w:r>
      <w:r>
        <w:t xml:space="preserve"> </w:t>
      </w:r>
      <m:oMath>
        <m:r>
          <m:t>n</m:t>
        </m:r>
      </m:oMath>
      <w:r>
        <w:t xml:space="preserve"> </w:t>
      </w:r>
      <w:r>
        <w:t xml:space="preserve">percorsi e movimento, si ottiene:</w:t>
      </w:r>
    </w:p>
    <w:p>
      <w:pPr>
        <w:pStyle w:val="BodyText"/>
      </w:pPr>
      <m:oMathPara>
        <m:oMathParaPr>
          <m:jc m:val="center"/>
        </m:oMathParaPr>
        <m:oMath>
          <m:sSub>
            <m:e>
              <m:r>
                <m:t>f</m:t>
              </m:r>
            </m:e>
            <m:sub>
              <m:r>
                <m:t>i</m:t>
              </m:r>
            </m:sub>
          </m:sSub>
          <m:r>
            <m:rPr>
              <m:sty m:val="p"/>
            </m:rPr>
            <m:t>=</m:t>
          </m:r>
          <m:sSub>
            <m:e>
              <m:r>
                <m:t>f</m:t>
              </m:r>
            </m:e>
            <m:sub>
              <m:r>
                <m:t>0</m:t>
              </m:r>
            </m:sub>
          </m:sSub>
          <m:f>
            <m:fPr>
              <m:type m:val="bar"/>
            </m:fPr>
            <m:num>
              <m:r>
                <m:t>v</m:t>
              </m:r>
            </m:num>
            <m:den>
              <m:r>
                <m:t>c</m:t>
              </m:r>
            </m:den>
          </m:f>
          <m:r>
            <m:rPr>
              <m:sty m:val="p"/>
            </m:rPr>
            <m:t>cos</m:t>
          </m:r>
          <m:d>
            <m:dPr>
              <m:begChr m:val="("/>
              <m:endChr m:val=")"/>
              <m:sepChr m:val=""/>
              <m:grow/>
            </m:dPr>
            <m:e>
              <m:sSub>
                <m:e>
                  <m:r>
                    <m:t>γ</m:t>
                  </m:r>
                </m:e>
                <m:sub>
                  <m:r>
                    <m:t>i</m:t>
                  </m:r>
                </m:sub>
              </m:sSub>
            </m:e>
          </m:d>
        </m:oMath>
      </m:oMathPara>
    </w:p>
    <w:p>
      <w:pPr>
        <w:pStyle w:val="FirstParagraph"/>
      </w:pPr>
      <m:oMathPara>
        <m:oMathParaPr>
          <m:jc m:val="center"/>
        </m:oMathParaPr>
        <m:oMath>
          <m:r>
            <m:t>y</m:t>
          </m:r>
          <m:d>
            <m:dPr>
              <m:begChr m:val="("/>
              <m:endChr m:val=")"/>
              <m:sepChr m:val=""/>
              <m:grow/>
            </m:dPr>
            <m:e>
              <m:r>
                <m:t>t</m:t>
              </m:r>
            </m:e>
          </m:d>
          <m:r>
            <m:rPr>
              <m:sty m:val="p"/>
            </m:rPr>
            <m:t>=</m:t>
          </m:r>
          <m:nary>
            <m:naryPr>
              <m:chr m:val="∑"/>
              <m:limLoc m:val="undOvr"/>
              <m:subHide m:val="off"/>
              <m:supHide m:val="off"/>
            </m:naryPr>
            <m:sub>
              <m:r>
                <m:t>i</m:t>
              </m:r>
              <m:r>
                <m:rPr>
                  <m:sty m:val="p"/>
                </m:rPr>
                <m:t>=</m:t>
              </m:r>
              <m:r>
                <m:t>1</m:t>
              </m:r>
            </m:sub>
            <m:sup>
              <m:r>
                <m:t>N</m:t>
              </m:r>
            </m:sup>
            <m:e>
              <m:r>
                <m:t>A</m:t>
              </m:r>
            </m:e>
          </m:nary>
          <m:sSup>
            <m:e>
              <m:r>
                <m:t>e</m:t>
              </m:r>
            </m:e>
            <m:sup>
              <m:r>
                <m:t>j</m:t>
              </m:r>
              <m:r>
                <m:t>2</m:t>
              </m:r>
              <m:r>
                <m:t>π</m:t>
              </m:r>
              <m:d>
                <m:dPr>
                  <m:begChr m:val="("/>
                  <m:endChr m:val=")"/>
                  <m:sepChr m:val=""/>
                  <m:grow/>
                </m:dPr>
                <m:e>
                  <m:sSub>
                    <m:e>
                      <m:r>
                        <m:t>f</m:t>
                      </m:r>
                    </m:e>
                    <m:sub>
                      <m:r>
                        <m:t>0</m:t>
                      </m:r>
                    </m:sub>
                  </m:sSub>
                  <m:r>
                    <m:rPr>
                      <m:sty m:val="p"/>
                    </m:rPr>
                    <m:t>−</m:t>
                  </m:r>
                  <m:sSub>
                    <m:e>
                      <m:r>
                        <m:t>f</m:t>
                      </m:r>
                    </m:e>
                    <m:sub>
                      <m:r>
                        <m:t>i</m:t>
                      </m:r>
                    </m:sub>
                  </m:sSub>
                </m:e>
              </m:d>
              <m:r>
                <m:t>t</m:t>
              </m:r>
              <m:r>
                <m:rPr>
                  <m:sty m:val="p"/>
                </m:rPr>
                <m:t>+</m:t>
              </m:r>
              <m:r>
                <m:t>j</m:t>
              </m:r>
              <m:sSub>
                <m:e>
                  <m:r>
                    <m:t>θ</m:t>
                  </m:r>
                </m:e>
                <m:sub>
                  <m:r>
                    <m:t>i</m:t>
                  </m:r>
                </m:sub>
              </m:sSub>
            </m:sup>
          </m:sSup>
        </m:oMath>
      </m:oMathPara>
    </w:p>
    <w:p>
      <w:pPr>
        <w:pStyle w:val="FirstParagraph"/>
      </w:pPr>
      <m:oMathPara>
        <m:oMathParaPr>
          <m:jc m:val="center"/>
        </m:oMathParaPr>
        <m:oMath>
          <m:r>
            <m:t>y</m:t>
          </m:r>
          <m:d>
            <m:dPr>
              <m:begChr m:val="("/>
              <m:endChr m:val=")"/>
              <m:sepChr m:val=""/>
              <m:grow/>
            </m:dPr>
            <m:e>
              <m:r>
                <m:t>t</m:t>
              </m:r>
            </m:e>
          </m:d>
          <m:r>
            <m:rPr>
              <m:sty m:val="p"/>
            </m:rPr>
            <m:t>=</m:t>
          </m:r>
          <m:sSup>
            <m:e>
              <m:r>
                <m:t>e</m:t>
              </m:r>
            </m:e>
            <m:sup>
              <m:r>
                <m:t>j</m:t>
              </m:r>
              <m:r>
                <m:t>2</m:t>
              </m:r>
              <m:r>
                <m:t>π</m:t>
              </m:r>
              <m:sSub>
                <m:e>
                  <m:r>
                    <m:t>f</m:t>
                  </m:r>
                </m:e>
                <m:sub>
                  <m:r>
                    <m:t>0</m:t>
                  </m:r>
                </m:sub>
              </m:sSub>
              <m:r>
                <m:t>t</m:t>
              </m:r>
            </m:sup>
          </m:sSup>
          <m:nary>
            <m:naryPr>
              <m:chr m:val="∑"/>
              <m:limLoc m:val="undOvr"/>
              <m:subHide m:val="off"/>
              <m:supHide m:val="off"/>
            </m:naryPr>
            <m:sub>
              <m:r>
                <m:t>i</m:t>
              </m:r>
              <m:r>
                <m:rPr>
                  <m:sty m:val="p"/>
                </m:rPr>
                <m:t>=</m:t>
              </m:r>
              <m:r>
                <m:t>1</m:t>
              </m:r>
            </m:sub>
            <m:sup>
              <m:r>
                <m:t>N</m:t>
              </m:r>
            </m:sup>
            <m:e>
              <m:r>
                <m:t>A</m:t>
              </m:r>
            </m:e>
          </m:nary>
          <m:sSup>
            <m:e>
              <m:r>
                <m:t>e</m:t>
              </m:r>
            </m:e>
            <m:sup>
              <m:r>
                <m:rPr>
                  <m:sty m:val="p"/>
                </m:rPr>
                <m:t>−</m:t>
              </m:r>
              <m:r>
                <m:t>j</m:t>
              </m:r>
              <m:d>
                <m:dPr>
                  <m:begChr m:val="("/>
                  <m:endChr m:val=")"/>
                  <m:sepChr m:val=""/>
                  <m:grow/>
                </m:dPr>
                <m:e>
                  <m:r>
                    <m:t>2</m:t>
                  </m:r>
                  <m:r>
                    <m:t>π</m:t>
                  </m:r>
                  <m:sSub>
                    <m:e>
                      <m:r>
                        <m:t>f</m:t>
                      </m:r>
                    </m:e>
                    <m:sub>
                      <m:r>
                        <m:t>i</m:t>
                      </m:r>
                    </m:sub>
                  </m:sSub>
                  <m:r>
                    <m:t>t</m:t>
                  </m:r>
                  <m:r>
                    <m:rPr>
                      <m:sty m:val="p"/>
                    </m:rPr>
                    <m:t>−</m:t>
                  </m:r>
                  <m:sSub>
                    <m:e>
                      <m:r>
                        <m:t>θ</m:t>
                      </m:r>
                    </m:e>
                    <m:sub>
                      <m:r>
                        <m:t>i</m:t>
                      </m:r>
                    </m:sub>
                  </m:sSub>
                </m:e>
              </m:d>
            </m:sup>
          </m:sSup>
        </m:oMath>
      </m:oMathPara>
    </w:p>
    <w:p>
      <w:pPr>
        <w:pStyle w:val="FirstParagraph"/>
      </w:pPr>
      <w:r>
        <w:t xml:space="preserve">Quest’ultima espressione include il ritardo dei diversi cammini.</w:t>
      </w:r>
    </w:p>
    <w:p>
      <w:pPr>
        <w:pStyle w:val="BodyText"/>
      </w:pPr>
      <w:r>
        <w:t xml:space="preserve">%%</w:t>
      </w:r>
    </w:p>
    <w:bookmarkEnd w:id="105"/>
    <w:bookmarkEnd w:id="106"/>
    <w:bookmarkStart w:id="108" w:name="appunti-lezione"/>
    <w:p>
      <w:pPr>
        <w:pStyle w:val="Heading1"/>
      </w:pPr>
      <w:r>
        <w:t xml:space="preserve">Appunti Lezione</w:t>
      </w:r>
    </w:p>
    <w:p>
      <w:pPr>
        <w:pStyle w:val="FirstParagraph"/>
      </w:pPr>
      <w:r>
        <w:rPr>
          <w:i/>
          <w:iCs/>
        </w:rPr>
        <w:t xml:space="preserve">Simulazione di trasmissione digitale e valutazione delle performance.</w:t>
      </w:r>
    </w:p>
    <w:p>
      <w:pPr>
        <w:pStyle w:val="BodyText"/>
      </w:pPr>
      <w:r>
        <w:rPr>
          <w:b/>
          <w:bCs/>
        </w:rPr>
        <w:t xml:space="preserve">Sorgente</w:t>
      </w:r>
      <w:r>
        <w:t xml:space="preserve">: segnale da trasmettere, va recuperato a destinazione.</w:t>
      </w:r>
    </w:p>
    <w:p>
      <w:pPr>
        <w:pStyle w:val="BodyText"/>
      </w:pPr>
      <w:r>
        <w:t xml:space="preserve">Per trasmettere si campiona (discretizzazione su asse tempo) e si quantizza.</w:t>
      </w:r>
    </w:p>
    <w:p>
      <w:pPr>
        <w:pStyle w:val="BodyText"/>
      </w:pPr>
      <w:r>
        <w:t xml:space="preserve">🚨</w:t>
      </w:r>
      <w:r>
        <w:t xml:space="preserve"> </w:t>
      </w:r>
      <w:r>
        <w:rPr>
          <w:b/>
          <w:bCs/>
        </w:rPr>
        <w:t xml:space="preserve">Urgente</w:t>
      </w:r>
      <w:r>
        <w:t xml:space="preserve">: Rivedere teorema di Shannon, Trasformata di Fourier, operazioni di base 🚨</w:t>
      </w:r>
    </w:p>
    <w:p>
      <w:pPr>
        <w:pStyle w:val="BodyText"/>
      </w:pPr>
      <w:r>
        <w:t xml:space="preserve">Frequenza di Nyquist: almeno due volte la banda massima, (Il passo è l’inverso della banda)</w:t>
      </w:r>
    </w:p>
    <w:p>
      <w:pPr>
        <w:pStyle w:val="BodyText"/>
      </w:pPr>
      <w:r>
        <w:t xml:space="preserve">Durata finita -&gt; banda infinita; banda finita -&gt; durata infinita (troncamento &amp; convuluzione). Si applica il teorema del campionamento perché, ad un certo punto, l’energia di un segnale diventa trascurabile.</w:t>
      </w:r>
    </w:p>
    <w:p>
      <w:pPr>
        <w:pStyle w:val="BodyText"/>
      </w:pPr>
      <w:r>
        <w:t xml:space="preserve">Velocirà di variazione influenzata dalla massima frequenza, forma da tutte le frequenze.</w:t>
      </w:r>
    </w:p>
    <w:p>
      <w:pPr>
        <w:pStyle w:val="BodyText"/>
      </w:pPr>
      <w:r>
        <w:rPr>
          <w:rStyle w:val="VerbatimChar"/>
        </w:rPr>
        <w:t xml:space="preserve">fft</w:t>
      </w:r>
      <w:r>
        <w:t xml:space="preserve">: fast fourier transform. Poi si applica</w:t>
      </w:r>
      <w:r>
        <w:t xml:space="preserve"> </w:t>
      </w:r>
      <w:r>
        <w:rPr>
          <w:rStyle w:val="VerbatimChar"/>
        </w:rPr>
        <w:t xml:space="preserve">fftshift</w:t>
      </w:r>
      <w:r>
        <w:t xml:space="preserve">.</w:t>
      </w:r>
    </w:p>
    <w:p>
      <w:pPr>
        <w:pStyle w:val="BodyText"/>
      </w:pPr>
      <w:r>
        <w:t xml:space="preserve">Trasformata delta di dirac: fasore infinito. Se si tronca il fasore, si ottiene una convuluzione; una convulazione per una delta si ottiene il segnale stesso.</w:t>
      </w:r>
    </w:p>
    <w:p>
      <w:pPr>
        <w:pStyle w:val="BodyText"/>
      </w:pPr>
      <w:r>
        <w:t xml:space="preserve">Trasformata finestra rettangolare è una sync. Se la finestra si allunga, si converge ad una delta di dirac.</w:t>
      </w:r>
    </w:p>
    <w:p>
      <w:pPr>
        <w:pStyle w:val="BodyText"/>
      </w:pPr>
      <w:r>
        <w:t xml:space="preserve">La banda si vede dal grafico (dove c’è il picco).</w:t>
      </w:r>
    </w:p>
    <w:bookmarkStart w:id="107" w:name="trasmetti-su-m-possibilità"/>
    <w:p>
      <w:pPr>
        <w:pStyle w:val="Heading2"/>
      </w:pPr>
      <w:r>
        <w:t xml:space="preserve">Trasmetti su</w:t>
      </w:r>
      <w:r>
        <w:t xml:space="preserve"> </w:t>
      </w:r>
      <m:oMath>
        <m:r>
          <m:t>m</m:t>
        </m:r>
      </m:oMath>
      <w:r>
        <w:t xml:space="preserve"> </w:t>
      </w:r>
      <w:r>
        <w:t xml:space="preserve">possibilità</w:t>
      </w:r>
    </w:p>
    <w:p>
      <w:pPr>
        <w:pStyle w:val="FirstParagraph"/>
      </w:pPr>
      <w:r>
        <w:t xml:space="preserve">Portante+Modulante</w:t>
      </w:r>
    </w:p>
    <w:p>
      <w:pPr>
        <w:pStyle w:val="BodyText"/>
      </w:pPr>
      <w:r>
        <w:t xml:space="preserve">PAM: amplitude; più energia</w:t>
      </w:r>
      <w:r>
        <w:t xml:space="preserve"> </w:t>
      </w:r>
      <w:r>
        <w:t xml:space="preserve">PPM: Position; più banda</w:t>
      </w:r>
    </w:p>
    <w:p>
      <w:pPr>
        <w:pStyle w:val="BodyText"/>
      </w:pPr>
      <w:r>
        <w:t xml:space="preserve">Si simula direttamente l’output</w:t>
      </w:r>
    </w:p>
    <w:p>
      <w:pPr>
        <w:pStyle w:val="BodyText"/>
      </w:pPr>
      <w:r>
        <w:t xml:space="preserve">Alla ricezione di proietta sulle funzioni di base (processo di demodulazione)</w:t>
      </w:r>
    </w:p>
    <w:p>
      <w:pPr>
        <w:pStyle w:val="BodyText"/>
      </w:pPr>
      <w:r>
        <w:t xml:space="preserve">==Implementare foto. (catena conversione analogico digitale)==</w:t>
      </w:r>
    </w:p>
    <w:p>
      <w:r>
        <w:pict>
          <v:rect style="width:0;height:1.5pt" o:hralign="center" o:hrstd="t" o:hr="t"/>
        </w:pict>
      </w:r>
    </w:p>
    <w:p>
      <w:pPr>
        <w:pStyle w:val="FirstParagraph"/>
      </w:pPr>
      <m:oMath>
        <m:r>
          <m:t>d</m:t>
        </m:r>
        <m:r>
          <m:t>B</m:t>
        </m:r>
        <m:r>
          <m:rPr>
            <m:sty m:val="p"/>
          </m:rPr>
          <m:t>=</m:t>
        </m:r>
        <m:r>
          <m:t>10</m:t>
        </m:r>
        <m:r>
          <m:rPr>
            <m:sty m:val="p"/>
          </m:rPr>
          <m:t>log</m:t>
        </m:r>
        <m:sSup>
          <m:e>
            <m:r>
              <m:t>x</m:t>
            </m:r>
          </m:e>
          <m:sup>
            <m:d>
              <m:dPr>
                <m:begChr m:val="("/>
                <m:endChr m:val=")"/>
                <m:sepChr m:val=""/>
                <m:grow/>
              </m:dPr>
              <m:e>
                <m:r>
                  <m:t>2</m:t>
                </m:r>
              </m:e>
            </m:d>
          </m:sup>
        </m:sSup>
      </m:oMath>
      <w:r>
        <w:t xml:space="preserve"> </w:t>
      </w:r>
      <w:r>
        <w:t xml:space="preserve">se energia, altrimenti</w:t>
      </w:r>
      <w:r>
        <w:t xml:space="preserve"> </w:t>
      </w:r>
      <m:oMath>
        <m:r>
          <m:t>d</m:t>
        </m:r>
        <m:r>
          <m:t>B</m:t>
        </m:r>
        <m:r>
          <m:rPr>
            <m:sty m:val="p"/>
          </m:rPr>
          <m:t>=</m:t>
        </m:r>
        <m:r>
          <m:t>20</m:t>
        </m:r>
        <m:r>
          <m:rPr>
            <m:sty m:val="p"/>
          </m:rPr>
          <m:t>log</m:t>
        </m:r>
        <m:r>
          <m:t>x</m:t>
        </m:r>
      </m:oMath>
      <w:r>
        <w:t xml:space="preserve">.</w:t>
      </w:r>
    </w:p>
    <w:p>
      <w:pPr>
        <w:pStyle w:val="BodyText"/>
      </w:pPr>
      <w:r>
        <w:t xml:space="preserve">%%</w:t>
      </w:r>
    </w:p>
    <w:p>
      <w:pPr>
        <w:pStyle w:val="SourceCode"/>
      </w:pPr>
      <w:r>
        <w:rPr>
          <w:rStyle w:val="KeywordTok"/>
        </w:rPr>
        <w:t xml:space="preserve">function</w:t>
      </w:r>
      <w:r>
        <w:rPr>
          <w:rStyle w:val="NormalTok"/>
        </w:rPr>
        <w:t xml:space="preserve"> </w:t>
      </w:r>
      <w:r>
        <w:rPr>
          <w:rStyle w:val="VariableTok"/>
        </w:rPr>
        <w:t xml:space="preserve">PSKgen</w:t>
      </w:r>
      <w:r>
        <w:rPr>
          <w:rStyle w:val="NormalTok"/>
        </w:rPr>
        <w:t xml:space="preserve">(</w:t>
      </w:r>
      <w:r>
        <w:rPr>
          <w:rStyle w:val="VariableTok"/>
        </w:rPr>
        <w:t xml:space="preserve">M</w:t>
      </w:r>
      <w:r>
        <w:rPr>
          <w:rStyle w:val="OperatorTok"/>
        </w:rPr>
        <w:t xml:space="preserve">,</w:t>
      </w:r>
      <w:r>
        <w:rPr>
          <w:rStyle w:val="NormalTok"/>
        </w:rPr>
        <w:t xml:space="preserve"> </w:t>
      </w:r>
      <w:r>
        <w:rPr>
          <w:rStyle w:val="VariableTok"/>
        </w:rPr>
        <w:t xml:space="preserve">Es</w:t>
      </w:r>
      <w:r>
        <w:rPr>
          <w:rStyle w:val="NormalTok"/>
        </w:rPr>
        <w:t xml:space="preserve">)</w:t>
      </w:r>
      <w:r>
        <w:br/>
      </w:r>
      <w:r>
        <w:br/>
      </w:r>
      <w:r>
        <w:rPr>
          <w:rStyle w:val="CommentTok"/>
        </w:rPr>
        <w:t xml:space="preserve">% generare il segnale equivale ad assegnare le coordinate; i segnali sono spaziati di 2pi/m</w:t>
      </w:r>
      <w:r>
        <w:br/>
      </w:r>
      <w:r>
        <w:rPr>
          <w:rStyle w:val="KeywordTok"/>
        </w:rPr>
        <w:t xml:space="preserve">for</w:t>
      </w:r>
      <w:r>
        <w:rPr>
          <w:rStyle w:val="NormalTok"/>
        </w:rPr>
        <w:t xml:space="preserve"> </w:t>
      </w:r>
      <w:r>
        <w:rPr>
          <w:rStyle w:val="VariableTok"/>
        </w:rPr>
        <w:t xml:space="preserve">m</w:t>
      </w:r>
      <w:r>
        <w:rPr>
          <w:rStyle w:val="OperatorTok"/>
        </w:rPr>
        <w:t xml:space="preserve">=</w:t>
      </w:r>
      <w:r>
        <w:rPr>
          <w:rStyle w:val="FloatTok"/>
        </w:rPr>
        <w:t xml:space="preserve">1</w:t>
      </w:r>
      <w:r>
        <w:rPr>
          <w:rStyle w:val="OperatorTok"/>
        </w:rPr>
        <w:t xml:space="preserve">:</w:t>
      </w:r>
      <w:r>
        <w:rPr>
          <w:rStyle w:val="VariableTok"/>
        </w:rPr>
        <w:t xml:space="preserve">M</w:t>
      </w:r>
      <w:r>
        <w:br/>
      </w:r>
      <w:r>
        <w:rPr>
          <w:rStyle w:val="NormalTok"/>
        </w:rPr>
        <w:t xml:space="preserve">  </w:t>
      </w:r>
      <w:r>
        <w:rPr>
          <w:rStyle w:val="VariableTok"/>
        </w:rPr>
        <w:t xml:space="preserve">S</w:t>
      </w:r>
      <w:r>
        <w:rPr>
          <w:rStyle w:val="NormalTok"/>
        </w:rPr>
        <w:t xml:space="preserve">(</w:t>
      </w:r>
      <w:r>
        <w:rPr>
          <w:rStyle w:val="VariableTok"/>
        </w:rPr>
        <w:t xml:space="preserve">m</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Es</w:t>
      </w:r>
      <w:r>
        <w:rPr>
          <w:rStyle w:val="NormalTok"/>
        </w:rPr>
        <w:t xml:space="preserve">) </w:t>
      </w:r>
      <w:r>
        <w:rPr>
          <w:rStyle w:val="OperatorTok"/>
        </w:rPr>
        <w:t xml:space="preserve">*</w:t>
      </w:r>
      <w:r>
        <w:rPr>
          <w:rStyle w:val="NormalTok"/>
        </w:rPr>
        <w:t xml:space="preserve"> </w:t>
      </w:r>
      <w:r>
        <w:rPr>
          <w:rStyle w:val="VariableTok"/>
        </w:rPr>
        <w:t xml:space="preserve">cos</w:t>
      </w:r>
      <w:r>
        <w:rPr>
          <w:rStyle w:val="NormalTok"/>
        </w:rPr>
        <w:t xml:space="preserve">((</w:t>
      </w:r>
      <w:r>
        <w:rPr>
          <w:rStyle w:val="VariableTok"/>
        </w:rPr>
        <w:t xml:space="preserve">m</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FloatTok"/>
        </w:rPr>
        <w:t xml:space="preserve">2</w:t>
      </w:r>
      <w:r>
        <w:rPr>
          <w:rStyle w:val="OperatorTok"/>
        </w:rPr>
        <w:t xml:space="preserve">*</w:t>
      </w:r>
      <w:r>
        <w:rPr>
          <w:rStyle w:val="VariableTok"/>
        </w:rPr>
        <w:t xml:space="preserve">pi</w:t>
      </w:r>
      <w:r>
        <w:rPr>
          <w:rStyle w:val="OperatorTok"/>
        </w:rPr>
        <w:t xml:space="preserve">/</w:t>
      </w:r>
      <w:r>
        <w:rPr>
          <w:rStyle w:val="VariableTok"/>
        </w:rPr>
        <w:t xml:space="preserve">M</w:t>
      </w:r>
      <w:r>
        <w:rPr>
          <w:rStyle w:val="NormalTok"/>
        </w:rPr>
        <w:t xml:space="preserve">)</w:t>
      </w:r>
      <w:r>
        <w:rPr>
          <w:rStyle w:val="OperatorTok"/>
        </w:rPr>
        <w:t xml:space="preserve">;</w:t>
      </w:r>
      <w:r>
        <w:rPr>
          <w:rStyle w:val="NormalTok"/>
        </w:rPr>
        <w:t xml:space="preserve"> </w:t>
      </w:r>
      <w:r>
        <w:rPr>
          <w:rStyle w:val="CommentTok"/>
        </w:rPr>
        <w:t xml:space="preserve">% xCoord - S è una matrice</w:t>
      </w:r>
      <w:r>
        <w:br/>
      </w:r>
      <w:r>
        <w:rPr>
          <w:rStyle w:val="NormalTok"/>
        </w:rPr>
        <w:t xml:space="preserve">  </w:t>
      </w:r>
      <w:r>
        <w:rPr>
          <w:rStyle w:val="VariableTok"/>
        </w:rPr>
        <w:t xml:space="preserve">S</w:t>
      </w:r>
      <w:r>
        <w:rPr>
          <w:rStyle w:val="NormalTok"/>
        </w:rPr>
        <w:t xml:space="preserve">(</w:t>
      </w:r>
      <w:r>
        <w:rPr>
          <w:rStyle w:val="VariableTok"/>
        </w:rPr>
        <w:t xml:space="preserve">m</w:t>
      </w:r>
      <w:r>
        <w:rPr>
          <w:rStyle w:val="OperatorTok"/>
        </w:rPr>
        <w:t xml:space="preserve">,</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sqtr</w:t>
      </w:r>
      <w:r>
        <w:rPr>
          <w:rStyle w:val="NormalTok"/>
        </w:rPr>
        <w:t xml:space="preserve">(</w:t>
      </w:r>
      <w:r>
        <w:rPr>
          <w:rStyle w:val="VariableTok"/>
        </w:rPr>
        <w:t xml:space="preserve">Es</w:t>
      </w:r>
      <w:r>
        <w:rPr>
          <w:rStyle w:val="NormalTok"/>
        </w:rPr>
        <w:t xml:space="preserve">) </w:t>
      </w:r>
      <w:r>
        <w:rPr>
          <w:rStyle w:val="OperatorTok"/>
        </w:rPr>
        <w:t xml:space="preserve">*</w:t>
      </w:r>
      <w:r>
        <w:rPr>
          <w:rStyle w:val="NormalTok"/>
        </w:rPr>
        <w:t xml:space="preserve"> </w:t>
      </w:r>
      <w:r>
        <w:rPr>
          <w:rStyle w:val="VariableTok"/>
        </w:rPr>
        <w:t xml:space="preserve">sin</w:t>
      </w:r>
      <w:r>
        <w:rPr>
          <w:rStyle w:val="NormalTok"/>
        </w:rPr>
        <w:t xml:space="preserve">((</w:t>
      </w:r>
      <w:r>
        <w:rPr>
          <w:rStyle w:val="VariableTok"/>
        </w:rPr>
        <w:t xml:space="preserve">m</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FloatTok"/>
        </w:rPr>
        <w:t xml:space="preserve">2</w:t>
      </w:r>
      <w:r>
        <w:rPr>
          <w:rStyle w:val="OperatorTok"/>
        </w:rPr>
        <w:t xml:space="preserve">*</w:t>
      </w:r>
      <w:r>
        <w:rPr>
          <w:rStyle w:val="VariableTok"/>
        </w:rPr>
        <w:t xml:space="preserve">pi</w:t>
      </w:r>
      <w:r>
        <w:rPr>
          <w:rStyle w:val="OperatorTok"/>
        </w:rPr>
        <w:t xml:space="preserve">/</w:t>
      </w:r>
      <w:r>
        <w:rPr>
          <w:rStyle w:val="VariableTok"/>
        </w:rPr>
        <w:t xml:space="preserve">M</w:t>
      </w:r>
      <w:r>
        <w:rPr>
          <w:rStyle w:val="NormalTok"/>
        </w:rPr>
        <w:t xml:space="preserve">)</w:t>
      </w:r>
      <w:r>
        <w:rPr>
          <w:rStyle w:val="OperatorTok"/>
        </w:rPr>
        <w:t xml:space="preserve">;</w:t>
      </w:r>
      <w:r>
        <w:rPr>
          <w:rStyle w:val="NormalTok"/>
        </w:rPr>
        <w:t xml:space="preserve"> </w:t>
      </w:r>
      <w:r>
        <w:rPr>
          <w:rStyle w:val="CommentTok"/>
        </w:rPr>
        <w:t xml:space="preserve">% yCoord - 2*pi/M = theta</w:t>
      </w:r>
      <w:r>
        <w:br/>
      </w:r>
      <w:r>
        <w:rPr>
          <w:rStyle w:val="KeywordTok"/>
        </w:rPr>
        <w:t xml:space="preserve">end</w:t>
      </w:r>
      <w:r>
        <w:br/>
      </w:r>
      <w:r>
        <w:br/>
      </w:r>
      <w:r>
        <w:rPr>
          <w:rStyle w:val="CommentTok"/>
        </w:rPr>
        <w:t xml:space="preserve">%% Il rumore ha lo stesso effetto su entrambe le stesse coordinate (guassiano, media 0, varianza 1, indipendente tra le due coordinate)</w:t>
      </w:r>
      <w:r>
        <w:br/>
      </w:r>
      <w:r>
        <w:rPr>
          <w:rStyle w:val="KeywordTok"/>
        </w:rPr>
        <w:t xml:space="preserve">for</w:t>
      </w:r>
      <w:r>
        <w:rPr>
          <w:rStyle w:val="NormalTok"/>
        </w:rPr>
        <w:t xml:space="preserve"> </w:t>
      </w:r>
      <w:r>
        <w:rPr>
          <w:rStyle w:val="VariableTok"/>
        </w:rPr>
        <w:t xml:space="preserve">m</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M</w:t>
      </w:r>
      <w:r>
        <w:br/>
      </w:r>
      <w:r>
        <w:rPr>
          <w:rStyle w:val="NormalTok"/>
        </w:rPr>
        <w:t xml:space="preserve">  </w:t>
      </w:r>
      <w:r>
        <w:rPr>
          <w:rStyle w:val="KeywordTok"/>
        </w:rPr>
        <w:t xml:space="preserve">for</w:t>
      </w:r>
      <w:r>
        <w:rPr>
          <w:rStyle w:val="NormalTok"/>
        </w:rPr>
        <w:t xml:space="preserve"> </w:t>
      </w:r>
      <w:r>
        <w:rPr>
          <w:rStyle w:val="VariableTok"/>
        </w:rPr>
        <w:t xml:space="preserve">n</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N</w:t>
      </w:r>
      <w:r>
        <w:br/>
      </w:r>
      <w:r>
        <w:rPr>
          <w:rStyle w:val="NormalTok"/>
        </w:rPr>
        <w:t xml:space="preserve">    </w:t>
      </w:r>
      <w:r>
        <w:rPr>
          <w:rStyle w:val="VariableTok"/>
        </w:rPr>
        <w:t xml:space="preserve">plot</w:t>
      </w:r>
      <w:r>
        <w:rPr>
          <w:rStyle w:val="NormalTok"/>
        </w:rPr>
        <w:t xml:space="preserve">(</w:t>
      </w:r>
      <w:r>
        <w:rPr>
          <w:rStyle w:val="VariableTok"/>
        </w:rPr>
        <w:t xml:space="preserve">S</w:t>
      </w:r>
      <w:r>
        <w:rPr>
          <w:rStyle w:val="NormalTok"/>
        </w:rPr>
        <w:t xml:space="preserve">(</w:t>
      </w:r>
      <w:r>
        <w:rPr>
          <w:rStyle w:val="VariableTok"/>
        </w:rPr>
        <w:t xml:space="preserve">m</w:t>
      </w:r>
      <w:r>
        <w:rPr>
          <w:rStyle w:val="Operator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randn</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m</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randn</w:t>
      </w:r>
      <w:r>
        <w:rPr>
          <w:rStyle w:val="OperatorTok"/>
        </w:rPr>
        <w:t xml:space="preserve">,</w:t>
      </w:r>
      <w:r>
        <w:rPr>
          <w:rStyle w:val="NormalTok"/>
        </w:rPr>
        <w:t xml:space="preserve"> </w:t>
      </w:r>
      <w:r>
        <w:rPr>
          <w:rStyle w:val="SpecialStringTok"/>
        </w:rPr>
        <w:t xml:space="preserve">'s'</w:t>
      </w:r>
      <w:r>
        <w:rPr>
          <w:rStyle w:val="OperatorTok"/>
        </w:rPr>
        <w:t xml:space="preserve">,</w:t>
      </w:r>
      <w:r>
        <w:rPr>
          <w:rStyle w:val="NormalTok"/>
        </w:rPr>
        <w:t xml:space="preserve"> </w:t>
      </w:r>
      <w:r>
        <w:rPr>
          <w:rStyle w:val="SpecialStringTok"/>
        </w:rPr>
        <w:t xml:space="preserve">'markersize'</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SpecialStringTok"/>
        </w:rPr>
        <w:t xml:space="preserve">'markerface'</w:t>
      </w:r>
      <w:r>
        <w:rPr>
          <w:rStyle w:val="OperatorTok"/>
        </w:rPr>
        <w:t xml:space="preserve">,</w:t>
      </w:r>
      <w:r>
        <w:rPr>
          <w:rStyle w:val="NormalTok"/>
        </w:rPr>
        <w:t xml:space="preserve"> </w:t>
      </w:r>
      <w:r>
        <w:rPr>
          <w:rStyle w:val="SpecialStringTok"/>
        </w:rPr>
        <w:t xml:space="preserve">'r'</w:t>
      </w:r>
      <w:r>
        <w:rPr>
          <w:rStyle w:val="NormalTok"/>
        </w:rPr>
        <w:t xml:space="preserve">)</w:t>
      </w:r>
      <w:r>
        <w:br/>
      </w:r>
      <w:r>
        <w:rPr>
          <w:rStyle w:val="NormalTok"/>
        </w:rPr>
        <w:t xml:space="preserve">    </w:t>
      </w:r>
      <w:r>
        <w:rPr>
          <w:rStyle w:val="VariableTok"/>
        </w:rPr>
        <w:t xml:space="preserve">hold</w:t>
      </w:r>
      <w:r>
        <w:rPr>
          <w:rStyle w:val="NormalTok"/>
        </w:rPr>
        <w:t xml:space="preserve"> </w:t>
      </w:r>
      <w:r>
        <w:rPr>
          <w:rStyle w:val="VariableTok"/>
        </w:rPr>
        <w:t xml:space="preserve">on</w:t>
      </w:r>
      <w:r>
        <w:br/>
      </w:r>
      <w:r>
        <w:rPr>
          <w:rStyle w:val="NormalTok"/>
        </w:rPr>
        <w:t xml:space="preserve">  </w:t>
      </w:r>
      <w:r>
        <w:rPr>
          <w:rStyle w:val="KeywordTok"/>
        </w:rPr>
        <w:t xml:space="preserve">end</w:t>
      </w:r>
      <w:r>
        <w:br/>
      </w:r>
      <w:r>
        <w:rPr>
          <w:rStyle w:val="KeywordTok"/>
        </w:rPr>
        <w:t xml:space="preserve">end</w:t>
      </w:r>
      <w:r>
        <w:br/>
      </w:r>
      <w:r>
        <w:br/>
      </w:r>
      <w:r>
        <w:rPr>
          <w:rStyle w:val="VariableTok"/>
        </w:rPr>
        <w:t xml:space="preserve">axis</w:t>
      </w:r>
      <w:r>
        <w:rPr>
          <w:rStyle w:val="NormalTok"/>
        </w:rPr>
        <w:t xml:space="preserve">([</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Es</w:t>
      </w:r>
      <w:r>
        <w:rPr>
          <w:rStyle w:val="NormalTok"/>
        </w:rPr>
        <w:t xml:space="preserve">)</w:t>
      </w:r>
      <w:r>
        <w:rPr>
          <w:rStyle w:val="OperatorTok"/>
        </w:rPr>
        <w:t xml:space="preserve">,</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Es</w:t>
      </w:r>
      <w:r>
        <w:rPr>
          <w:rStyle w:val="NormalTok"/>
        </w:rPr>
        <w:t xml:space="preserve">)]</w:t>
      </w:r>
      <w:r>
        <w:rPr>
          <w:rStyle w:val="OperatorTok"/>
        </w:rPr>
        <w:t xml:space="preserve">,</w:t>
      </w:r>
      <w:r>
        <w:rPr>
          <w:rStyle w:val="NormalTok"/>
        </w:rPr>
        <w:t xml:space="preserve"> [</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Es</w:t>
      </w:r>
      <w:r>
        <w:rPr>
          <w:rStyle w:val="NormalTok"/>
        </w:rPr>
        <w:t xml:space="preserve">)</w:t>
      </w:r>
      <w:r>
        <w:rPr>
          <w:rStyle w:val="OperatorTok"/>
        </w:rPr>
        <w:t xml:space="preserve">,</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Es</w:t>
      </w:r>
      <w:r>
        <w:rPr>
          <w:rStyle w:val="NormalTok"/>
        </w:rPr>
        <w:t xml:space="preserve">)])</w:t>
      </w:r>
      <w:r>
        <w:br/>
      </w:r>
      <w:r>
        <w:br/>
      </w:r>
      <w:r>
        <w:rPr>
          <w:rStyle w:val="KeywordTok"/>
        </w:rPr>
        <w:t xml:space="preserve">for</w:t>
      </w:r>
      <w:r>
        <w:rPr>
          <w:rStyle w:val="NormalTok"/>
        </w:rPr>
        <w:t xml:space="preserve"> </w:t>
      </w:r>
      <w:r>
        <w:rPr>
          <w:rStyle w:val="VariableTok"/>
        </w:rPr>
        <w:t xml:space="preserve">m</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VariableTok"/>
        </w:rPr>
        <w:t xml:space="preserve">M</w:t>
      </w:r>
      <w:r>
        <w:br/>
      </w:r>
      <w:r>
        <w:rPr>
          <w:rStyle w:val="NormalTok"/>
        </w:rPr>
        <w:t xml:space="preserve">  </w:t>
      </w:r>
      <w:r>
        <w:rPr>
          <w:rStyle w:val="VariableTok"/>
        </w:rPr>
        <w:t xml:space="preserve">plot</w:t>
      </w:r>
      <w:r>
        <w:rPr>
          <w:rStyle w:val="NormalTok"/>
        </w:rPr>
        <w:t xml:space="preserve">(</w:t>
      </w:r>
      <w:r>
        <w:rPr>
          <w:rStyle w:val="VariableTok"/>
        </w:rPr>
        <w:t xml:space="preserve">S</w:t>
      </w:r>
      <w:r>
        <w:rPr>
          <w:rStyle w:val="NormalTok"/>
        </w:rPr>
        <w:t xml:space="preserve">(</w:t>
      </w:r>
      <w:r>
        <w:rPr>
          <w:rStyle w:val="VariableTok"/>
        </w:rPr>
        <w:t xml:space="preserve">m</w:t>
      </w:r>
      <w:r>
        <w:rPr>
          <w:rStyle w:val="OperatorTok"/>
        </w:rPr>
        <w:t xml:space="preserve">,</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m</w:t>
      </w:r>
      <w:r>
        <w:rPr>
          <w:rStyle w:val="OperatorTok"/>
        </w:rPr>
        <w:t xml:space="preserve">,</w:t>
      </w:r>
      <w:r>
        <w:rPr>
          <w:rStyle w:val="FloatTok"/>
        </w:rPr>
        <w:t xml:space="preserve">2</w:t>
      </w:r>
      <w:r>
        <w:rPr>
          <w:rStyle w:val="NormalTok"/>
        </w:rPr>
        <w:t xml:space="preserve">)</w:t>
      </w:r>
      <w:r>
        <w:rPr>
          <w:rStyle w:val="OperatorTok"/>
        </w:rPr>
        <w:t xml:space="preserve">,</w:t>
      </w:r>
      <w:r>
        <w:rPr>
          <w:rStyle w:val="NormalTok"/>
        </w:rPr>
        <w:t xml:space="preserve"> </w:t>
      </w:r>
      <w:r>
        <w:rPr>
          <w:rStyle w:val="SpecialStringTok"/>
        </w:rPr>
        <w:t xml:space="preserve">'o'</w:t>
      </w:r>
      <w:r>
        <w:rPr>
          <w:rStyle w:val="OperatorTok"/>
        </w:rPr>
        <w:t xml:space="preserve">,</w:t>
      </w:r>
      <w:r>
        <w:rPr>
          <w:rStyle w:val="NormalTok"/>
        </w:rPr>
        <w:t xml:space="preserve"> </w:t>
      </w:r>
      <w:r>
        <w:rPr>
          <w:rStyle w:val="SpecialStringTok"/>
        </w:rPr>
        <w:t xml:space="preserve">'markersize'</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SpecialStringTok"/>
        </w:rPr>
        <w:t xml:space="preserve">'markerface'</w:t>
      </w:r>
      <w:r>
        <w:rPr>
          <w:rStyle w:val="OperatorTok"/>
        </w:rPr>
        <w:t xml:space="preserve">,</w:t>
      </w:r>
      <w:r>
        <w:rPr>
          <w:rStyle w:val="NormalTok"/>
        </w:rPr>
        <w:t xml:space="preserve"> </w:t>
      </w:r>
      <w:r>
        <w:rPr>
          <w:rStyle w:val="SpecialStringTok"/>
        </w:rPr>
        <w:t xml:space="preserve">'b'</w:t>
      </w:r>
      <w:r>
        <w:rPr>
          <w:rStyle w:val="NormalTok"/>
        </w:rPr>
        <w:t xml:space="preserve">)</w:t>
      </w:r>
      <w:r>
        <w:br/>
      </w:r>
      <w:r>
        <w:rPr>
          <w:rStyle w:val="NormalTok"/>
        </w:rPr>
        <w:t xml:space="preserve">  </w:t>
      </w:r>
      <w:r>
        <w:rPr>
          <w:rStyle w:val="VariableTok"/>
        </w:rPr>
        <w:t xml:space="preserve">hold</w:t>
      </w:r>
      <w:r>
        <w:rPr>
          <w:rStyle w:val="NormalTok"/>
        </w:rPr>
        <w:t xml:space="preserve"> </w:t>
      </w:r>
      <w:r>
        <w:rPr>
          <w:rStyle w:val="VariableTok"/>
        </w:rPr>
        <w:t xml:space="preserve">on</w:t>
      </w:r>
      <w:r>
        <w:br/>
      </w:r>
      <w:r>
        <w:rPr>
          <w:rStyle w:val="KeywordTok"/>
        </w:rPr>
        <w:t xml:space="preserve">end</w:t>
      </w:r>
    </w:p>
    <w:p>
      <w:pPr>
        <w:pStyle w:val="FirstParagraph"/>
      </w:pPr>
      <w:r>
        <w:t xml:space="preserve">Se diminuisce il rapporto segnale rumore, il livello di indecisione aumenta. (SI ottiene aumentando il rumore o diminuendo l’energia del segnale)</w:t>
      </w:r>
    </w:p>
    <w:p>
      <w:pPr>
        <w:pStyle w:val="BodyText"/>
      </w:pPr>
      <w:r>
        <w:t xml:space="preserve">==Disegnare PSK, QAM, + un comando per generare un segnale ortogonale.==</w:t>
      </w:r>
    </w:p>
    <w:bookmarkEnd w:id="107"/>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Una maggiore disponibilità di banda consente di trasferire una maggiore quantità di dati con una minore probabilità di errore.</w:t>
      </w:r>
    </w:p>
  </w:footnote>
  <w:footnote w:id="21">
    <w:p>
      <w:pPr>
        <w:pStyle w:val="FootnoteText"/>
      </w:pPr>
      <w:r>
        <w:rPr>
          <w:rStyle w:val="FootnoteReference"/>
        </w:rPr>
        <w:footnoteRef/>
      </w:r>
      <w:r>
        <w:t xml:space="preserve"> </w:t>
      </w:r>
      <w:r>
        <w:t xml:space="preserve">Per consentire il riuso delle frequenze, è necessario che le celle siano poste ad un’adeguata distanza minima tra di loro e che celle adiacenti usino ==frequenze diverse==. Inoltre, con questo ragionamento è possibile ridurre l’interferenza co-canale.</w:t>
      </w:r>
    </w:p>
  </w:footnote>
  <w:footnote w:id="22">
    <w:p>
      <w:pPr>
        <w:pStyle w:val="FootnoteText"/>
      </w:pPr>
      <w:r>
        <w:rPr>
          <w:rStyle w:val="FootnoteReference"/>
        </w:rPr>
        <w:footnoteRef/>
      </w:r>
      <w:r>
        <w:t xml:space="preserve"> </w:t>
      </w:r>
      <w:r>
        <w:t xml:space="preserve">Anche se spesso individuate graficamente da forme esagonali, la forma effettiva della cella tende ad essere diversa: l’esagono è una semplice idealizzazione.</w:t>
      </w:r>
    </w:p>
  </w:footnote>
  <w:footnote w:id="23">
    <w:p>
      <w:pPr>
        <w:pStyle w:val="FootnoteText"/>
      </w:pPr>
      <w:r>
        <w:rPr>
          <w:rStyle w:val="FootnoteReference"/>
        </w:rPr>
        <w:footnoteRef/>
      </w:r>
      <w:r>
        <w:t xml:space="preserve"> </w:t>
      </w:r>
      <w:r>
        <w:t xml:space="preserve">Questi standard sono definiti da varie entità, a livello globale (3GPP, ITU, IETF) e regionale (ETSI, TIA etc).</w:t>
      </w:r>
    </w:p>
  </w:footnote>
  <w:footnote w:id="24">
    <w:p>
      <w:pPr>
        <w:pStyle w:val="FootnoteText"/>
      </w:pPr>
      <w:r>
        <w:rPr>
          <w:rStyle w:val="FootnoteReference"/>
        </w:rPr>
        <w:footnoteRef/>
      </w:r>
      <w:r>
        <w:t xml:space="preserve"> </w:t>
      </w:r>
      <w:r>
        <w:t xml:space="preserve">Con TDMA, i momenti di</w:t>
      </w:r>
      <w:r>
        <w:t xml:space="preserve"> </w:t>
      </w:r>
      <w:r>
        <w:t xml:space="preserve">“vuoto”</w:t>
      </w:r>
      <w:r>
        <w:t xml:space="preserve"> </w:t>
      </w:r>
      <w:r>
        <w:t xml:space="preserve">si riempiono con altri utenti. Sfrutta il [[teorema del campionamento (criterio di Nyquist)]] per poter ricostruire il segnale originale.</w:t>
      </w:r>
    </w:p>
  </w:footnote>
  <w:footnote w:id="27">
    <w:p>
      <w:pPr>
        <w:pStyle w:val="FootnoteText"/>
      </w:pPr>
      <w:r>
        <w:rPr>
          <w:rStyle w:val="FootnoteReference"/>
        </w:rPr>
        <w:footnoteRef/>
      </w:r>
      <w:r>
        <w:t xml:space="preserve"> </w:t>
      </w:r>
      <w:r>
        <w:t xml:space="preserve">Da Google Bard:</w:t>
      </w:r>
      <w:r>
        <w:t xml:space="preserve"> </w:t>
      </w:r>
      <w:r>
        <w:t xml:space="preserve">&gt; The near-far problem is a phenomenon that occurs in wireless communication systems when a strong signal from a near transmitter interferes with and overpowers a weaker signal from a further transmitter. This can make it difficult or impossible for the receiver to hear the weaker signal.</w:t>
      </w:r>
    </w:p>
  </w:footnote>
  <w:footnote w:id="41">
    <w:p>
      <w:pPr>
        <w:pStyle w:val="FootnoteText"/>
      </w:pPr>
      <w:r>
        <w:rPr>
          <w:rStyle w:val="FootnoteReference"/>
        </w:rPr>
        <w:footnoteRef/>
      </w:r>
      <w:r>
        <w:t xml:space="preserve"> </w:t>
      </w:r>
      <w:r>
        <w:t xml:space="preserve">TL;DR: Il Mobile Switching Center</w:t>
      </w:r>
      <w:r>
        <w:t xml:space="preserve"> </w:t>
      </w:r>
      <w:r>
        <w:rPr>
          <w:i/>
          <w:iCs/>
        </w:rPr>
        <w:t xml:space="preserve">è responsabile del call set-up, release e routing e fornisce funzioni di</w:t>
      </w:r>
      <w:r>
        <w:rPr>
          <w:i/>
          <w:iCs/>
        </w:rPr>
        <w:t xml:space="preserve"> </w:t>
      </w:r>
      <w:r>
        <w:rPr>
          <w:i/>
          <w:iCs/>
        </w:rPr>
        <w:t xml:space="preserve">“service billing”</w:t>
      </w:r>
      <w:r>
        <w:rPr>
          <w:i/>
          <w:iCs/>
        </w:rPr>
        <w:t xml:space="preserve">, di registrazione e di autenticazione</w:t>
      </w:r>
      <w:r>
        <w:t xml:space="preserve"> </w:t>
      </w:r>
      <w:r>
        <w:t xml:space="preserve">(Wikipedia).</w:t>
      </w:r>
    </w:p>
  </w:footnote>
  <w:footnote w:id="42">
    <w:p>
      <w:pPr>
        <w:pStyle w:val="FootnoteText"/>
      </w:pPr>
      <w:r>
        <w:rPr>
          <w:rStyle w:val="FootnoteReference"/>
        </w:rPr>
        <w:footnoteRef/>
      </w:r>
      <w:r>
        <w:t xml:space="preserve"> </w:t>
      </w:r>
      <w:r>
        <w:t xml:space="preserve">User plane.</w:t>
      </w:r>
    </w:p>
  </w:footnote>
  <w:footnote w:id="43">
    <w:p>
      <w:pPr>
        <w:pStyle w:val="FootnoteText"/>
      </w:pPr>
      <w:r>
        <w:rPr>
          <w:rStyle w:val="FootnoteReference"/>
        </w:rPr>
        <w:footnoteRef/>
      </w:r>
      <w:r>
        <w:t xml:space="preserve"> </w:t>
      </w:r>
      <w:r>
        <w:t xml:space="preserve">Control plane.</w:t>
      </w:r>
    </w:p>
  </w:footnote>
  <w:footnote w:id="45">
    <w:p>
      <w:pPr>
        <w:pStyle w:val="FootnoteText"/>
      </w:pPr>
      <w:r>
        <w:rPr>
          <w:rStyle w:val="FootnoteReference"/>
        </w:rPr>
        <w:footnoteRef/>
      </w:r>
      <w:r>
        <w:t xml:space="preserve"> </w:t>
      </w:r>
      <w:r>
        <w:t xml:space="preserve">Essendo un servizio pensato principalmente per la fonia, con</w:t>
      </w:r>
      <w:r>
        <w:t xml:space="preserve"> </w:t>
      </w:r>
      <w:r>
        <w:t xml:space="preserve">“altre reti”</w:t>
      </w:r>
      <w:r>
        <w:t xml:space="preserve"> </w:t>
      </w:r>
      <w:r>
        <w:t xml:space="preserve">s’intendono le reti di linea fissa.</w:t>
      </w:r>
    </w:p>
  </w:footnote>
  <w:footnote w:id="52">
    <w:p>
      <w:pPr>
        <w:pStyle w:val="FootnoteText"/>
      </w:pPr>
      <w:r>
        <w:rPr>
          <w:rStyle w:val="FootnoteReference"/>
        </w:rPr>
        <w:footnoteRef/>
      </w:r>
      <w:r>
        <w:t xml:space="preserve"> </w:t>
      </w:r>
      <w:r>
        <w:t xml:space="preserve">Ovviamente, la fonia è ancora a commutazione di circuito. Solo piccole quantità di dati sono scambiate attraverso degli apparati predisposti per la commutazione di pacchetto.</w:t>
      </w:r>
    </w:p>
  </w:footnote>
  <w:footnote w:id="54">
    <w:p>
      <w:pPr>
        <w:pStyle w:val="FootnoteText"/>
      </w:pPr>
      <w:r>
        <w:rPr>
          <w:rStyle w:val="FootnoteReference"/>
        </w:rPr>
        <w:footnoteRef/>
      </w:r>
      <w:r>
        <w:t xml:space="preserve"> </w:t>
      </w:r>
      <w:r>
        <w:t xml:space="preserve">Questo consente di rendere più resilienti le comunicazioni ad errori che il canale può introdurre.</w:t>
      </w:r>
    </w:p>
  </w:footnote>
  <w:footnote w:id="59">
    <w:p>
      <w:pPr>
        <w:pStyle w:val="FootnoteText"/>
      </w:pPr>
      <w:r>
        <w:rPr>
          <w:rStyle w:val="FootnoteReference"/>
        </w:rPr>
        <w:footnoteRef/>
      </w:r>
      <w:r>
        <w:t xml:space="preserve"> </w:t>
      </w:r>
      <w:r>
        <w:t xml:space="preserve">Wideband poiché l’ampiezza dei canali è maggiore rispetto ad altre implementazioni di CDMA e molto maggiore rispetto al GSM.</w:t>
      </w:r>
    </w:p>
  </w:footnote>
  <w:footnote w:id="60">
    <w:p>
      <w:pPr>
        <w:pStyle w:val="FootnoteText"/>
      </w:pPr>
      <w:r>
        <w:rPr>
          <w:rStyle w:val="FootnoteReference"/>
        </w:rPr>
        <w:footnoteRef/>
      </w:r>
      <w:r>
        <w:t xml:space="preserve"> </w:t>
      </w:r>
      <w:r>
        <w:t xml:space="preserve">Code Division Multiple Access</w:t>
      </w:r>
    </w:p>
  </w:footnote>
  <w:footnote w:id="61">
    <w:p>
      <w:pPr>
        <w:pStyle w:val="FootnoteText"/>
      </w:pPr>
      <w:r>
        <w:rPr>
          <w:rStyle w:val="FootnoteReference"/>
        </w:rPr>
        <w:footnoteRef/>
      </w:r>
      <w:r>
        <w:t xml:space="preserve"> </w:t>
      </w:r>
      <w:r>
        <w:t xml:space="preserve">FDMA e TDMA sono codifiche ortogonali: sul canale, si riceve la somma dei segnali e, mediante un filtro, si possono recuperare i singoli segnali. CDMA è un particolare modo di creare segnali ortogonali.</w:t>
      </w:r>
    </w:p>
  </w:footnote>
  <w:footnote w:id="63">
    <w:p>
      <w:pPr>
        <w:pStyle w:val="FootnoteText"/>
      </w:pPr>
      <w:r>
        <w:rPr>
          <w:rStyle w:val="FootnoteReference"/>
        </w:rPr>
        <w:footnoteRef/>
      </w:r>
      <w:r>
        <w:t xml:space="preserve"> </w:t>
      </w:r>
      <w:r>
        <w:t xml:space="preserve">Un</w:t>
      </w:r>
      <w:r>
        <w:t xml:space="preserve"> </w:t>
      </w:r>
      <w:r>
        <w:rPr>
          <w:i/>
          <w:iCs/>
        </w:rPr>
        <w:t xml:space="preserve">rake receiver</w:t>
      </w:r>
      <w:r>
        <w:t xml:space="preserve"> </w:t>
      </w:r>
      <w:r>
        <w:t xml:space="preserve">è un dispositivo radio progettato per contrastare gli effetti della trasmissione multipath, mediante dei</w:t>
      </w:r>
      <w:r>
        <w:t xml:space="preserve"> </w:t>
      </w:r>
      <w:r>
        <w:t xml:space="preserve">“sub-ricevitori”</w:t>
      </w:r>
      <w:r>
        <w:t xml:space="preserve"> </w:t>
      </w:r>
      <w:r>
        <w:t xml:space="preserve">- detti</w:t>
      </w:r>
      <w:r>
        <w:t xml:space="preserve"> </w:t>
      </w:r>
      <w:r>
        <w:rPr>
          <w:i/>
          <w:iCs/>
        </w:rPr>
        <w:t xml:space="preserve">fingers</w:t>
      </w:r>
      <w:r>
        <w:t xml:space="preserve"> </w:t>
      </w:r>
      <w:r>
        <w:t xml:space="preserve">- ciascuno dei quali decodifica in modo indipendente un diverso componente multipath.</w:t>
      </w:r>
    </w:p>
  </w:footnote>
  <w:footnote w:id="65">
    <w:p>
      <w:pPr>
        <w:pStyle w:val="FootnoteText"/>
      </w:pPr>
      <w:r>
        <w:rPr>
          <w:rStyle w:val="FootnoteReference"/>
        </w:rPr>
        <w:footnoteRef/>
      </w:r>
      <w:r>
        <w:t xml:space="preserve"> </w:t>
      </w:r>
      <w:r>
        <w:t xml:space="preserve">Da Google Bard:</w:t>
      </w:r>
      <w:r>
        <w:t xml:space="preserve"> </w:t>
      </w:r>
      <w:r>
        <w:t xml:space="preserve">&gt; The near-far problem is a phenomenon that occurs in wireless communication systems when a strong signal from a near transmitter interferes with and overpowers a weaker signal from a further transmitter. This can make it difficult or impossible for the receiver to hear the weaker signal.</w:t>
      </w:r>
    </w:p>
  </w:footnote>
  <w:footnote w:id="75">
    <w:p>
      <w:pPr>
        <w:pStyle w:val="FootnoteText"/>
      </w:pPr>
      <w:r>
        <w:rPr>
          <w:rStyle w:val="FootnoteReference"/>
        </w:rPr>
        <w:footnoteRef/>
      </w:r>
      <w:r>
        <w:t xml:space="preserve"> </w:t>
      </w:r>
      <w:r>
        <w:t xml:space="preserve">I nuovi terminali 3G devono garantire la compatibilità con gli standard precedenti (GSM).</w:t>
      </w:r>
    </w:p>
  </w:footnote>
  <w:footnote w:id="78">
    <w:p>
      <w:pPr>
        <w:pStyle w:val="FootnoteText"/>
      </w:pPr>
      <w:r>
        <w:rPr>
          <w:rStyle w:val="FootnoteReference"/>
        </w:rPr>
        <w:footnoteRef/>
      </w:r>
      <w:r>
        <w:t xml:space="preserve"> </w:t>
      </w:r>
      <w:r>
        <w:t xml:space="preserve">L’indicazione dello schema di codifica e modulazione viene dal valore del paramentro</w:t>
      </w:r>
      <w:r>
        <w:t xml:space="preserve"> </w:t>
      </w:r>
      <w:r>
        <w:rPr>
          <w:rStyle w:val="VerbatimChar"/>
        </w:rPr>
        <w:t xml:space="preserve">QCI</w:t>
      </w:r>
      <w:r>
        <w:t xml:space="preserve"> </w:t>
      </w:r>
      <w:r>
        <w:t xml:space="preserve">(Channel Quality Indicators). Analogamente a come avverrà nel 4G, il supporto di uno schema dipende dalla categoria dell’UE.</w:t>
      </w:r>
    </w:p>
  </w:footnote>
  <w:footnote w:id="79">
    <w:p>
      <w:pPr>
        <w:pStyle w:val="FootnoteText"/>
      </w:pPr>
      <w:r>
        <w:rPr>
          <w:rStyle w:val="FootnoteReference"/>
        </w:rPr>
        <w:footnoteRef/>
      </w:r>
      <w:r>
        <w:t xml:space="preserve"> </w:t>
      </w:r>
      <w:r>
        <w:t xml:space="preserve">Release 5. Con Release 99 era implementata a carico di RNC.</w:t>
      </w:r>
    </w:p>
  </w:footnote>
  <w:footnote w:id="85">
    <w:p>
      <w:pPr>
        <w:pStyle w:val="FootnoteText"/>
      </w:pPr>
      <w:r>
        <w:rPr>
          <w:rStyle w:val="FootnoteReference"/>
        </w:rPr>
        <w:footnoteRef/>
      </w:r>
      <w:r>
        <w:t xml:space="preserve"> </w:t>
      </w:r>
      <w:r>
        <w:t xml:space="preserve">Col 2G, solo MS era tenuto ad autenticarsi rispetto alla rete</w:t>
      </w:r>
    </w:p>
  </w:footnote>
  <w:footnote w:id="91">
    <w:p>
      <w:pPr>
        <w:pStyle w:val="FootnoteText"/>
      </w:pPr>
      <w:r>
        <w:rPr>
          <w:rStyle w:val="FootnoteReference"/>
        </w:rPr>
        <w:footnoteRef/>
      </w:r>
      <w:r>
        <w:t xml:space="preserve"> </w:t>
      </w:r>
      <w:r>
        <w:t xml:space="preserve">Orthogonal Frequency Division Multple Access.</w:t>
      </w:r>
    </w:p>
  </w:footnote>
  <w:footnote w:id="93">
    <w:p>
      <w:pPr>
        <w:pStyle w:val="FootnoteText"/>
      </w:pPr>
      <w:r>
        <w:rPr>
          <w:rStyle w:val="FootnoteReference"/>
        </w:rPr>
        <w:footnoteRef/>
      </w:r>
      <w:r>
        <w:t xml:space="preserve"> </w:t>
      </w:r>
      <w:r>
        <w:t xml:space="preserve">Avere un delay spread contenuto consente di avere un segnale complessivo più o meno uguale all’originale, con le variazioni maggiori concentrate sui bordi.</w:t>
      </w:r>
    </w:p>
  </w:footnote>
  <w:footnote w:id="94">
    <w:p>
      <w:pPr>
        <w:pStyle w:val="FootnoteText"/>
      </w:pPr>
      <w:r>
        <w:rPr>
          <w:rStyle w:val="FootnoteReference"/>
        </w:rPr>
        <w:footnoteRef/>
      </w:r>
      <w:r>
        <w:t xml:space="preserve"> </w:t>
      </w:r>
      <w:r>
        <w:t xml:space="preserve">Può essere considerato come un indice di quanto il segnale è</w:t>
      </w:r>
      <w:r>
        <w:t xml:space="preserve"> </w:t>
      </w:r>
      <w:r>
        <w:t xml:space="preserve">“coerente”</w:t>
      </w:r>
      <w:r>
        <w:t xml:space="preserve">, cioè quanto poco varia.</w:t>
      </w:r>
    </w:p>
  </w:footnote>
  <w:footnote w:id="95">
    <w:p>
      <w:pPr>
        <w:pStyle w:val="FootnoteText"/>
      </w:pPr>
      <w:r>
        <w:rPr>
          <w:rStyle w:val="FootnoteReference"/>
        </w:rPr>
        <w:footnoteRef/>
      </w:r>
      <w:r>
        <w:t xml:space="preserve"> </w:t>
      </w:r>
      <w:r>
        <w:t xml:space="preserve">NdA:</w:t>
      </w:r>
      <w:r>
        <w:t xml:space="preserve"> </w:t>
      </w:r>
      <w:r>
        <w:rPr>
          <w:i/>
          <w:iCs/>
        </w:rPr>
        <w:t xml:space="preserve">La trasformata di un segnale traslato è la trasformata del segnale, moltiplicata per un fasore</w:t>
      </w:r>
      <w:r>
        <w:t xml:space="preserve">.</w:t>
      </w:r>
    </w:p>
  </w:footnote>
  <w:footnote w:id="96">
    <w:p>
      <w:pPr>
        <w:pStyle w:val="FootnoteText"/>
      </w:pPr>
      <w:r>
        <w:rPr>
          <w:rStyle w:val="FootnoteReference"/>
        </w:rPr>
        <w:footnoteRef/>
      </w:r>
      <w:r>
        <w:t xml:space="preserve"> </w:t>
      </w:r>
      <w:r>
        <w:t xml:space="preserve">==Di cosa?==</w:t>
      </w:r>
    </w:p>
  </w:footnote>
  <w:footnote w:id="97">
    <w:p>
      <w:pPr>
        <w:pStyle w:val="FootnoteText"/>
      </w:pPr>
      <w:r>
        <w:rPr>
          <w:rStyle w:val="FootnoteReference"/>
        </w:rPr>
        <w:footnoteRef/>
      </w:r>
      <w:r>
        <w:t xml:space="preserve"> </w:t>
      </w:r>
      <w:r>
        <w:t xml:space="preserve">Se la banda è piccola rispetto a</w:t>
      </w:r>
      <w:r>
        <w:t xml:space="preserve"> </w:t>
      </w:r>
      <m:oMath>
        <m:f>
          <m:fPr>
            <m:type m:val="bar"/>
          </m:fPr>
          <m:num>
            <m:r>
              <m:t>1</m:t>
            </m:r>
          </m:num>
          <m:den>
            <m:r>
              <m:t>τ</m:t>
            </m:r>
          </m:den>
        </m:f>
      </m:oMath>
      <w:r>
        <w:t xml:space="preserve"> </w:t>
      </w:r>
      <w:r>
        <w:t xml:space="preserve">- cioè se la banda del segnale è molto più piccola della banda di coerenza- non è evidenziata la presenza di</w:t>
      </w:r>
      <w:r>
        <w:t xml:space="preserve"> </w:t>
      </w:r>
      <w:r>
        <w:t xml:space="preserve">“notch”</w:t>
      </w:r>
      <w:r>
        <w:t xml:space="preserve">, cioè frequenze non privilegiate.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2024-10-01T11:16:10Z</dcterms:created>
  <dcterms:modified xsi:type="dcterms:W3CDTF">2024-10-01T11:16:10Z</dcterms:modified>
</cp:coreProperties>
</file>

<file path=docProps/custom.xml><?xml version="1.0" encoding="utf-8"?>
<Properties xmlns="http://schemas.openxmlformats.org/officeDocument/2006/custom-properties" xmlns:vt="http://schemas.openxmlformats.org/officeDocument/2006/docPropsVTypes"/>
</file>