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rPr>
          <w:b/>
          <w:bCs/>
          <w:sz w:val="28"/>
          <w:szCs w:val="28"/>
          <w:u w:val="none"/>
        </w:rPr>
      </w:pPr>
      <w:r>
        <w:rPr>
          <w:b/>
          <w:bCs/>
          <w:sz w:val="28"/>
          <w:szCs w:val="28"/>
          <w:u w:val="single"/>
          <w:lang w:val="en-GB"/>
        </w:rPr>
        <w:t>Medisure Analysis</w:t>
      </w:r>
    </w:p>
    <w:p w14:paraId="00000002">
      <w:pPr>
        <w:rPr>
          <w:b w:val="off"/>
          <w:bCs w:val="off"/>
          <w:sz w:val="28"/>
          <w:szCs w:val="28"/>
          <w:u w:val="none"/>
        </w:rPr>
      </w:pPr>
      <w:r>
        <w:rPr>
          <w:b/>
          <w:bCs/>
          <w:sz w:val="28"/>
          <w:szCs w:val="28"/>
          <w:u w:val="none"/>
          <w:lang w:val="en-GB"/>
        </w:rPr>
        <w:t>Time stamp</w:t>
      </w:r>
      <w:r>
        <w:rPr>
          <w:b w:val="off"/>
          <w:bCs w:val="off"/>
          <w:sz w:val="28"/>
          <w:szCs w:val="28"/>
          <w:u w:val="none"/>
          <w:lang w:val="en-GB"/>
        </w:rPr>
        <w:t>: 12:44 pm</w:t>
      </w:r>
    </w:p>
    <w:p w14:paraId="00000003">
      <w:pPr>
        <w:rPr>
          <w:b/>
          <w:bCs/>
          <w:sz w:val="32"/>
          <w:szCs w:val="32"/>
          <w:u w:val="none"/>
        </w:rPr>
      </w:pPr>
      <w:r>
        <w:rPr>
          <w:b/>
          <w:bCs/>
          <w:sz w:val="28"/>
          <w:szCs w:val="28"/>
          <w:u w:val="none"/>
          <w:lang w:val="en-GB"/>
        </w:rPr>
        <w:t>Analyst</w:t>
      </w:r>
      <w:r>
        <w:rPr>
          <w:b w:val="off"/>
          <w:bCs w:val="off"/>
          <w:sz w:val="28"/>
          <w:szCs w:val="28"/>
          <w:u w:val="none"/>
          <w:lang w:val="en-GB"/>
        </w:rPr>
        <w:t>:</w:t>
      </w:r>
      <w:r>
        <w:rPr>
          <w:b/>
          <w:bCs/>
          <w:sz w:val="28"/>
          <w:szCs w:val="28"/>
          <w:u w:val="none"/>
          <w:lang w:val="en-GB"/>
        </w:rPr>
        <w:t xml:space="preserve"> </w:t>
      </w:r>
      <w:r>
        <w:rPr>
          <w:b w:val="off"/>
          <w:bCs w:val="off"/>
          <w:sz w:val="28"/>
          <w:szCs w:val="28"/>
          <w:u w:val="none"/>
          <w:lang w:val="en-GB"/>
        </w:rPr>
        <w:t>Chinonso Eneje</w:t>
      </w:r>
    </w:p>
    <w:p w14:paraId="00000004">
      <w:pPr>
        <w:rPr>
          <w:b/>
          <w:bCs/>
          <w:sz w:val="26"/>
          <w:szCs w:val="26"/>
          <w:u w:val="none"/>
          <w:lang w:val="en-GB"/>
        </w:rPr>
      </w:pPr>
    </w:p>
    <w:p w14:paraId="00000005">
      <w:pPr>
        <w:rPr>
          <w:b/>
          <w:bCs/>
          <w:i w:val="off"/>
          <w:iCs w:val="off"/>
          <w:sz w:val="28"/>
          <w:szCs w:val="28"/>
          <w:u w:val="single"/>
          <w:lang w:val="en-GB"/>
        </w:rPr>
      </w:pPr>
      <w:r>
        <w:rPr>
          <w:b/>
          <w:bCs/>
          <w:sz w:val="26"/>
          <w:szCs w:val="26"/>
          <w:u w:val="none"/>
          <w:lang w:val="en-GB"/>
        </w:rPr>
        <w:t>Findings:</w:t>
      </w:r>
    </w:p>
    <w:tbl>
      <w:tblPr>
        <w:bidiVisual w:val="off"/>
        <w:jc w:val="left"/>
        <w:tblLayout w:type="fixed"/>
        <w:tblCellMar>
          <w:top w:w="0" w:type="dxa"/>
          <w:left w:w="0" w:type="dxa"/>
          <w:bottom w:w="0" w:type="dxa"/>
          <w:right w:w="0" w:type="dxa"/>
        </w:tblCellMar>
      </w:tblPr>
      <w:tblGrid>
        <w:gridCol w:w="3912"/>
        <w:gridCol w:w="5778"/>
      </w:tblGrid>
      <w:tr>
        <w:trPr>
          <w:trHeight w:val="450" w:hRule="atLeast"/>
          <w:jc w:val="left"/>
        </w:trPr>
        <w:tc>
          <w:tcPr>
            <w:cnfStyle w:val="100010000000"/>
            <w:tcW w:w="9690" w:type="dxa"/>
            <w:gridSpan w:val="2"/>
            <w:tcBorders>
              <w:top w:val="single" w:color="000000" w:sz="4" w:space="0"/>
              <w:left w:val="single" w:color="000000" w:sz="4" w:space="0"/>
              <w:bottom w:val="single" w:color="000000" w:sz="4" w:space="0"/>
              <w:right w:val="single" w:color="000000" w:sz="4" w:space="0"/>
            </w:tcBorders>
            <w:tcMar>
              <w:top w:w="55" w:type="dxa"/>
              <w:left w:w="55" w:type="dxa"/>
              <w:bottom w:w="55" w:type="dxa"/>
              <w:right w:w="55" w:type="dxa"/>
            </w:tcMar>
          </w:tcPr>
          <w:p w14:paraId="00000006">
            <w:pPr>
              <w:pStyle w:val="TableContents"/>
              <w:framePr w:w="0" w:h="0" w:vAnchor="margin" w:hAnchor="text" w:x="0" w:y="0"/>
              <w:widowControl w:val="off"/>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pPr>
            <w:r>
              <w:t xml:space="preserve">                                                    </w:t>
            </w:r>
            <w:r>
              <w:t>IOC TABLE</w:t>
            </w:r>
          </w:p>
        </w:tc>
      </w:tr>
      <w:tr>
        <w:trPr>
          <w:trHeight w:val="465" w:hRule="atLeast"/>
          <w:jc w:val="left"/>
        </w:trPr>
        <w:tc>
          <w:tcPr>
            <w:cnfStyle w:val="000010000000"/>
            <w:tcW w:w="3912" w:type="dxa"/>
            <w:tcBorders>
              <w:left w:val="single" w:color="000000" w:sz="4" w:space="0"/>
              <w:bottom w:val="single" w:color="000000" w:sz="4" w:space="0"/>
            </w:tcBorders>
            <w:tcMar>
              <w:top w:w="55" w:type="dxa"/>
              <w:left w:w="55" w:type="dxa"/>
              <w:bottom w:w="55" w:type="dxa"/>
              <w:right w:w="55" w:type="dxa"/>
            </w:tcMar>
          </w:tcPr>
          <w:p w14:paraId="00000007">
            <w:pPr>
              <w:pStyle w:val="TableContents"/>
              <w:framePr w:w="0" w:h="0" w:vAnchor="margin" w:hAnchor="text" w:x="0" w:y="0"/>
              <w:widowControl w:val="off"/>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pPr>
            <w:r>
              <w:t>Originating IP address</w:t>
            </w:r>
          </w:p>
        </w:tc>
        <w:tc>
          <w:tcPr>
            <w:cnfStyle w:val="000001000000"/>
            <w:tcW w:w="5778" w:type="dxa"/>
            <w:tcBorders>
              <w:left w:val="single" w:color="000000" w:sz="4" w:space="0"/>
              <w:bottom w:val="single" w:color="000000" w:sz="4" w:space="0"/>
              <w:right w:val="single" w:color="000000" w:sz="4" w:space="0"/>
            </w:tcBorders>
            <w:tcMar>
              <w:top w:w="55" w:type="dxa"/>
              <w:left w:w="55" w:type="dxa"/>
              <w:bottom w:w="55" w:type="dxa"/>
              <w:right w:w="55" w:type="dxa"/>
            </w:tcMar>
          </w:tcPr>
          <w:p w14:paraId="00000008">
            <w:pPr>
              <w:pStyle w:val="Normal"/>
              <w:framePr w:w="0" w:h="0" w:vAnchor="margin" w:hAnchor="text" w:x="0" w:y="0"/>
              <w:widowControl w:val="on"/>
              <w:pBdr>
                <w:top w:val="none" w:sz="4" w:space="0"/>
                <w:left w:val="none" w:sz="4" w:space="0"/>
                <w:bottom w:val="none" w:sz="4" w:space="0"/>
                <w:right w:val="none" w:sz="4" w:space="0"/>
                <w:between w:val="none" w:sz="4" w:space="0"/>
                <w:bar w:val="none" w:sz="4" w:space="0"/>
              </w:pBdr>
              <w:shd w:val="clear" w:fill="auto"/>
              <w:bidi w:val="off"/>
              <w:spacing w:before="0" w:after="200" w:line="276" w:lineRule="auto"/>
              <w:ind w:left="0" w:right="0" w:firstLine="0"/>
              <w:jc w:val="left"/>
              <w:rPr>
                <w:rFonts w:cs="Lucida Sans"/>
                <w:color w:val="auto"/>
                <w:sz w:val="24"/>
                <w:rtl w:val="off"/>
                <w:lang w:val="en-GB" w:eastAsia="zh-CN"/>
              </w:rPr>
            </w:pPr>
            <w:r>
              <w:rPr>
                <w:rFonts w:ascii="Segoe UI" w:cs="0" w:eastAsia="0"/>
                <w:color w:val="333333"/>
                <w:sz w:val="20"/>
                <w:szCs w:val="22"/>
                <w:highlight w:val="white"/>
                <w:rtl w:val="off"/>
                <w:lang w:val="en-GB" w:eastAsia="en-US"/>
              </w:rPr>
              <w:t>89.144.44.41</w:t>
            </w:r>
          </w:p>
        </w:tc>
      </w:tr>
      <w:tr>
        <w:trPr>
          <w:jc w:val="left"/>
        </w:trPr>
        <w:tc>
          <w:tcPr>
            <w:cnfStyle w:val="000010000000"/>
            <w:tcW w:w="3912" w:type="dxa"/>
            <w:tcBorders>
              <w:left w:val="single" w:color="000000" w:sz="4" w:space="0"/>
              <w:bottom w:val="single" w:color="000000" w:sz="4" w:space="0"/>
            </w:tcBorders>
            <w:tcMar>
              <w:top w:w="55" w:type="dxa"/>
              <w:left w:w="55" w:type="dxa"/>
              <w:bottom w:w="55" w:type="dxa"/>
              <w:right w:w="55" w:type="dxa"/>
            </w:tcMar>
          </w:tcPr>
          <w:p w14:paraId="00000009">
            <w:pPr>
              <w:pStyle w:val="Normal"/>
              <w:framePr w:w="0" w:h="0" w:vAnchor="margin" w:hAnchor="text" w:x="0" w:y="0"/>
              <w:widowControl w:val="on"/>
              <w:pBdr>
                <w:top w:val="none" w:sz="4" w:space="0"/>
                <w:left w:val="none" w:sz="4" w:space="0"/>
                <w:bottom w:val="none" w:sz="4" w:space="0"/>
                <w:right w:val="none" w:sz="4" w:space="0"/>
                <w:between w:val="none" w:sz="4" w:space="0"/>
                <w:bar w:val="none" w:sz="4" w:space="0"/>
              </w:pBdr>
              <w:shd w:val="clear" w:fill="auto"/>
              <w:bidi w:val="off"/>
              <w:spacing w:before="0" w:after="200" w:line="276" w:lineRule="auto"/>
              <w:ind w:left="0" w:right="0" w:firstLine="0"/>
              <w:jc w:val="left"/>
              <w:rPr>
                <w:rFonts w:cs="Lucida Sans"/>
                <w:color w:val="auto"/>
                <w:sz w:val="24"/>
                <w:rtl w:val="off"/>
                <w:lang w:val="en-GB" w:eastAsia="zh-CN"/>
              </w:rPr>
            </w:pPr>
            <w:r>
              <w:rPr>
                <w:rFonts w:ascii="0" w:cs="0" w:eastAsia="0"/>
                <w:b w:val="off"/>
                <w:bCs w:val="off"/>
                <w:i w:val="off"/>
                <w:iCs w:val="off"/>
                <w:color w:val="auto"/>
                <w:sz w:val="21"/>
                <w:szCs w:val="21"/>
                <w:u w:val="none" w:color="auto"/>
                <w:rtl w:val="off"/>
                <w:lang w:val="en-GB" w:eastAsia="en-GB"/>
              </w:rPr>
              <w:t>Mail</w:t>
            </w:r>
          </w:p>
        </w:tc>
        <w:tc>
          <w:tcPr>
            <w:cnfStyle w:val="000001000000"/>
            <w:tcW w:w="5778" w:type="dxa"/>
            <w:tcBorders>
              <w:left w:val="single" w:color="000000" w:sz="4" w:space="0"/>
              <w:bottom w:val="single" w:color="000000" w:sz="4" w:space="0"/>
              <w:right w:val="single" w:color="000000" w:sz="4" w:space="0"/>
            </w:tcBorders>
            <w:tcMar>
              <w:top w:w="55" w:type="dxa"/>
              <w:left w:w="55" w:type="dxa"/>
              <w:bottom w:w="55" w:type="dxa"/>
              <w:right w:w="55" w:type="dxa"/>
            </w:tcMar>
          </w:tcPr>
          <w:p w14:paraId="0000000A">
            <w:pPr>
              <w:pStyle w:val="Normal"/>
              <w:framePr w:w="0" w:h="0" w:vAnchor="margin" w:hAnchor="text" w:x="0" w:y="0"/>
              <w:widowControl w:val="on"/>
              <w:pBdr>
                <w:top w:val="none" w:sz="4" w:space="0"/>
                <w:left w:val="none" w:sz="4" w:space="0"/>
                <w:bottom w:val="none" w:sz="4" w:space="0"/>
                <w:right w:val="none" w:sz="4" w:space="0"/>
                <w:between w:val="none" w:sz="4" w:space="0"/>
                <w:bar w:val="none" w:sz="4" w:space="0"/>
              </w:pBdr>
              <w:shd w:val="clear" w:fill="auto"/>
              <w:bidi w:val="off"/>
              <w:spacing w:before="0" w:after="200" w:line="276" w:lineRule="auto"/>
              <w:ind w:left="0" w:right="0" w:firstLine="0"/>
              <w:jc w:val="left"/>
              <w:rPr>
                <w:rFonts w:cs="Lucida Sans"/>
                <w:color w:val="auto"/>
                <w:sz w:val="24"/>
                <w:rtl w:val="off"/>
                <w:lang w:val="en-GB" w:eastAsia="zh-CN"/>
              </w:rPr>
            </w:pPr>
            <w:r>
              <w:rPr>
                <w:rFonts w:ascii="Segoe UI" w:cs="0" w:eastAsia="0"/>
                <w:color w:val="333333"/>
                <w:sz w:val="20"/>
                <w:szCs w:val="22"/>
                <w:rtl w:val="off"/>
                <w:lang w:val="en-GB" w:eastAsia="en-US"/>
              </w:rPr>
              <w:t>mail.access-accsecurity.com</w:t>
            </w:r>
          </w:p>
        </w:tc>
      </w:tr>
      <w:tr>
        <w:trPr>
          <w:jc w:val="left"/>
        </w:trPr>
        <w:tc>
          <w:tcPr>
            <w:cnfStyle w:val="000010000000"/>
            <w:tcW w:w="3912" w:type="dxa"/>
            <w:tcBorders>
              <w:left w:val="single" w:color="000000" w:sz="4" w:space="0"/>
              <w:bottom w:val="single" w:color="000000" w:sz="4" w:space="0"/>
            </w:tcBorders>
            <w:tcMar>
              <w:top w:w="55" w:type="dxa"/>
              <w:left w:w="55" w:type="dxa"/>
              <w:bottom w:w="55" w:type="dxa"/>
              <w:right w:w="55" w:type="dxa"/>
            </w:tcMar>
          </w:tcPr>
          <w:p w14:paraId="0000000B">
            <w:pPr>
              <w:pStyle w:val="Normal"/>
              <w:framePr w:w="0" w:h="0" w:vAnchor="margin" w:hAnchor="text" w:x="0" w:y="0"/>
              <w:widowControl w:val="on"/>
              <w:pBdr>
                <w:top w:val="none" w:sz="4" w:space="0"/>
                <w:left w:val="none" w:sz="4" w:space="0"/>
                <w:bottom w:val="none" w:sz="4" w:space="0"/>
                <w:right w:val="none" w:sz="4" w:space="0"/>
                <w:between w:val="none" w:sz="4" w:space="0"/>
                <w:bar w:val="none" w:sz="4" w:space="0"/>
              </w:pBdr>
              <w:shd w:val="clear" w:fill="auto"/>
              <w:bidi w:val="off"/>
              <w:spacing w:before="0" w:after="200" w:line="276" w:lineRule="auto"/>
              <w:ind w:left="0" w:right="0" w:firstLine="0"/>
              <w:jc w:val="left"/>
              <w:rPr>
                <w:rFonts w:cs="Lucida Sans"/>
                <w:color w:val="auto"/>
                <w:sz w:val="24"/>
                <w:rtl w:val="off"/>
                <w:lang w:val="en-GB" w:eastAsia="zh-CN"/>
              </w:rPr>
            </w:pPr>
            <w:r>
              <w:rPr>
                <w:rFonts w:ascii="Segoe UI" w:cs="0" w:eastAsia="0"/>
                <w:b w:val="off"/>
                <w:bCs w:val="off"/>
                <w:color w:val="000000"/>
                <w:sz w:val="21"/>
                <w:szCs w:val="21"/>
                <w:rtl w:val="off"/>
                <w:lang w:val="en-GB" w:eastAsia="en-US"/>
              </w:rPr>
              <w:t>Reply to</w:t>
            </w:r>
          </w:p>
        </w:tc>
        <w:tc>
          <w:tcPr>
            <w:cnfStyle w:val="000001000000"/>
            <w:tcW w:w="5778" w:type="dxa"/>
            <w:tcBorders>
              <w:left w:val="single" w:color="000000" w:sz="4" w:space="0"/>
              <w:bottom w:val="single" w:color="000000" w:sz="4" w:space="0"/>
              <w:right w:val="single" w:color="000000" w:sz="4" w:space="0"/>
            </w:tcBorders>
            <w:tcMar>
              <w:top w:w="55" w:type="dxa"/>
              <w:left w:w="55" w:type="dxa"/>
              <w:bottom w:w="55" w:type="dxa"/>
              <w:right w:w="55" w:type="dxa"/>
            </w:tcMar>
          </w:tcPr>
          <w:p w14:paraId="0000000C">
            <w:pPr>
              <w:pStyle w:val="Normal"/>
              <w:framePr w:w="0" w:h="0" w:vAnchor="margin" w:hAnchor="text" w:x="0" w:y="0"/>
              <w:widowControl w:val="on"/>
              <w:pBdr>
                <w:top w:val="none" w:sz="4" w:space="0"/>
                <w:left w:val="none" w:sz="4" w:space="0"/>
                <w:bottom w:val="none" w:sz="4" w:space="0"/>
                <w:right w:val="none" w:sz="4" w:space="0"/>
                <w:between w:val="none" w:sz="4" w:space="0"/>
                <w:bar w:val="none" w:sz="4" w:space="0"/>
              </w:pBdr>
              <w:shd w:val="clear" w:fill="auto"/>
              <w:bidi w:val="off"/>
              <w:spacing w:before="0" w:after="200" w:line="276" w:lineRule="auto"/>
              <w:ind w:left="0" w:right="0" w:firstLine="0"/>
              <w:jc w:val="left"/>
              <w:rPr>
                <w:rFonts w:cs="Lucida Sans"/>
                <w:color w:val="auto"/>
                <w:sz w:val="24"/>
                <w:rtl w:val="off"/>
                <w:lang w:val="en-GB" w:eastAsia="zh-CN"/>
              </w:rPr>
            </w:pPr>
            <w:r>
              <w:rPr>
                <w:rFonts w:ascii="Segoe UI" w:cs="0" w:eastAsia="0"/>
                <w:color w:val="333333"/>
                <w:sz w:val="20"/>
                <w:szCs w:val="22"/>
                <w:rtl w:val="off"/>
                <w:lang w:val="en-GB" w:eastAsia="en-US"/>
              </w:rPr>
              <w:t>solutionteamrecognizd03@gmail.com</w:t>
            </w:r>
          </w:p>
        </w:tc>
      </w:tr>
      <w:tr>
        <w:trPr>
          <w:jc w:val="left"/>
        </w:trPr>
        <w:tc>
          <w:tcPr>
            <w:cnfStyle w:val="000010000000"/>
            <w:tcW w:w="3912" w:type="dxa"/>
            <w:tcBorders>
              <w:left w:val="single" w:color="000000" w:sz="4" w:space="0"/>
              <w:bottom w:val="single" w:color="000000" w:sz="4" w:space="0"/>
            </w:tcBorders>
            <w:tcMar>
              <w:top w:w="55" w:type="dxa"/>
              <w:left w:w="55" w:type="dxa"/>
              <w:bottom w:w="55" w:type="dxa"/>
              <w:right w:w="55" w:type="dxa"/>
            </w:tcMar>
          </w:tcPr>
          <w:p w14:paraId="0000000D">
            <w:pPr>
              <w:pStyle w:val="Normal"/>
              <w:framePr w:w="0" w:h="0" w:vAnchor="margin" w:hAnchor="text" w:x="0" w:y="0"/>
              <w:widowControl w:val="on"/>
              <w:pBdr>
                <w:top w:val="none" w:sz="4" w:space="0"/>
                <w:left w:val="none" w:sz="4" w:space="0"/>
                <w:bottom w:val="none" w:sz="4" w:space="0"/>
                <w:right w:val="none" w:sz="4" w:space="0"/>
                <w:between w:val="none" w:sz="4" w:space="0"/>
                <w:bar w:val="none" w:sz="4" w:space="0"/>
              </w:pBdr>
              <w:shd w:val="clear" w:fill="auto"/>
              <w:bidi w:val="off"/>
              <w:spacing w:before="0" w:after="200" w:line="276" w:lineRule="auto"/>
              <w:ind w:left="0" w:right="0" w:firstLine="0"/>
              <w:jc w:val="left"/>
              <w:rPr>
                <w:rFonts w:cs="Lucida Sans"/>
                <w:color w:val="auto"/>
                <w:sz w:val="24"/>
                <w:rtl w:val="off"/>
                <w:lang w:val="en-GB" w:eastAsia="zh-CN"/>
              </w:rPr>
            </w:pPr>
            <w:r>
              <w:rPr>
                <w:rFonts w:ascii="Segoe UI" w:cs="0" w:eastAsia="0"/>
                <w:b w:val="off"/>
                <w:bCs w:val="off"/>
                <w:color w:val="000000"/>
                <w:sz w:val="21"/>
                <w:szCs w:val="21"/>
                <w:rtl w:val="off"/>
                <w:lang w:val="en-GB" w:eastAsia="en-US"/>
              </w:rPr>
              <w:t>Date</w:t>
            </w:r>
          </w:p>
        </w:tc>
        <w:tc>
          <w:tcPr>
            <w:cnfStyle w:val="000001000000"/>
            <w:tcW w:w="5778" w:type="dxa"/>
            <w:tcBorders>
              <w:left w:val="single" w:color="000000" w:sz="4" w:space="0"/>
              <w:bottom w:val="single" w:color="000000" w:sz="4" w:space="0"/>
              <w:right w:val="single" w:color="000000" w:sz="4" w:space="0"/>
            </w:tcBorders>
            <w:tcMar>
              <w:top w:w="55" w:type="dxa"/>
              <w:left w:w="55" w:type="dxa"/>
              <w:bottom w:w="55" w:type="dxa"/>
              <w:right w:w="55" w:type="dxa"/>
            </w:tcMar>
          </w:tcPr>
          <w:p w14:paraId="0000000E">
            <w:pPr>
              <w:pStyle w:val="Normal"/>
              <w:framePr w:w="0" w:h="0" w:vAnchor="margin" w:hAnchor="text" w:x="0" w:y="0"/>
              <w:widowControl w:val="on"/>
              <w:pBdr>
                <w:top w:val="none" w:sz="4" w:space="0"/>
                <w:left w:val="none" w:sz="4" w:space="0"/>
                <w:bottom w:val="none" w:sz="4" w:space="0"/>
                <w:right w:val="none" w:sz="4" w:space="0"/>
                <w:between w:val="none" w:sz="4" w:space="0"/>
                <w:bar w:val="none" w:sz="4" w:space="0"/>
              </w:pBdr>
              <w:shd w:val="clear" w:fill="auto"/>
              <w:bidi w:val="off"/>
              <w:spacing w:before="0" w:after="200" w:line="276" w:lineRule="auto"/>
              <w:ind w:left="0" w:right="0" w:firstLine="0"/>
              <w:jc w:val="left"/>
              <w:rPr>
                <w:rFonts w:cs="Lucida Sans"/>
                <w:color w:val="auto"/>
                <w:sz w:val="24"/>
                <w:rtl w:val="off"/>
                <w:lang w:val="en-GB" w:eastAsia="zh-CN"/>
              </w:rPr>
            </w:pPr>
            <w:r>
              <w:rPr>
                <w:rFonts w:ascii="Segoe UI" w:cs="0" w:eastAsia="0"/>
                <w:b w:val="off"/>
                <w:bCs w:val="off"/>
                <w:color w:val="000000"/>
                <w:sz w:val="28"/>
                <w:szCs w:val="32"/>
                <w:rtl w:val="off"/>
                <w:lang w:val="en-GB" w:eastAsia="en-US"/>
              </w:rPr>
              <w:t xml:space="preserve"> </w:t>
            </w:r>
            <w:r>
              <w:rPr>
                <w:rFonts w:ascii="Segoe UI" w:cs="0" w:eastAsia="0"/>
                <w:color w:val="333333"/>
                <w:sz w:val="20"/>
                <w:szCs w:val="22"/>
                <w:highlight w:val="white"/>
                <w:rtl w:val="off"/>
                <w:lang w:val="en-GB" w:eastAsia="en-US"/>
              </w:rPr>
              <w:t>Wed, 16 Aug 2023 00:15:00 +0100</w:t>
            </w:r>
          </w:p>
        </w:tc>
      </w:tr>
      <w:tr>
        <w:trPr>
          <w:jc w:val="left"/>
        </w:trPr>
        <w:tc>
          <w:tcPr>
            <w:cnfStyle w:val="000010000000"/>
            <w:tcW w:w="3912" w:type="dxa"/>
            <w:tcBorders>
              <w:left w:val="single" w:color="000000" w:sz="4" w:space="0"/>
              <w:bottom w:val="single" w:color="000000" w:sz="4" w:space="0"/>
            </w:tcBorders>
            <w:tcMar>
              <w:top w:w="55" w:type="dxa"/>
              <w:left w:w="55" w:type="dxa"/>
              <w:bottom w:w="55" w:type="dxa"/>
              <w:right w:w="55" w:type="dxa"/>
            </w:tcMar>
          </w:tcPr>
          <w:p w14:paraId="0000000F">
            <w:pPr>
              <w:pStyle w:val="TableContents"/>
              <w:framePr w:w="0" w:h="0" w:vAnchor="margin" w:hAnchor="text" w:x="0" w:y="0"/>
              <w:widowControl w:val="off"/>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pPr>
            <w:r>
              <w:rPr>
                <w:sz w:val="21"/>
                <w:szCs w:val="21"/>
                <w:rtl w:val="off"/>
              </w:rPr>
              <w:t>Claim IP</w:t>
            </w:r>
          </w:p>
        </w:tc>
        <w:tc>
          <w:tcPr>
            <w:cnfStyle w:val="000001000000"/>
            <w:tcW w:w="5778" w:type="dxa"/>
            <w:tcBorders>
              <w:left w:val="single" w:color="000000" w:sz="4" w:space="0"/>
              <w:bottom w:val="single" w:color="000000" w:sz="4" w:space="0"/>
              <w:right w:val="single" w:color="000000" w:sz="4" w:space="0"/>
            </w:tcBorders>
            <w:tcMar>
              <w:top w:w="55" w:type="dxa"/>
              <w:left w:w="55" w:type="dxa"/>
              <w:bottom w:w="55" w:type="dxa"/>
              <w:right w:w="55" w:type="dxa"/>
            </w:tcMar>
          </w:tcPr>
          <w:p w14:paraId="00000010">
            <w:pPr>
              <w:pStyle w:val="Normal"/>
              <w:framePr w:w="0" w:h="0" w:vAnchor="margin" w:hAnchor="text" w:x="0" w:y="0"/>
              <w:widowControl w:val="on"/>
              <w:pBdr>
                <w:top w:val="none" w:sz="4" w:space="0"/>
                <w:left w:val="none" w:sz="4" w:space="0"/>
                <w:bottom w:val="none" w:sz="4" w:space="0"/>
                <w:right w:val="none" w:sz="4" w:space="0"/>
                <w:between w:val="none" w:sz="4" w:space="0"/>
                <w:bar w:val="none" w:sz="4" w:space="0"/>
              </w:pBdr>
              <w:shd w:val="clear" w:fill="auto"/>
              <w:bidi w:val="off"/>
              <w:spacing w:before="0" w:after="200" w:line="276" w:lineRule="auto"/>
              <w:ind w:left="0" w:right="0" w:firstLine="0"/>
              <w:jc w:val="left"/>
              <w:rPr>
                <w:rFonts w:cs="Lucida Sans"/>
                <w:color w:val="auto"/>
                <w:sz w:val="24"/>
                <w:rtl w:val="off"/>
                <w:lang w:val="en-GB" w:eastAsia="zh-CN"/>
              </w:rPr>
            </w:pPr>
            <w:r>
              <w:rPr>
                <w:rFonts w:ascii="0" w:cs="0" w:eastAsia="0"/>
                <w:b w:val="off"/>
                <w:bCs w:val="off"/>
                <w:i w:val="off"/>
                <w:iCs w:val="off"/>
                <w:color w:val="auto"/>
                <w:sz w:val="24"/>
                <w:szCs w:val="24"/>
                <w:u w:val="none" w:color="auto"/>
                <w:rtl w:val="off"/>
                <w:lang w:val="en-GB" w:eastAsia="en-GB"/>
              </w:rPr>
              <w:t>103.225.77.255</w:t>
            </w:r>
          </w:p>
        </w:tc>
      </w:tr>
      <w:tr>
        <w:trPr>
          <w:jc w:val="left"/>
        </w:trPr>
        <w:tc>
          <w:tcPr>
            <w:cnfStyle w:val="000010000000"/>
            <w:tcW w:w="3912" w:type="dxa"/>
            <w:tcBorders>
              <w:left w:val="single" w:color="000000" w:sz="4" w:space="0"/>
              <w:bottom w:val="single" w:color="000000" w:sz="4" w:space="0"/>
            </w:tcBorders>
            <w:tcMar>
              <w:top w:w="55" w:type="dxa"/>
              <w:left w:w="55" w:type="dxa"/>
              <w:bottom w:w="55" w:type="dxa"/>
              <w:right w:w="55" w:type="dxa"/>
            </w:tcMar>
          </w:tcPr>
          <w:p w14:paraId="00000011">
            <w:pPr>
              <w:pStyle w:val="TableContents"/>
              <w:framePr w:w="0" w:h="0" w:vAnchor="margin" w:hAnchor="text" w:x="0" w:y="0"/>
              <w:widowControl w:val="off"/>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pPr>
            <w:r>
              <w:rPr>
                <w:sz w:val="21"/>
                <w:szCs w:val="21"/>
                <w:rtl w:val="off"/>
              </w:rPr>
              <w:t>URL</w:t>
            </w:r>
          </w:p>
        </w:tc>
        <w:tc>
          <w:tcPr>
            <w:cnfStyle w:val="000001000000"/>
            <w:tcW w:w="5778" w:type="dxa"/>
            <w:tcBorders>
              <w:left w:val="single" w:color="000000" w:sz="4" w:space="0"/>
              <w:bottom w:val="single" w:color="000000" w:sz="4" w:space="0"/>
              <w:right w:val="single" w:color="000000" w:sz="4" w:space="0"/>
            </w:tcBorders>
            <w:tcMar>
              <w:top w:w="55" w:type="dxa"/>
              <w:left w:w="55" w:type="dxa"/>
              <w:bottom w:w="55" w:type="dxa"/>
              <w:right w:w="55" w:type="dxa"/>
            </w:tcMar>
          </w:tcPr>
          <w:p w14:paraId="00000012">
            <w:pPr>
              <w:pStyle w:val="Normal"/>
              <w:framePr w:w="0" w:h="0" w:vAnchor="margin" w:hAnchor="text" w:x="0" w:y="0"/>
              <w:widowControl w:val="on"/>
              <w:pBdr>
                <w:top w:val="none" w:sz="4" w:space="0"/>
                <w:left w:val="none" w:sz="4" w:space="0"/>
                <w:bottom w:val="none" w:sz="4" w:space="0"/>
                <w:right w:val="none" w:sz="4" w:space="0"/>
                <w:between w:val="none" w:sz="4" w:space="0"/>
                <w:bar w:val="none" w:sz="4" w:space="0"/>
              </w:pBdr>
              <w:shd w:val="clear" w:fill="auto"/>
              <w:bidi w:val="off"/>
              <w:spacing w:before="0" w:after="200" w:line="276" w:lineRule="auto"/>
              <w:ind w:left="0" w:right="0" w:firstLine="0"/>
              <w:jc w:val="left"/>
              <w:rPr>
                <w:rFonts w:cs="Lucida Sans"/>
                <w:color w:val="auto"/>
                <w:sz w:val="24"/>
                <w:rtl w:val="off"/>
                <w:lang w:val="en-GB" w:eastAsia="zh-CN"/>
              </w:rPr>
            </w:pPr>
            <w:r>
              <w:rPr>
                <w:rFonts w:ascii="0" w:cs="0" w:eastAsia="0"/>
                <w:b w:val="off"/>
                <w:bCs w:val="off"/>
                <w:i w:val="off"/>
                <w:iCs w:val="off"/>
                <w:color w:val="00b0f0"/>
                <w:sz w:val="24"/>
                <w:szCs w:val="24"/>
                <w:u w:val="none" w:color="auto"/>
                <w:rtl w:val="off"/>
                <w:lang w:val="en-GB" w:eastAsia="en-GB"/>
              </w:rPr>
              <w:t>https://sign.in/</w:t>
            </w:r>
          </w:p>
        </w:tc>
      </w:tr>
      <w:tr>
        <w:trPr>
          <w:trHeight w:val="427" w:hRule="atLeast"/>
          <w:jc w:val="left"/>
        </w:trPr>
        <w:tc>
          <w:tcPr>
            <w:cnfStyle w:val="000010000000"/>
            <w:tcW w:w="3912" w:type="dxa"/>
            <w:tcBorders>
              <w:left w:val="single" w:color="000000" w:sz="4" w:space="0"/>
              <w:bottom w:val="single" w:color="000000" w:sz="4" w:space="0"/>
            </w:tcBorders>
            <w:tcMar>
              <w:top w:w="55" w:type="dxa"/>
              <w:left w:w="55" w:type="dxa"/>
              <w:bottom w:w="55" w:type="dxa"/>
              <w:right w:w="55" w:type="dxa"/>
            </w:tcMar>
          </w:tcPr>
          <w:p w14:paraId="00000013">
            <w:pPr>
              <w:pStyle w:val="TableContents"/>
              <w:framePr w:w="0" w:h="0" w:vAnchor="margin" w:hAnchor="text" w:x="0" w:y="0"/>
              <w:widowControl w:val="off"/>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pPr>
            <w:r>
              <w:rPr>
                <w:sz w:val="21"/>
                <w:szCs w:val="21"/>
                <w:rtl w:val="off"/>
              </w:rPr>
              <w:t>Tracking pixel source</w:t>
            </w:r>
          </w:p>
        </w:tc>
        <w:tc>
          <w:tcPr>
            <w:cnfStyle w:val="000001000000"/>
            <w:tcW w:w="5778" w:type="dxa"/>
            <w:tcBorders>
              <w:left w:val="single" w:color="000000" w:sz="4" w:space="0"/>
              <w:bottom w:val="single" w:color="000000" w:sz="4" w:space="0"/>
              <w:right w:val="single" w:color="000000" w:sz="4" w:space="0"/>
            </w:tcBorders>
            <w:tcMar>
              <w:top w:w="55" w:type="dxa"/>
              <w:left w:w="55" w:type="dxa"/>
              <w:bottom w:w="55" w:type="dxa"/>
              <w:right w:w="55" w:type="dxa"/>
            </w:tcMar>
          </w:tcPr>
          <w:p w14:paraId="00000014">
            <w:pPr>
              <w:pStyle w:val="Normal"/>
              <w:framePr w:w="0" w:h="0" w:vAnchor="margin" w:hAnchor="text" w:x="0" w:y="0"/>
              <w:widowControl w:val="on"/>
              <w:pBdr>
                <w:top w:val="none" w:sz="4" w:space="0"/>
                <w:left w:val="none" w:sz="4" w:space="0"/>
                <w:bottom w:val="none" w:sz="4" w:space="0"/>
                <w:right w:val="none" w:sz="4" w:space="0"/>
                <w:between w:val="none" w:sz="4" w:space="0"/>
                <w:bar w:val="none" w:sz="4" w:space="0"/>
              </w:pBdr>
              <w:shd w:val="clear" w:fill="auto"/>
              <w:bidi w:val="off"/>
              <w:spacing w:before="0" w:after="200" w:line="276" w:lineRule="auto"/>
              <w:ind w:left="0" w:right="0" w:firstLine="0"/>
              <w:jc w:val="left"/>
              <w:rPr>
                <w:rFonts w:cs="Lucida Sans"/>
                <w:color w:val="auto"/>
                <w:sz w:val="24"/>
                <w:rtl w:val="off"/>
                <w:lang w:val="en-GB" w:eastAsia="zh-CN"/>
              </w:rPr>
            </w:pPr>
            <w:r>
              <w:rPr>
                <w:rFonts w:ascii="Segoe UI" w:cs="0" w:eastAsia="0"/>
                <w:b/>
                <w:bCs/>
                <w:i/>
                <w:iCs/>
                <w:color w:val="00b0f0"/>
                <w:sz w:val="20"/>
                <w:szCs w:val="20"/>
                <w:u w:val="none" w:color="auto"/>
                <w:rtl w:val="off"/>
                <w:lang w:val="en-GB" w:eastAsia="en-US"/>
              </w:rPr>
              <w:t>thebandalisty.com</w:t>
            </w:r>
          </w:p>
        </w:tc>
      </w:tr>
    </w:tbl>
    <w:p w14:paraId="00000015">
      <w:pPr>
        <w:ind w:right="-270"/>
        <w:rPr>
          <w:b/>
          <w:bCs/>
          <w:i w:val="off"/>
          <w:iCs w:val="off"/>
          <w:sz w:val="24"/>
          <w:szCs w:val="24"/>
          <w:u w:val="single"/>
          <w:lang w:val="en-GB"/>
        </w:rPr>
      </w:pPr>
    </w:p>
    <w:p w14:paraId="00000016">
      <w:pPr>
        <w:rPr>
          <w:b/>
          <w:bCs/>
          <w:i w:val="off"/>
          <w:iCs w:val="off"/>
          <w:sz w:val="24"/>
          <w:szCs w:val="24"/>
          <w:u w:val="single"/>
        </w:rPr>
      </w:pPr>
      <w:r>
        <w:rPr>
          <w:b/>
          <w:bCs/>
          <w:i w:val="off"/>
          <w:iCs w:val="off"/>
          <w:sz w:val="24"/>
          <w:szCs w:val="24"/>
          <w:u w:val="single"/>
          <w:lang w:val="en-GB"/>
        </w:rPr>
        <w:t>URL and Attachment Analysis</w:t>
      </w:r>
    </w:p>
    <w:p w14:paraId="00000017">
      <w:pPr>
        <w:rPr>
          <w:b w:val="off"/>
          <w:bCs w:val="off"/>
          <w:i w:val="off"/>
          <w:iCs w:val="off"/>
          <w:sz w:val="24"/>
          <w:szCs w:val="24"/>
          <w:u w:val="none"/>
        </w:rPr>
      </w:pPr>
      <w:r>
        <w:rPr>
          <w:b w:val="off"/>
          <w:bCs w:val="off"/>
          <w:i w:val="off"/>
          <w:iCs w:val="off"/>
          <w:sz w:val="24"/>
          <w:szCs w:val="24"/>
          <w:u w:val="none"/>
        </w:rPr>
        <w:drawing xmlns:mc="http://schemas.openxmlformats.org/markup-compatibility/2006">
          <wp:inline distT="0" distB="0" distL="0" distR="0">
            <wp:extent cx="6926580" cy="3117215"/>
            <wp:effectExtent l="0" t="0" r="0" b="0"/>
            <wp:docPr id="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Grp="0" noSelect="0" noChangeAspect="1" noMove="0"/>
                    </pic:cNvPicPr>
                  </pic:nvPicPr>
                  <pic:blipFill>
                    <a:blip r:embed="rId32"/>
                    <a:srcRect/>
                    <a:stretch>
                      <a:fillRect/>
                    </a:stretch>
                  </pic:blipFill>
                  <pic:spPr>
                    <a:xfrm>
                      <a:off x="0" y="0"/>
                      <a:ext cx="6926580" cy="3117215"/>
                    </a:xfrm>
                    <a:prstGeom prst="rect">
                      <a:avLst/>
                    </a:prstGeom>
                  </pic:spPr>
                </pic:pic>
              </a:graphicData>
            </a:graphic>
          </wp:inline>
        </w:drawing>
      </w:r>
    </w:p>
    <w:p w14:paraId="00000018">
      <w:pPr>
        <w:rPr>
          <w:b/>
          <w:bCs/>
          <w:i/>
          <w:iCs/>
          <w:sz w:val="20"/>
          <w:szCs w:val="20"/>
          <w:u w:val="none"/>
        </w:rPr>
      </w:pPr>
      <w:r>
        <w:rPr>
          <w:b w:val="off"/>
          <w:bCs w:val="off"/>
          <w:i w:val="off"/>
          <w:iCs w:val="off"/>
          <w:sz w:val="24"/>
          <w:szCs w:val="24"/>
          <w:u w:val="none"/>
        </w:rPr>
        <w:drawing xmlns:mc="http://schemas.openxmlformats.org/markup-compatibility/2006">
          <wp:inline distT="0" distB="0" distL="0" distR="0">
            <wp:extent cx="6965315" cy="3333750"/>
            <wp:effectExtent l="0" t="0" r="0" b="0"/>
            <wp:docPr id="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Grp="0" noSelect="0" noChangeAspect="1" noMove="0"/>
                    </pic:cNvPicPr>
                  </pic:nvPicPr>
                  <pic:blipFill>
                    <a:blip r:embed="rId33"/>
                    <a:srcRect/>
                    <a:stretch>
                      <a:fillRect/>
                    </a:stretch>
                  </pic:blipFill>
                  <pic:spPr>
                    <a:xfrm>
                      <a:off x="0" y="0"/>
                      <a:ext cx="6965315" cy="3333750"/>
                    </a:xfrm>
                    <a:prstGeom prst="rect">
                      <a:avLst/>
                    </a:prstGeom>
                  </pic:spPr>
                </pic:pic>
              </a:graphicData>
            </a:graphic>
          </wp:inline>
        </w:drawing>
      </w:r>
      <w:r>
        <w:rPr>
          <w:b/>
          <w:bCs/>
          <w:i/>
          <w:iCs/>
          <w:sz w:val="20"/>
          <w:szCs w:val="20"/>
          <w:u w:val="none"/>
          <w:lang w:val="en-GB"/>
        </w:rPr>
        <w:t>Figure1 : image showing status of IP address 89.144.44.41</w:t>
      </w:r>
    </w:p>
    <w:p w14:paraId="00000019">
      <w:pPr>
        <w:rPr>
          <w:b w:val="off"/>
          <w:bCs w:val="off"/>
          <w:i w:val="off"/>
          <w:iCs w:val="off"/>
          <w:sz w:val="24"/>
          <w:szCs w:val="24"/>
          <w:u w:val="none"/>
        </w:rPr>
      </w:pPr>
      <w:r>
        <w:rPr>
          <w:b w:val="off"/>
          <w:bCs w:val="off"/>
          <w:i w:val="off"/>
          <w:iCs w:val="off"/>
          <w:sz w:val="24"/>
          <w:szCs w:val="24"/>
          <w:u w:val="none"/>
          <w:lang w:val="en-GB"/>
        </w:rPr>
        <w:t xml:space="preserve">Even though the IP address was not reported as malicious at Virus total,AbuseipDB, and AlienVault at the time of this investigation, there is a discrepancy in location across this threat detection platforms. AbuseipDB reported that the IP originated from Poland, AlienVault reported that IP originated from Germany while the email </w:t>
      </w:r>
      <w:r>
        <w:rPr>
          <w:b w:val="off"/>
          <w:bCs w:val="off"/>
          <w:i w:val="off"/>
          <w:iCs w:val="off"/>
          <w:sz w:val="24"/>
          <w:szCs w:val="24"/>
          <w:u w:val="none"/>
          <w:lang w:val="en-GB"/>
        </w:rPr>
        <w:t>claimed</w:t>
      </w:r>
      <w:r>
        <w:rPr>
          <w:b w:val="off"/>
          <w:bCs w:val="off"/>
          <w:i w:val="off"/>
          <w:iCs w:val="off"/>
          <w:sz w:val="24"/>
          <w:szCs w:val="24"/>
          <w:u w:val="none"/>
          <w:lang w:val="en-GB"/>
        </w:rPr>
        <w:t xml:space="preserve"> that email came from Russia.</w:t>
      </w:r>
    </w:p>
    <w:p w14:paraId="0000001A">
      <w:pPr>
        <w:rPr>
          <w:b w:val="off"/>
          <w:bCs w:val="off"/>
          <w:i w:val="off"/>
          <w:iCs w:val="off"/>
          <w:sz w:val="24"/>
          <w:szCs w:val="24"/>
          <w:u w:val="none"/>
        </w:rPr>
      </w:pPr>
    </w:p>
    <w:p w14:paraId="0000001B">
      <w:pPr>
        <w:rPr>
          <w:b/>
          <w:bCs/>
          <w:i w:val="off"/>
          <w:iCs w:val="off"/>
          <w:sz w:val="24"/>
          <w:szCs w:val="24"/>
          <w:u w:val="single"/>
          <w:lang w:val="en-GB"/>
        </w:rPr>
      </w:pPr>
    </w:p>
    <w:p w14:paraId="0000001C">
      <w:pPr>
        <w:rPr>
          <w:b/>
          <w:bCs/>
          <w:i w:val="off"/>
          <w:iCs w:val="off"/>
          <w:sz w:val="24"/>
          <w:szCs w:val="24"/>
          <w:u w:val="single"/>
          <w:lang w:val="en-GB"/>
        </w:rPr>
      </w:pPr>
    </w:p>
    <w:p w14:paraId="0000001D">
      <w:pPr>
        <w:rPr>
          <w:b/>
          <w:bCs/>
          <w:i w:val="off"/>
          <w:iCs w:val="off"/>
          <w:sz w:val="24"/>
          <w:szCs w:val="24"/>
          <w:u w:val="single"/>
        </w:rPr>
      </w:pPr>
      <w:r>
        <w:rPr>
          <w:b/>
          <w:bCs/>
          <w:i w:val="off"/>
          <w:iCs w:val="off"/>
          <w:sz w:val="24"/>
          <w:szCs w:val="24"/>
          <w:u w:val="single"/>
          <w:lang w:val="en-GB"/>
        </w:rPr>
        <w:t>Claim</w:t>
      </w:r>
    </w:p>
    <w:p w14:paraId="0000001E">
      <w:pPr>
        <w:rPr>
          <w:b/>
          <w:bCs/>
          <w:i/>
          <w:iCs/>
          <w:sz w:val="20"/>
          <w:szCs w:val="20"/>
          <w:u w:val="none"/>
        </w:rPr>
      </w:pPr>
      <w:r>
        <w:rPr>
          <w:b w:val="off"/>
          <w:bCs w:val="off"/>
          <w:i w:val="off"/>
          <w:iCs w:val="off"/>
          <w:sz w:val="24"/>
          <w:szCs w:val="24"/>
          <w:u w:val="none"/>
          <w:lang w:val="en-GB"/>
        </w:rPr>
        <w:t xml:space="preserve"> </w:t>
      </w:r>
      <w:r>
        <w:rPr>
          <w:b w:val="off"/>
          <w:bCs w:val="off"/>
          <w:i w:val="off"/>
          <w:iCs w:val="off"/>
          <w:sz w:val="24"/>
          <w:szCs w:val="24"/>
          <w:u w:val="none"/>
        </w:rPr>
        <w:drawing xmlns:mc="http://schemas.openxmlformats.org/markup-compatibility/2006">
          <wp:inline distT="0" distB="0" distL="0" distR="0">
            <wp:extent cx="6885305" cy="2626360"/>
            <wp:effectExtent l="0" t="0" r="0" b="0"/>
            <wp:docPr id="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pic:cNvPicPr>
                      <a:picLocks noGrp="0" noSelect="0" noChangeAspect="1" noMove="0"/>
                    </pic:cNvPicPr>
                  </pic:nvPicPr>
                  <pic:blipFill>
                    <a:blip r:embed="rId34"/>
                    <a:srcRect/>
                    <a:stretch>
                      <a:fillRect/>
                    </a:stretch>
                  </pic:blipFill>
                  <pic:spPr>
                    <a:xfrm>
                      <a:off x="0" y="0"/>
                      <a:ext cx="6885305" cy="2626360"/>
                    </a:xfrm>
                    <a:prstGeom prst="rect">
                      <a:avLst/>
                    </a:prstGeom>
                  </pic:spPr>
                </pic:pic>
              </a:graphicData>
            </a:graphic>
          </wp:inline>
        </w:drawing>
      </w:r>
      <w:r>
        <w:rPr>
          <w:b/>
          <w:bCs/>
          <w:i/>
          <w:iCs/>
          <w:sz w:val="20"/>
          <w:szCs w:val="20"/>
          <w:u w:val="none"/>
          <w:lang w:val="en-GB"/>
        </w:rPr>
        <w:t>Figure2.0 : Image showing</w:t>
      </w:r>
      <w:r>
        <w:rPr>
          <w:b/>
          <w:bCs/>
          <w:i/>
          <w:iCs/>
          <w:sz w:val="20"/>
          <w:szCs w:val="20"/>
          <w:u w:val="none"/>
          <w:lang w:val="en-GB"/>
        </w:rPr>
        <w:t>Figure5.1 : Image showing body of the suspicious email received.</w:t>
      </w:r>
    </w:p>
    <w:p w14:paraId="0000001F">
      <w:pPr>
        <w:rPr>
          <w:b w:val="off"/>
          <w:bCs w:val="off"/>
          <w:i w:val="off"/>
          <w:iCs w:val="off"/>
          <w:sz w:val="24"/>
          <w:szCs w:val="24"/>
          <w:u w:val="none"/>
        </w:rPr>
      </w:pPr>
      <w:r>
        <w:rPr>
          <w:b w:val="off"/>
          <w:bCs w:val="off"/>
          <w:i w:val="off"/>
          <w:iCs w:val="off"/>
          <w:sz w:val="24"/>
          <w:szCs w:val="24"/>
          <w:u w:val="none"/>
          <w:lang w:val="en-GB"/>
        </w:rPr>
        <w:t>Another IP address (103.225.77.255) was reported in the mail, the IP was claimed to have originated from Russia</w:t>
      </w:r>
    </w:p>
    <w:p w14:paraId="00000020">
      <w:pPr>
        <w:rPr>
          <w:b w:val="off"/>
          <w:bCs w:val="off"/>
          <w:i w:val="off"/>
          <w:iCs w:val="off"/>
          <w:sz w:val="24"/>
          <w:szCs w:val="24"/>
          <w:u w:val="none"/>
        </w:rPr>
      </w:pPr>
    </w:p>
    <w:p w14:paraId="00000021">
      <w:pPr>
        <w:rPr>
          <w:b/>
          <w:bCs/>
          <w:i/>
          <w:iCs/>
          <w:sz w:val="20"/>
          <w:szCs w:val="20"/>
          <w:u w:val="none"/>
        </w:rPr>
      </w:pPr>
      <w:r>
        <w:rPr>
          <w:b w:val="off"/>
          <w:bCs w:val="off"/>
          <w:i w:val="off"/>
          <w:iCs w:val="off"/>
          <w:sz w:val="24"/>
          <w:szCs w:val="24"/>
          <w:u w:val="none"/>
        </w:rPr>
        <w:drawing xmlns:mc="http://schemas.openxmlformats.org/markup-compatibility/2006">
          <wp:inline>
            <wp:extent cx="6950710" cy="374396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35"/>
                    <a:srcRect/>
                    <a:stretch>
                      <a:fillRect/>
                    </a:stretch>
                  </pic:blipFill>
                  <pic:spPr>
                    <a:xfrm>
                      <a:off x="0" y="0"/>
                      <a:ext cx="6950710" cy="3743960"/>
                    </a:xfrm>
                    <a:prstGeom prst="rect">
                      <a:avLst/>
                    </a:prstGeom>
                  </pic:spPr>
                </pic:pic>
              </a:graphicData>
            </a:graphic>
          </wp:inline>
        </w:drawing>
      </w:r>
      <w:r>
        <w:rPr>
          <w:b/>
          <w:bCs/>
          <w:i/>
          <w:iCs/>
          <w:sz w:val="20"/>
          <w:szCs w:val="20"/>
          <w:u w:val="none"/>
          <w:lang w:val="en-GB"/>
        </w:rPr>
        <w:t>Figure 2.1 : image showing status of IP address 103.225.77.255</w:t>
      </w:r>
    </w:p>
    <w:p w14:paraId="00000022">
      <w:pPr>
        <w:rPr>
          <w:b w:val="off"/>
          <w:bCs w:val="off"/>
          <w:i w:val="off"/>
          <w:iCs w:val="off"/>
          <w:sz w:val="24"/>
          <w:szCs w:val="24"/>
          <w:u w:val="none"/>
        </w:rPr>
      </w:pPr>
      <w:r>
        <w:rPr>
          <w:b w:val="off"/>
          <w:bCs w:val="off"/>
          <w:i w:val="off"/>
          <w:iCs w:val="off"/>
          <w:sz w:val="24"/>
          <w:szCs w:val="24"/>
          <w:u w:val="none"/>
          <w:lang w:val="en-GB"/>
        </w:rPr>
        <w:t>The IP was ran through AbuseIPDB and the result shown that IP was report 41 times. Even though the email claimed that the IP originated from Russia, AbuseIPDB confirmed that IP was from India</w:t>
      </w:r>
    </w:p>
    <w:p w14:paraId="00000023">
      <w:pPr>
        <w:rPr>
          <w:b/>
          <w:bCs/>
          <w:i/>
          <w:iCs/>
          <w:sz w:val="20"/>
          <w:szCs w:val="20"/>
          <w:u w:val="none"/>
        </w:rPr>
      </w:pPr>
      <w:r>
        <w:rPr>
          <w:rFonts w:ascii="Segoe UI"/>
          <w:color w:val="ffffff"/>
          <w:sz w:val="21"/>
          <w:highlight w:val="none"/>
          <w:rtl w:val="off"/>
          <w:lang w:val="en-US"/>
        </w:rPr>
        <w:drawing xmlns:mc="http://schemas.openxmlformats.org/markup-compatibility/2006">
          <wp:inline distT="0" distB="0" distL="0" distR="0">
            <wp:extent cx="6917055" cy="3098165"/>
            <wp:effectExtent l="0" t="0" r="0" b="0"/>
            <wp:docPr id="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pic:cNvPicPr>
                      <a:picLocks noGrp="0" noSelect="0" noChangeAspect="1" noMove="0"/>
                    </pic:cNvPicPr>
                  </pic:nvPicPr>
                  <pic:blipFill>
                    <a:blip r:embed="rId36"/>
                    <a:srcRect/>
                    <a:stretch>
                      <a:fillRect/>
                    </a:stretch>
                  </pic:blipFill>
                  <pic:spPr>
                    <a:xfrm>
                      <a:off x="0" y="0"/>
                      <a:ext cx="6917055" cy="3098165"/>
                    </a:xfrm>
                    <a:prstGeom prst="rect">
                      <a:avLst/>
                    </a:prstGeom>
                  </pic:spPr>
                </pic:pic>
              </a:graphicData>
            </a:graphic>
          </wp:inline>
        </w:drawing>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i/>
          <w:iCs/>
          <w:color w:val="262626" w:themeColor="dk1" w:themeTint="d9"/>
          <w:sz w:val="20"/>
          <w:szCs w:val="20"/>
          <w:highlight w:val="none"/>
          <w:rtl w:val="off"/>
          <w:lang w:val="en-US"/>
        </w:rPr>
      </w:pPr>
      <w:r>
        <w:rPr>
          <w:rFonts w:ascii="Segoe UI"/>
          <w:b/>
          <w:bCs/>
          <w:i/>
          <w:iCs/>
          <w:color w:val="262626" w:themeColor="dk1" w:themeTint="d9"/>
          <w:sz w:val="20"/>
          <w:szCs w:val="20"/>
          <w:highlight w:val="none"/>
          <w:rtl w:val="off"/>
          <w:lang w:val="en-US"/>
        </w:rPr>
        <w:t>Figure 2.2: image showing status of IP 103.225.77.255 shown in the mail.</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i/>
          <w:iCs/>
          <w:color w:val="262626" w:themeColor="dk1" w:themeTint="d9"/>
          <w:sz w:val="21"/>
          <w:highlight w:val="none"/>
          <w:rtl w:val="off"/>
          <w:lang w:val="en-US"/>
        </w:rPr>
      </w:pPr>
    </w:p>
    <w:p w14:paraId="00000026">
      <w:pPr>
        <w:rPr>
          <w:b/>
          <w:bCs/>
          <w:i/>
          <w:iCs/>
          <w:sz w:val="20"/>
          <w:szCs w:val="20"/>
          <w:u w:val="none"/>
        </w:rPr>
      </w:pPr>
      <w:r>
        <w:rPr>
          <w:rFonts w:ascii="Segoe UI"/>
          <w:i w:val="off"/>
          <w:iCs w:val="off"/>
          <w:color w:val="262626" w:themeColor="dk1" w:themeTint="d9"/>
          <w:sz w:val="21"/>
          <w:highlight w:val="none"/>
          <w:rtl w:val="off"/>
          <w:lang w:val="en-US"/>
        </w:rPr>
        <w:t xml:space="preserve">The output from VirusTotal shows that there are 3 embedding files in this IP address, this is very critical as these files could be unloaded into the organisations </w:t>
      </w:r>
      <w:r>
        <w:rPr>
          <w:rFonts w:ascii="Segoe UI"/>
          <w:i w:val="off"/>
          <w:iCs w:val="off"/>
          <w:color w:val="262626" w:themeColor="dk1" w:themeTint="d9"/>
          <w:sz w:val="21"/>
          <w:highlight w:val="none"/>
          <w:rtl w:val="off"/>
          <w:lang w:val="en-US"/>
        </w:rPr>
        <w:t xml:space="preserve"> system</w:t>
      </w:r>
      <w:r>
        <w:rPr>
          <w:rFonts w:ascii="Segoe UI"/>
          <w:i w:val="off"/>
          <w:iCs w:val="off"/>
          <w:color w:val="262626" w:themeColor="dk1" w:themeTint="d9"/>
          <w:sz w:val="21"/>
          <w:highlight w:val="none"/>
          <w:rtl w:val="off"/>
          <w:lang w:val="en-US"/>
        </w:rPr>
        <w:t xml:space="preserve"> if link is visited</w:t>
      </w:r>
    </w:p>
    <w:p w14:paraId="00000027">
      <w:pPr>
        <w:rPr>
          <w:b/>
          <w:bCs/>
          <w:i/>
          <w:iCs/>
          <w:sz w:val="20"/>
          <w:szCs w:val="20"/>
          <w:u w:val="none"/>
        </w:rPr>
      </w:pPr>
    </w:p>
    <w:p w14:paraId="00000028">
      <w:pPr>
        <w:rPr>
          <w:b w:val="off"/>
          <w:bCs w:val="off"/>
          <w:i w:val="off"/>
          <w:iCs w:val="off"/>
          <w:sz w:val="22"/>
          <w:szCs w:val="22"/>
          <w:u w:val="none"/>
        </w:rPr>
      </w:pPr>
      <w:r>
        <w:rPr>
          <w:b/>
          <w:bCs/>
          <w:i w:val="off"/>
          <w:iCs w:val="off"/>
          <w:sz w:val="24"/>
          <w:szCs w:val="24"/>
          <w:u w:val="single"/>
        </w:rPr>
        <w:drawing xmlns:mc="http://schemas.openxmlformats.org/markup-compatibility/2006">
          <wp:inline distT="0" distB="0" distL="0" distR="0">
            <wp:extent cx="6856095" cy="3528060"/>
            <wp:effectExtent l="0" t="0" r="0" b="0"/>
            <wp:docPr id="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2"/>
                    <pic:cNvPicPr>
                      <a:picLocks noGrp="0" noSelect="0" noChangeAspect="1" noMove="0"/>
                    </pic:cNvPicPr>
                  </pic:nvPicPr>
                  <pic:blipFill>
                    <a:blip r:embed="rId37"/>
                    <a:srcRect/>
                    <a:stretch>
                      <a:fillRect/>
                    </a:stretch>
                  </pic:blipFill>
                  <pic:spPr>
                    <a:xfrm>
                      <a:off x="0" y="0"/>
                      <a:ext cx="6856095" cy="3528060"/>
                    </a:xfrm>
                    <a:prstGeom prst="rect">
                      <a:avLst/>
                    </a:prstGeom>
                  </pic:spPr>
                </pic:pic>
              </a:graphicData>
            </a:graphic>
          </wp:inline>
        </w:drawing>
      </w:r>
      <w:r>
        <w:rPr>
          <w:b/>
          <w:bCs/>
          <w:i/>
          <w:iCs/>
          <w:sz w:val="20"/>
          <w:szCs w:val="20"/>
          <w:u w:val="none"/>
          <w:lang w:val="en-GB"/>
        </w:rPr>
        <w:t>Figure2.3 : images showing phishing link embedded in mail and result of phishing link analysis</w:t>
      </w:r>
      <w:r>
        <w:rPr>
          <w:b/>
          <w:bCs/>
          <w:i/>
          <w:iCs/>
          <w:sz w:val="22"/>
          <w:szCs w:val="22"/>
          <w:u w:val="none"/>
          <w:lang w:val="en-GB"/>
        </w:rPr>
        <w:t>.</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b w:val="off"/>
          <w:bCs w:val="off"/>
          <w:i w:val="off"/>
          <w:iCs w:val="off"/>
          <w:color w:val="000000" w:themeColor="dk1"/>
          <w:sz w:val="24"/>
          <w:szCs w:val="24"/>
          <w:u w:val="none"/>
          <w:lang w:val="en-GB"/>
        </w:rPr>
      </w:pPr>
      <w:r>
        <w:rPr>
          <w:b w:val="off"/>
          <w:bCs w:val="off"/>
          <w:i w:val="off"/>
          <w:iCs w:val="off"/>
          <w:sz w:val="24"/>
          <w:szCs w:val="24"/>
          <w:u w:val="none"/>
          <w:lang w:val="en-GB"/>
        </w:rPr>
        <w:t xml:space="preserve">When i hovered the mouse on the link </w:t>
      </w:r>
      <w:r>
        <w:rPr>
          <w:b w:val="off"/>
          <w:bCs w:val="off"/>
          <w:i w:val="off"/>
          <w:iCs w:val="off"/>
          <w:color w:val="00b0f0"/>
          <w:sz w:val="24"/>
          <w:szCs w:val="24"/>
          <w:u w:val="single"/>
          <w:lang w:val="en-GB"/>
        </w:rPr>
        <w:t>“secure your account”</w:t>
      </w:r>
      <w:r>
        <w:rPr>
          <w:b w:val="off"/>
          <w:bCs w:val="off"/>
          <w:i w:val="off"/>
          <w:iCs w:val="off"/>
          <w:color w:val="000000" w:themeColor="dk1"/>
          <w:sz w:val="24"/>
          <w:szCs w:val="24"/>
          <w:u w:val="none"/>
          <w:lang w:val="en-GB"/>
        </w:rPr>
        <w:t xml:space="preserve"> it redirects to </w:t>
      </w:r>
      <w:r>
        <w:rPr>
          <w:b w:val="off"/>
          <w:bCs w:val="off"/>
          <w:i w:val="off"/>
          <w:iCs w:val="off"/>
          <w:color w:val="00b0f0"/>
          <w:sz w:val="24"/>
          <w:szCs w:val="24"/>
          <w:u w:val="none"/>
          <w:lang w:val="en-GB"/>
        </w:rPr>
        <w:t>https://sign.in/</w:t>
      </w:r>
      <w:r>
        <w:rPr>
          <w:b w:val="off"/>
          <w:bCs w:val="off"/>
          <w:i w:val="off"/>
          <w:iCs w:val="off"/>
          <w:color w:val="000000" w:themeColor="dk1"/>
          <w:sz w:val="24"/>
          <w:szCs w:val="24"/>
          <w:u w:val="none"/>
          <w:lang w:val="en-GB"/>
        </w:rPr>
        <w:t>.</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262626" w:themeColor="dk1" w:themeTint="d9"/>
          <w:sz w:val="21"/>
          <w:highlight w:val="none"/>
          <w:rtl w:val="off"/>
          <w:lang w:val="en-US"/>
        </w:rPr>
      </w:pPr>
      <w:r>
        <w:rPr>
          <w:rFonts w:ascii="Segoe UI"/>
          <w:color w:val="0d0d0d" w:themeColor="dk1" w:themeTint="f2"/>
          <w:sz w:val="21"/>
          <w:highlight w:val="none"/>
          <w:rtl w:val="off"/>
          <w:lang w:val="en-US"/>
        </w:rPr>
        <w:t>As shown in figure5.3, this link had once been reported at VirusTotal</w:t>
      </w:r>
      <w:r>
        <w:rPr>
          <w:rFonts w:ascii="Segoe UI"/>
          <w:color w:val="ffffff"/>
          <w:sz w:val="21"/>
          <w:highlight w:val="none"/>
          <w:rtl w:val="off"/>
          <w:lang w:val="en-US"/>
        </w:rPr>
        <w:t>:</w:t>
      </w:r>
      <w:r>
        <w:rPr>
          <w:rFonts w:ascii="Segoe UI"/>
          <w:color w:val="262626" w:themeColor="dk1" w:themeTint="d9"/>
          <w:sz w:val="21"/>
          <w:highlight w:val="none"/>
          <w:rtl w:val="off"/>
          <w:lang w:val="en-US"/>
        </w:rPr>
        <w:t>as malicious.</w:t>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262626" w:themeColor="dk1" w:themeTint="d9"/>
          <w:sz w:val="21"/>
          <w:highlight w:val="none"/>
          <w:rtl w:val="off"/>
          <w:lang w:val="en-US"/>
        </w:rPr>
      </w:pP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262626" w:themeColor="dk1" w:themeTint="d9"/>
          <w:sz w:val="21"/>
          <w:highlight w:val="none"/>
          <w:rtl w:val="off"/>
          <w:lang w:val="en-US"/>
        </w:rPr>
      </w:pP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ffff"/>
          <w:sz w:val="21"/>
          <w:highlight w:val="none"/>
          <w:rtl w:val="off"/>
          <w:lang w:val="en-US"/>
        </w:rPr>
      </w:pPr>
      <w:r>
        <w:rPr>
          <w:rFonts w:ascii="Segoe UI"/>
          <w:color w:val="ffffff"/>
          <w:sz w:val="21"/>
          <w:highlight w:val="none"/>
          <w:rtl w:val="off"/>
          <w:lang w:val="en-US"/>
        </w:rPr>
        <w:drawing xmlns:mc="http://schemas.openxmlformats.org/markup-compatibility/2006">
          <wp:inline>
            <wp:extent cx="7307580" cy="15894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38"/>
                    <a:srcRect/>
                    <a:stretch>
                      <a:fillRect/>
                    </a:stretch>
                  </pic:blipFill>
                  <pic:spPr>
                    <a:xfrm>
                      <a:off x="0" y="0"/>
                      <a:ext cx="7307580" cy="1589405"/>
                    </a:xfrm>
                    <a:prstGeom prst="rect">
                      <a:avLst/>
                    </a:prstGeom>
                  </pic:spPr>
                </pic:pic>
              </a:graphicData>
            </a:graphic>
          </wp:inline>
        </w:drawing>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i/>
          <w:iCs/>
          <w:color w:val="000000" w:themeColor="dk1"/>
          <w:sz w:val="20"/>
          <w:szCs w:val="20"/>
          <w:highlight w:val="none"/>
          <w:u w:val="none"/>
          <w:rtl w:val="off"/>
          <w:lang w:val="en-US"/>
        </w:rPr>
      </w:pPr>
      <w:r>
        <w:rPr>
          <w:rFonts w:ascii="Segoe UI"/>
          <w:b/>
          <w:bCs/>
          <w:i/>
          <w:iCs/>
          <w:color w:val="ffffff"/>
          <w:sz w:val="20"/>
          <w:szCs w:val="20"/>
          <w:highlight w:val="none"/>
          <w:u w:val="none"/>
          <w:rtl w:val="off"/>
          <w:lang w:val="en-US"/>
        </w:rPr>
        <w:t>F</w:t>
      </w:r>
      <w:r>
        <w:rPr>
          <w:rFonts w:ascii="Segoe UI"/>
          <w:b/>
          <w:bCs/>
          <w:i/>
          <w:iCs/>
          <w:color w:val="000000" w:themeColor="dk1"/>
          <w:sz w:val="20"/>
          <w:szCs w:val="20"/>
          <w:highlight w:val="none"/>
          <w:u w:val="none"/>
          <w:rtl w:val="off"/>
          <w:lang w:val="en-US"/>
        </w:rPr>
        <w:t xml:space="preserve">figure3.0 : MXToolbox showing tracking pixel source to be </w:t>
      </w:r>
      <w:r>
        <w:rPr>
          <w:rFonts w:ascii="Segoe UI"/>
          <w:b/>
          <w:bCs/>
          <w:i/>
          <w:iCs/>
          <w:color w:val="00b0f0"/>
          <w:sz w:val="20"/>
          <w:szCs w:val="20"/>
          <w:highlight w:val="none"/>
          <w:u w:val="none"/>
          <w:rtl w:val="off"/>
          <w:lang w:val="en-US"/>
        </w:rPr>
        <w:t>thebandalisty.com</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ffffff"/>
          <w:sz w:val="21"/>
          <w:highlight w:val="none"/>
          <w:rtl w:val="off"/>
          <w:lang w:val="en-US"/>
        </w:rPr>
        <w:t>/sign.in/</w:t>
      </w:r>
      <w:r>
        <w:rPr>
          <w:rFonts w:ascii="Segoe UI"/>
          <w:color w:val="000000"/>
          <w:sz w:val="18"/>
          <w:rtl w:val="off"/>
          <w:lang w:val="en-US"/>
        </w:rPr>
        <w:t xml:space="preserve"> </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i w:val="off"/>
          <w:iCs w:val="off"/>
          <w:color w:val="262626" w:themeColor="dk1" w:themeTint="d9"/>
          <w:sz w:val="21"/>
          <w:highlight w:val="none"/>
          <w:rtl w:val="off"/>
          <w:lang w:val="en-US"/>
        </w:rPr>
        <w:t>.</w:t>
      </w:r>
      <w:r>
        <w:rPr>
          <w:rFonts w:ascii="Segoe UI"/>
          <w:color w:val="ffffff"/>
          <w:sz w:val="21"/>
          <w:highlight w:val="none"/>
          <w:rtl w:val="off"/>
          <w:lang w:val="en-US"/>
        </w:rPr>
        <w:t>/sign.in/</w:t>
      </w:r>
      <w:r>
        <w:rPr>
          <w:rFonts w:ascii="Segoe UI"/>
          <w:color w:val="000000"/>
          <w:sz w:val="18"/>
          <w:rtl w:val="off"/>
          <w:lang w:val="en-US"/>
        </w:rPr>
        <w:t xml:space="preserve"> </w:t>
      </w:r>
    </w:p>
    <w:p w14:paraId="00000031">
      <w:pPr>
        <w:rPr>
          <w:rFonts w:ascii="Segoe UI"/>
          <w:b/>
          <w:bCs/>
          <w:i w:val="off"/>
          <w:iCs w:val="off"/>
          <w:color w:val="000000"/>
          <w:sz w:val="22"/>
          <w:szCs w:val="28"/>
          <w:u w:val="none"/>
          <w:lang w:val="en-GB"/>
        </w:rPr>
      </w:pPr>
      <w:r>
        <w:rPr>
          <w:rFonts w:ascii="Segoe UI"/>
          <w:b/>
          <w:bCs/>
          <w:i w:val="off"/>
          <w:iCs w:val="off"/>
          <w:color w:val="000000"/>
          <w:sz w:val="22"/>
          <w:szCs w:val="28"/>
          <w:u w:val="none"/>
          <w:lang w:val="en-GB"/>
        </w:rPr>
        <w:drawing xmlns:mc="http://schemas.openxmlformats.org/markup-compatibility/2006">
          <wp:inline>
            <wp:extent cx="7113270" cy="360997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39"/>
                    <a:srcRect/>
                    <a:stretch>
                      <a:fillRect/>
                    </a:stretch>
                  </pic:blipFill>
                  <pic:spPr>
                    <a:xfrm>
                      <a:off x="0" y="0"/>
                      <a:ext cx="7113270" cy="3609975"/>
                    </a:xfrm>
                    <a:prstGeom prst="rect">
                      <a:avLst/>
                    </a:prstGeom>
                  </pic:spPr>
                </pic:pic>
              </a:graphicData>
            </a:graphic>
          </wp:inline>
        </w:drawing>
      </w:r>
      <w:r>
        <w:rPr>
          <w:rFonts w:ascii="Segoe UI"/>
          <w:b/>
          <w:bCs/>
          <w:i/>
          <w:iCs/>
          <w:color w:val="000000"/>
          <w:sz w:val="20"/>
          <w:szCs w:val="26"/>
          <w:u w:val="none"/>
          <w:lang w:val="en-GB"/>
        </w:rPr>
        <w:t>Figure3.1: image of VirusTotal flagging the pixel source(</w:t>
      </w:r>
      <w:r>
        <w:rPr>
          <w:rFonts w:ascii="Segoe UI"/>
          <w:b/>
          <w:bCs/>
          <w:i/>
          <w:iCs/>
          <w:color w:val="00b0f0"/>
          <w:sz w:val="20"/>
          <w:szCs w:val="26"/>
          <w:u w:val="none"/>
          <w:lang w:val="en-GB"/>
        </w:rPr>
        <w:t xml:space="preserve"> thebandalisty.com</w:t>
      </w:r>
      <w:r>
        <w:rPr>
          <w:rFonts w:ascii="Segoe UI"/>
          <w:b/>
          <w:bCs/>
          <w:i/>
          <w:iCs/>
          <w:color w:val="000000"/>
          <w:sz w:val="20"/>
          <w:szCs w:val="26"/>
          <w:u w:val="none"/>
          <w:lang w:val="en-GB"/>
        </w:rPr>
        <w:t>) as malicious</w:t>
      </w:r>
      <w:r>
        <w:rPr>
          <w:rFonts w:ascii="Segoe UI"/>
          <w:b/>
          <w:bCs/>
          <w:i w:val="off"/>
          <w:iCs w:val="off"/>
          <w:color w:val="000000"/>
          <w:sz w:val="22"/>
          <w:szCs w:val="28"/>
          <w:u w:val="none"/>
          <w:lang w:val="en-GB"/>
        </w:rPr>
        <w:t xml:space="preserve"> </w:t>
      </w:r>
    </w:p>
    <w:p w14:paraId="00000032">
      <w:pPr>
        <w:rPr>
          <w:rFonts w:ascii="Segoe UI"/>
          <w:b w:val="off"/>
          <w:bCs w:val="off"/>
          <w:i w:val="off"/>
          <w:iCs w:val="off"/>
          <w:color w:val="000000"/>
          <w:sz w:val="24"/>
          <w:szCs w:val="30"/>
          <w:u w:val="none"/>
          <w:lang w:val="en-GB"/>
        </w:rPr>
      </w:pPr>
      <w:r>
        <w:rPr>
          <w:rFonts w:ascii="Segoe UI"/>
          <w:b w:val="off"/>
          <w:bCs w:val="off"/>
          <w:i w:val="off"/>
          <w:iCs w:val="off"/>
          <w:color w:val="000000"/>
          <w:sz w:val="24"/>
          <w:szCs w:val="30"/>
          <w:u w:val="none"/>
          <w:lang w:val="en-GB"/>
        </w:rPr>
        <w:t>VirusTotal reported that 11 vendors has flagged this domain as either phishing or malicious. This is a major cause for concern and more reason to treat this threat as critical.</w:t>
      </w:r>
    </w:p>
    <w:p w14:paraId="00000033">
      <w:pPr>
        <w:rPr>
          <w:rFonts w:ascii="Segoe UI"/>
          <w:b w:val="off"/>
          <w:bCs w:val="off"/>
          <w:i w:val="off"/>
          <w:iCs w:val="off"/>
          <w:color w:val="000000"/>
          <w:sz w:val="24"/>
          <w:szCs w:val="30"/>
          <w:u w:val="none"/>
          <w:lang w:val="en-GB"/>
        </w:rPr>
      </w:pPr>
    </w:p>
    <w:p w14:paraId="00000034">
      <w:pPr>
        <w:rPr>
          <w:rFonts w:ascii="Segoe UI"/>
          <w:b/>
          <w:bCs/>
          <w:i/>
          <w:iCs/>
          <w:color w:val="000000"/>
          <w:sz w:val="20"/>
          <w:szCs w:val="26"/>
          <w:u w:val="none"/>
          <w:lang w:val="en-GB"/>
        </w:rPr>
      </w:pPr>
      <w:r>
        <w:rPr>
          <w:rFonts w:ascii="Segoe UI"/>
          <w:b w:val="off"/>
          <w:bCs w:val="off"/>
          <w:i w:val="off"/>
          <w:iCs w:val="off"/>
          <w:color w:val="000000"/>
          <w:sz w:val="24"/>
          <w:szCs w:val="30"/>
          <w:u w:val="none"/>
          <w:lang w:val="en-GB"/>
        </w:rPr>
        <w:drawing xmlns:mc="http://schemas.openxmlformats.org/markup-compatibility/2006">
          <wp:inline>
            <wp:extent cx="7245985" cy="342963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40"/>
                    <a:srcRect/>
                    <a:stretch>
                      <a:fillRect/>
                    </a:stretch>
                  </pic:blipFill>
                  <pic:spPr>
                    <a:xfrm>
                      <a:off x="0" y="0"/>
                      <a:ext cx="7245985" cy="3429635"/>
                    </a:xfrm>
                    <a:prstGeom prst="rect">
                      <a:avLst/>
                    </a:prstGeom>
                  </pic:spPr>
                </pic:pic>
              </a:graphicData>
            </a:graphic>
          </wp:inline>
        </w:drawing>
      </w:r>
      <w:r>
        <w:rPr>
          <w:rFonts w:ascii="Segoe UI"/>
          <w:b/>
          <w:bCs/>
          <w:i/>
          <w:iCs/>
          <w:color w:val="000000"/>
          <w:sz w:val="20"/>
          <w:szCs w:val="26"/>
          <w:u w:val="none"/>
          <w:lang w:val="en-GB"/>
        </w:rPr>
        <w:t xml:space="preserve">Figure3.2 : image from AlienVault showing details about the domain </w:t>
      </w:r>
      <w:r>
        <w:rPr>
          <w:rFonts w:ascii="Segoe UI"/>
          <w:b/>
          <w:bCs/>
          <w:i/>
          <w:iCs/>
          <w:color w:val="00b0f0"/>
          <w:sz w:val="20"/>
          <w:szCs w:val="26"/>
          <w:u w:val="none"/>
          <w:lang w:val="en-GB"/>
        </w:rPr>
        <w:t>thebandalist</w:t>
      </w:r>
      <w:r>
        <w:rPr>
          <w:rFonts w:ascii="Segoe UI"/>
          <w:b/>
          <w:bCs/>
          <w:i/>
          <w:iCs/>
          <w:color w:val="00b0f0"/>
          <w:sz w:val="20"/>
          <w:szCs w:val="26"/>
          <w:u w:val="none"/>
          <w:lang w:val="en-GB"/>
        </w:rPr>
        <w:t>y</w:t>
      </w:r>
      <w:r>
        <w:rPr>
          <w:rFonts w:ascii="Segoe UI"/>
          <w:b/>
          <w:bCs/>
          <w:i/>
          <w:iCs/>
          <w:color w:val="00b0f0"/>
          <w:sz w:val="20"/>
          <w:szCs w:val="26"/>
          <w:u w:val="none"/>
          <w:lang w:val="en-GB"/>
        </w:rPr>
        <w:t>.com</w:t>
      </w:r>
    </w:p>
    <w:p w14:paraId="00000035">
      <w:pPr>
        <w:rPr>
          <w:rFonts w:ascii="Segoe UI"/>
          <w:b w:val="off"/>
          <w:bCs w:val="off"/>
          <w:i w:val="off"/>
          <w:iCs w:val="off"/>
          <w:color w:val="000000"/>
          <w:sz w:val="24"/>
          <w:szCs w:val="30"/>
          <w:u w:val="none"/>
          <w:lang w:val="en-GB"/>
        </w:rPr>
      </w:pPr>
      <w:r>
        <w:rPr>
          <w:rFonts w:ascii="Segoe UI"/>
          <w:b w:val="off"/>
          <w:bCs w:val="off"/>
          <w:i w:val="off"/>
          <w:iCs w:val="off"/>
          <w:color w:val="000000"/>
          <w:sz w:val="24"/>
          <w:szCs w:val="30"/>
          <w:u w:val="none"/>
          <w:lang w:val="en-GB"/>
        </w:rPr>
        <w:t>AlienVault reported that the domain resides in the Capital City of Iceland (Reykjavik), it also showed that Dnssec is unsigned. It’s shown that 31 passive DNS and 41 URLs are related to this domain.</w:t>
      </w:r>
    </w:p>
    <w:p w14:paraId="00000036">
      <w:pPr>
        <w:rPr>
          <w:b w:val="off"/>
          <w:bCs w:val="off"/>
          <w:i w:val="off"/>
          <w:iCs w:val="off"/>
          <w:sz w:val="20"/>
          <w:szCs w:val="20"/>
          <w:u w:val="none"/>
        </w:rPr>
      </w:pPr>
    </w:p>
    <w:sectPr>
      <w:footnotePr/>
      <w:type w:val="nextPage"/>
      <w:pgSz w:w="11906" w:h="16838" w:orient="portrait"/>
      <w:pgMar w:top="1440" w:right="600" w:bottom="1440" w:left="51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 w:name="0">
    <w:charset w:val="00"/>
    <w:family w:val="roman"/>
    <w:pitch w:val="variable"/>
  </w:font>
  <w:font w:name="Lucida Sans">
    <w:charset w:val="80"/>
    <w:family w:val="swiss"/>
    <w:pitch w:val="default"/>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GB"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TableContents">
    <w:name w:val="Table Contents"/>
    <w:basedOn w:val="Normal"/>
    <w:next w:val="TableContents"/>
    <w:uiPriority w:val="9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32" Type="http://schemas.openxmlformats.org/officeDocument/2006/relationships/image" Target="media/image1.png"/><Relationship Id="rId33" Type="http://schemas.openxmlformats.org/officeDocument/2006/relationships/image" Target="media/image2.png"/><Relationship Id="rId34" Type="http://schemas.openxmlformats.org/officeDocument/2006/relationships/image" Target="media/image3.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20.png"/><Relationship Id="rId7"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Chinonso Eneje</dc:creator>
  <cp:lastModifiedBy>Chinonso Eneje</cp:lastModifiedBy>
</cp:coreProperties>
</file>