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bidi w:val="off"/>
        <w:rPr>
          <w:b/>
          <w:bCs/>
          <w:lang w:val="en-US"/>
        </w:rPr>
      </w:pPr>
      <w:r>
        <w:rPr>
          <w:b/>
          <w:bCs/>
          <w:rtl w:val="off"/>
          <w:lang w:val="en-US"/>
        </w:rPr>
        <w:t>Critical Risks Phishing poses to M.....</w:t>
      </w:r>
      <w:r>
        <w:rPr>
          <w:b/>
          <w:bCs/>
          <w:rtl w:val="off"/>
          <w:lang w:val="en-US"/>
        </w:rPr>
        <w:t xml:space="preserve">ure </w:t>
      </w:r>
    </w:p>
    <w:p w14:paraId="00000002">
      <w:pPr>
        <w:bidi w:val="off"/>
        <w:rPr>
          <w:b/>
          <w:bCs/>
          <w:lang w:val="en-US"/>
        </w:rPr>
      </w:pPr>
      <w:r>
        <w:rPr>
          <w:b/>
          <w:bCs/>
          <w:rtl w:val="off"/>
          <w:lang w:val="en-US"/>
        </w:rPr>
        <w:t xml:space="preserve">1. Compromise of Patient Data (PII &amp; PHI) – </w:t>
      </w:r>
      <w:r>
        <w:rPr>
          <w:b/>
          <w:bCs/>
          <w:rtl w:val="off"/>
          <w:lang w:val="en-US"/>
        </w:rPr>
        <w:t>Critical Risk</w:t>
      </w:r>
    </w:p>
    <w:p w14:paraId="00000003">
      <w:pPr>
        <w:bidi w:val="off"/>
        <w:rPr>
          <w:lang w:val="en-US"/>
        </w:rPr>
      </w:pPr>
      <w:r>
        <w:rPr>
          <w:rtl w:val="off"/>
          <w:lang w:val="en-US"/>
        </w:rPr>
        <w:t>The primary concern is the possible exposure of Organisation’s sensitive patient information. If the phishing attack allowed attackers to steal employee credentials or install malware, they could gain unauthorised access to systems containing Personally Identifiable Information (PII) and Protected Health Information (PHI), including patient names, dates of birth, addresses, NHS numbers, medical histories, diagnoses, prescriptions, and laboratory results. Such information is highly valuable and may be used for identity theft, medical fraud, or sold on the dark web. A confirmed breach could also result in regulatory penalties, legal action, and a significant loss of patient trust.</w:t>
      </w:r>
    </w:p>
    <w:p w14:paraId="00000004">
      <w:pPr>
        <w:bidi w:val="off"/>
        <w:rPr>
          <w:b/>
          <w:bCs/>
          <w:lang w:val="en-US"/>
        </w:rPr>
      </w:pPr>
      <w:r>
        <w:rPr>
          <w:b/>
          <w:bCs/>
          <w:rtl w:val="off"/>
          <w:lang w:val="en-US"/>
        </w:rPr>
        <w:t xml:space="preserve">2. Financial Data Exposure and Fraud – </w:t>
      </w:r>
      <w:r>
        <w:rPr>
          <w:b/>
          <w:bCs/>
          <w:rtl w:val="off"/>
          <w:lang w:val="en-US"/>
        </w:rPr>
        <w:t>High Risk</w:t>
      </w:r>
    </w:p>
    <w:p w14:paraId="00000005">
      <w:pPr>
        <w:bidi w:val="off"/>
        <w:rPr>
          <w:lang w:val="en-US"/>
        </w:rPr>
      </w:pPr>
      <w:r>
        <w:rPr>
          <w:rtl w:val="off"/>
          <w:lang w:val="en-US"/>
        </w:rPr>
        <w:t>The attack also poses a risk to Organisation</w:t>
      </w:r>
      <w:r>
        <w:rPr>
          <w:rtl w:val="off"/>
          <w:lang w:val="en-US"/>
        </w:rPr>
        <w:t>'s financial information, including payroll data, supplier records, invoices, procurement documents, and banking details. If attackers gain access to employee accounts or finance systems, they could initiate fraudulent payments, alter banking information, or steal sensitive financial records. This could lead to financial losses, business disruption, and reputational damage.</w:t>
      </w:r>
    </w:p>
    <w:p w14:paraId="00000006">
      <w:pPr>
        <w:bidi w:val="off"/>
        <w:rPr>
          <w:b/>
          <w:bCs/>
          <w:lang w:val="en-US"/>
        </w:rPr>
      </w:pPr>
      <w:r>
        <w:rPr>
          <w:b/>
          <w:bCs/>
          <w:rtl w:val="off"/>
          <w:lang w:val="en-US"/>
        </w:rPr>
        <w:t xml:space="preserve">3. Operational Disruption – </w:t>
      </w:r>
      <w:r>
        <w:rPr>
          <w:b/>
          <w:bCs/>
          <w:rtl w:val="off"/>
          <w:lang w:val="en-US"/>
        </w:rPr>
        <w:t>High Risk</w:t>
      </w:r>
    </w:p>
    <w:p w14:paraId="00000007">
      <w:pPr>
        <w:bidi w:val="off"/>
        <w:rPr>
          <w:lang w:val="en-US"/>
        </w:rPr>
      </w:pPr>
      <w:r>
        <w:rPr>
          <w:rtl w:val="off"/>
          <w:lang w:val="en-US"/>
        </w:rPr>
        <w:t xml:space="preserve">Phishing attacks are often the first step in larger cyber attacks, such as ransomware or wider network compromise. If attackers establish a foothold within </w:t>
      </w:r>
      <w:r>
        <w:rPr>
          <w:rtl w:val="off"/>
          <w:lang w:val="en-US"/>
        </w:rPr>
        <w:t>Organisation</w:t>
      </w:r>
      <w:r>
        <w:rPr>
          <w:rtl w:val="off"/>
          <w:lang w:val="en-US"/>
        </w:rPr>
        <w:t>'s</w:t>
      </w:r>
      <w:r>
        <w:rPr>
          <w:rtl w:val="off"/>
          <w:lang w:val="en-US"/>
        </w:rPr>
        <w:t xml:space="preserve"> environment, critical healthcare systems could be affected. This may disrupt access to electronic health records, patient scheduling, and internal communications, delaying patient care, increasing recovery costs, and placing additional pressure on clinical and administrative staff.</w:t>
      </w:r>
    </w:p>
    <w:p w14:paraId="00000008">
      <w:pPr>
        <w:bidi w:val="off"/>
        <w:rPr>
          <w:b/>
          <w:bCs/>
          <w:lang w:val="en-US"/>
        </w:rPr>
      </w:pPr>
      <w:r>
        <w:rPr>
          <w:b/>
          <w:bCs/>
          <w:rtl w:val="off"/>
          <w:lang w:val="en-US"/>
        </w:rPr>
        <w:t>Recommended Immediate Actions</w:t>
      </w:r>
    </w:p>
    <w:p w14:paraId="00000009">
      <w:pPr>
        <w:numPr>
          <w:ilvl w:val="0"/>
          <w:numId w:val="2"/>
        </w:numPr>
        <w:bidi w:val="off"/>
        <w:rPr>
          <w:lang w:val="en-US"/>
        </w:rPr>
      </w:pPr>
      <w:r>
        <w:rPr>
          <w:rtl w:val="off"/>
          <w:lang w:val="en-US"/>
        </w:rPr>
        <w:t>Isolate the affected user accounts and devices from the network.</w:t>
      </w:r>
    </w:p>
    <w:p w14:paraId="0000000A">
      <w:pPr>
        <w:numPr>
          <w:ilvl w:val="0"/>
          <w:numId w:val="2"/>
        </w:numPr>
        <w:bidi w:val="off"/>
        <w:rPr>
          <w:lang w:val="en-US"/>
        </w:rPr>
      </w:pPr>
      <w:r>
        <w:rPr>
          <w:rtl w:val="off"/>
          <w:lang w:val="en-US"/>
        </w:rPr>
        <w:t>Reset passwords for affected users and enforce Multi-Factor Authentication (MFA).</w:t>
      </w:r>
    </w:p>
    <w:p w14:paraId="0000000B">
      <w:pPr>
        <w:numPr>
          <w:ilvl w:val="0"/>
          <w:numId w:val="2"/>
        </w:numPr>
        <w:bidi w:val="off"/>
        <w:rPr>
          <w:lang w:val="en-US"/>
        </w:rPr>
      </w:pPr>
      <w:r>
        <w:rPr>
          <w:rtl w:val="off"/>
          <w:lang w:val="en-US"/>
        </w:rPr>
        <w:t>Review authentication logs for suspicious login activity.</w:t>
      </w:r>
    </w:p>
    <w:p w14:paraId="0000000C">
      <w:pPr>
        <w:numPr>
          <w:ilvl w:val="0"/>
          <w:numId w:val="2"/>
        </w:numPr>
        <w:bidi w:val="off"/>
        <w:rPr>
          <w:lang w:val="en-US"/>
        </w:rPr>
      </w:pPr>
      <w:r>
        <w:rPr>
          <w:rtl w:val="off"/>
          <w:lang w:val="en-US"/>
        </w:rPr>
        <w:t>Scan affected devices for malware and other indicators of compromise.</w:t>
      </w:r>
    </w:p>
    <w:p w14:paraId="0000000D">
      <w:pPr>
        <w:numPr>
          <w:ilvl w:val="0"/>
          <w:numId w:val="2"/>
        </w:numPr>
        <w:bidi w:val="off"/>
        <w:rPr>
          <w:lang w:val="en-US"/>
        </w:rPr>
      </w:pPr>
      <w:r>
        <w:rPr>
          <w:rtl w:val="off"/>
          <w:lang w:val="en-US"/>
        </w:rPr>
        <w:t>Closely monitor access to patient records, financial systems, and privileged accounts.</w:t>
      </w:r>
    </w:p>
    <w:p w14:paraId="0000000E">
      <w:pPr>
        <w:numPr>
          <w:ilvl w:val="0"/>
          <w:numId w:val="2"/>
        </w:numPr>
        <w:bidi w:val="off"/>
        <w:rPr>
          <w:lang w:val="en-US"/>
        </w:rPr>
      </w:pPr>
      <w:r>
        <w:rPr>
          <w:rtl w:val="off"/>
          <w:lang w:val="en-US"/>
        </w:rPr>
        <w:t>Notify relevant stakeholders and assess whether regulatory reporting is required if a data breach is confirmed.</w:t>
      </w:r>
    </w:p>
    <w:p w14:paraId="0000000F">
      <w:pPr>
        <w:bidi w:val="off"/>
        <w:rPr>
          <w:b/>
          <w:bCs/>
          <w:lang w:val="en-US"/>
        </w:rPr>
      </w:pPr>
      <w:r>
        <w:rPr>
          <w:b/>
          <w:bCs/>
          <w:rtl w:val="off"/>
          <w:lang w:val="en-US"/>
        </w:rPr>
        <w:t>Conclusion</w:t>
      </w:r>
    </w:p>
    <w:p w14:paraId="00000010">
      <w:pPr>
        <w:bidi w:val="off"/>
        <w:rPr>
          <w:lang w:val="en-US"/>
        </w:rPr>
      </w:pPr>
      <w:r>
        <w:rPr>
          <w:rtl w:val="off"/>
          <w:lang w:val="en-US"/>
        </w:rPr>
        <w:t>Weighing the criticality of a possible compromise, the incident was treated as a high-priority security event. At this stage, there is no confirmed evidence that sensitive data has been accessed or stolen, however, the potential impact on patient information, financial records, and healthcare operations is significant. Prompt containment, thorough investigation, and continuous monitoring are essential to determine the extent of the compromise and reduce the risk of further harm.</w:t>
      </w:r>
    </w:p>
    <w:p w14:paraId="00000011"/>
    <w:sectPr>
      <w:footnotePr/>
      <w:type w:val="nextPage"/>
      <w:pgSz w:w="11906" w:h="16838" w:orient="portrait"/>
      <w:pgMar w:top="1440" w:right="915" w:bottom="1440" w:left="705"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num w:numId="1">
    <w:abstractNumId w:val="0"/>
    <w:lvlOverride w:ilvl="0">
      <w:lvl w:ilvl="0" w:tentative="1">
        <w:numFmt w:val="bullet"/>
        <w:suff w:val="tab"/>
        <w:lvlText w:val="·"/>
        <w:rPr/>
      </w:lvl>
    </w:lvlOverride>
  </w:num>
  <w:num w:numId="2">
    <w:abstractNumId w:val="1"/>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GB"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Chinonso Eneje</dc:creator>
  <cp:lastModifiedBy>Chinonso Eneje</cp:lastModifiedBy>
</cp:coreProperties>
</file>