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rPr>
          <w:b/>
          <w:bCs/>
          <w:i w:val="off"/>
          <w:iCs w:val="off"/>
          <w:sz w:val="24"/>
          <w:szCs w:val="24"/>
          <w:u w:val="single"/>
          <w:lang w:val="en-GB"/>
        </w:rPr>
      </w:pPr>
    </w:p>
    <w:p w14:paraId="00000002">
      <w:pPr>
        <w:rPr>
          <w:b/>
          <w:bCs/>
          <w:i w:val="off"/>
          <w:iCs w:val="off"/>
          <w:sz w:val="24"/>
          <w:szCs w:val="24"/>
          <w:u w:val="single"/>
        </w:rPr>
      </w:pPr>
      <w:r>
        <w:rPr>
          <w:b/>
          <w:bCs/>
          <w:i w:val="off"/>
          <w:iCs w:val="off"/>
          <w:sz w:val="24"/>
          <w:szCs w:val="24"/>
          <w:u w:val="single"/>
          <w:lang w:val="en-GB"/>
        </w:rPr>
        <w:t>URL and Attachment Analysis</w:t>
      </w:r>
    </w:p>
    <w:p w14:paraId="00000003">
      <w:pPr>
        <w:rPr>
          <w:b w:val="off"/>
          <w:bCs w:val="off"/>
          <w:i w:val="off"/>
          <w:iCs w:val="off"/>
          <w:sz w:val="24"/>
          <w:szCs w:val="24"/>
          <w:u w:val="none"/>
        </w:rPr>
      </w:pPr>
      <w:r>
        <w:rPr>
          <w:b w:val="off"/>
          <w:bCs w:val="off"/>
          <w:i w:val="off"/>
          <w:iCs w:val="off"/>
          <w:sz w:val="24"/>
          <w:szCs w:val="24"/>
          <w:u w:val="none"/>
        </w:rPr>
        <w:drawing xmlns:mc="http://schemas.openxmlformats.org/markup-compatibility/2006">
          <wp:inline distT="0" distB="0" distL="0" distR="0">
            <wp:extent cx="6563995" cy="3468370"/>
            <wp:effectExtent l="0" t="0" r="0" b="0"/>
            <wp:docPr id="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7"/>
                    <pic:cNvPicPr>
                      <a:picLocks noGrp="0" noSelect="0" noChangeAspect="1" noMove="0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63995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4">
      <w:pPr>
        <w:rPr>
          <w:b w:val="off"/>
          <w:bCs w:val="off"/>
          <w:i w:val="off"/>
          <w:iCs w:val="off"/>
          <w:sz w:val="24"/>
          <w:szCs w:val="24"/>
          <w:u w:val="none"/>
        </w:rPr>
      </w:pPr>
    </w:p>
    <w:p w14:paraId="00000005">
      <w:pPr>
        <w:rPr>
          <w:b w:val="off"/>
          <w:bCs w:val="off"/>
          <w:i w:val="off"/>
          <w:iCs w:val="off"/>
          <w:sz w:val="24"/>
          <w:szCs w:val="24"/>
          <w:u w:val="none"/>
        </w:rPr>
      </w:pPr>
      <w:r>
        <w:rPr>
          <w:b w:val="off"/>
          <w:bCs w:val="off"/>
          <w:i w:val="off"/>
          <w:iCs w:val="off"/>
          <w:sz w:val="24"/>
          <w:szCs w:val="24"/>
          <w:u w:val="none"/>
        </w:rPr>
        <w:drawing xmlns:mc="http://schemas.openxmlformats.org/markup-compatibility/2006">
          <wp:inline distT="0" distB="0" distL="0" distR="0">
            <wp:extent cx="6722110" cy="3499485"/>
            <wp:effectExtent l="0" t="0" r="0" b="0"/>
            <wp:docPr id="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8"/>
                    <pic:cNvPicPr>
                      <a:picLocks noGrp="0" noSelect="0" noChangeAspect="1" noMove="0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221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>
      <w:pPr>
        <w:rPr>
          <w:b w:val="off"/>
          <w:bCs w:val="off"/>
          <w:i/>
          <w:iCs/>
          <w:sz w:val="24"/>
          <w:szCs w:val="24"/>
          <w:u w:val="none"/>
        </w:rPr>
      </w:pPr>
      <w:r>
        <w:rPr>
          <w:b w:val="off"/>
          <w:bCs w:val="off"/>
          <w:i/>
          <w:iCs/>
          <w:sz w:val="24"/>
          <w:szCs w:val="24"/>
          <w:u w:val="none"/>
          <w:lang w:val="en-GB"/>
        </w:rPr>
        <w:t xml:space="preserve">Figure4 : image showing status of IP address </w:t>
      </w:r>
    </w:p>
    <w:p w14:paraId="00000007">
      <w:pPr>
        <w:rPr>
          <w:b w:val="off"/>
          <w:bCs w:val="off"/>
          <w:i/>
          <w:iCs/>
          <w:sz w:val="24"/>
          <w:szCs w:val="24"/>
          <w:u w:val="none"/>
        </w:rPr>
      </w:pPr>
    </w:p>
    <w:p w14:paraId="00000008">
      <w:pPr>
        <w:rPr>
          <w:b w:val="off"/>
          <w:bCs w:val="off"/>
          <w:i w:val="off"/>
          <w:iCs w:val="off"/>
          <w:sz w:val="24"/>
          <w:szCs w:val="24"/>
          <w:u w:val="none"/>
        </w:rPr>
      </w:pPr>
      <w:r>
        <w:rPr>
          <w:b w:val="off"/>
          <w:bCs w:val="off"/>
          <w:i w:val="off"/>
          <w:iCs w:val="off"/>
          <w:sz w:val="24"/>
          <w:szCs w:val="24"/>
          <w:u w:val="none"/>
          <w:lang w:val="en-GB"/>
        </w:rPr>
        <w:t>Even though the IP address was not reported as malicious at Virus total,AbuseipDB, and AlienVault , there is a discrepancy in location. AbuseipDB reported that the IP originated from Poland, AlienVaulted reported that IP originated from Germany while the email header indicated that email came from Russia.</w:t>
      </w:r>
    </w:p>
    <w:p w14:paraId="00000009">
      <w:pPr>
        <w:rPr>
          <w:b w:val="off"/>
          <w:bCs w:val="off"/>
          <w:i w:val="off"/>
          <w:iCs w:val="off"/>
          <w:sz w:val="24"/>
          <w:szCs w:val="24"/>
          <w:u w:val="none"/>
        </w:rPr>
      </w:pPr>
      <w:r>
        <w:rPr>
          <w:b w:val="off"/>
          <w:bCs w:val="off"/>
          <w:i w:val="off"/>
          <w:iCs w:val="off"/>
          <w:sz w:val="24"/>
          <w:szCs w:val="24"/>
          <w:u w:val="none"/>
        </w:rPr>
        <w:drawing xmlns:mc="http://schemas.openxmlformats.org/markup-compatibility/2006">
          <wp:inline distT="0" distB="0" distL="0" distR="0">
            <wp:extent cx="6085205" cy="2626360"/>
            <wp:effectExtent l="0" t="0" r="0" b="0"/>
            <wp:docPr id="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Grp="0" noSelect="0" noChangeAspect="1" noMove="0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5205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>
      <w:pPr>
        <w:rPr>
          <w:b/>
          <w:bCs/>
          <w:i w:val="off"/>
          <w:iCs w:val="off"/>
          <w:sz w:val="24"/>
          <w:szCs w:val="24"/>
          <w:u w:val="single"/>
        </w:rPr>
      </w:pPr>
      <w:r>
        <w:rPr>
          <w:b/>
          <w:bCs/>
          <w:i w:val="off"/>
          <w:iCs w:val="off"/>
          <w:sz w:val="24"/>
          <w:szCs w:val="24"/>
          <w:u w:val="single"/>
        </w:rPr>
        <w:drawing xmlns:mc="http://schemas.openxmlformats.org/markup-compatibility/2006">
          <wp:inline distT="0" distB="0" distL="0" distR="0">
            <wp:extent cx="5579745" cy="4070350"/>
            <wp:effectExtent l="0" t="0" r="0" b="0"/>
            <wp:docPr id="2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Grp="0" noSelect="0" noChangeAspect="1" noMove="0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>
      <w:pPr>
        <w:rPr>
          <w:b w:val="off"/>
          <w:bCs w:val="off"/>
          <w:i w:val="off"/>
          <w:iCs w:val="off"/>
          <w:sz w:val="24"/>
          <w:szCs w:val="24"/>
          <w:u w:val="none"/>
        </w:rPr>
      </w:pPr>
      <w:r>
        <w:rPr>
          <w:b/>
          <w:bCs/>
          <w:i/>
          <w:iCs/>
          <w:sz w:val="24"/>
          <w:szCs w:val="24"/>
          <w:u w:val="none"/>
          <w:lang w:val="en-GB"/>
        </w:rPr>
        <w:t>Figure5 : images showing phishing link embedded in mail and result of phishing link analysis.</w:t>
      </w:r>
    </w:p>
    <w:p w14:paraId="0000000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b w:val="off"/>
          <w:bCs w:val="off"/>
          <w:i w:val="off"/>
          <w:iCs w:val="off"/>
          <w:color w:val="000000" w:themeColor="dk1"/>
          <w:sz w:val="24"/>
          <w:szCs w:val="24"/>
          <w:u w:val="none"/>
          <w:lang w:val="en-GB"/>
        </w:rPr>
      </w:pPr>
      <w:r>
        <w:rPr>
          <w:b w:val="off"/>
          <w:bCs w:val="off"/>
          <w:i w:val="off"/>
          <w:iCs w:val="off"/>
          <w:sz w:val="24"/>
          <w:szCs w:val="24"/>
          <w:u w:val="none"/>
          <w:lang w:val="en-GB"/>
        </w:rPr>
        <w:t xml:space="preserve">When i hovered the mouse on the link </w:t>
      </w:r>
      <w:r>
        <w:rPr>
          <w:b w:val="off"/>
          <w:bCs w:val="off"/>
          <w:i w:val="off"/>
          <w:iCs w:val="off"/>
          <w:color w:val="00b0f0"/>
          <w:sz w:val="24"/>
          <w:szCs w:val="24"/>
          <w:u w:val="single"/>
          <w:lang w:val="en-GB"/>
        </w:rPr>
        <w:t>“secure your account”</w:t>
      </w:r>
      <w:r>
        <w:rPr>
          <w:b w:val="off"/>
          <w:bCs w:val="off"/>
          <w:i w:val="off"/>
          <w:iCs w:val="off"/>
          <w:color w:val="000000" w:themeColor="dk1"/>
          <w:sz w:val="24"/>
          <w:szCs w:val="24"/>
          <w:u w:val="none"/>
          <w:lang w:val="en-GB"/>
        </w:rPr>
        <w:t xml:space="preserve"> it redirects to https://sign.in/.</w:t>
      </w:r>
    </w:p>
    <w:p w14:paraId="0000000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262626" w:themeColor="dk1" w:themeTint="d9"/>
          <w:sz w:val="21"/>
          <w:highlight w:val="none"/>
          <w:rtl w:val="off"/>
          <w:lang w:val="en-US"/>
        </w:rPr>
      </w:pPr>
      <w:r>
        <w:rPr>
          <w:rFonts w:ascii="Segoe UI"/>
          <w:color w:val="0d0d0d" w:themeColor="dk1" w:themeTint="f2"/>
          <w:sz w:val="21"/>
          <w:highlight w:val="none"/>
          <w:rtl w:val="off"/>
          <w:lang w:val="en-US"/>
        </w:rPr>
        <w:t>As shown in figure5, this link had once been reported at VirusTotal</w:t>
      </w:r>
      <w:r>
        <w:rPr>
          <w:rFonts w:ascii="Segoe UI"/>
          <w:color w:val="ffffff"/>
          <w:sz w:val="21"/>
          <w:highlight w:val="none"/>
          <w:rtl w:val="off"/>
          <w:lang w:val="en-US"/>
        </w:rPr>
        <w:t>:</w:t>
      </w:r>
      <w:r>
        <w:rPr>
          <w:rFonts w:ascii="Segoe UI"/>
          <w:color w:val="262626" w:themeColor="dk1" w:themeTint="d9"/>
          <w:sz w:val="21"/>
          <w:highlight w:val="none"/>
          <w:rtl w:val="off"/>
          <w:lang w:val="en-US"/>
        </w:rPr>
        <w:t>as malicious.</w:t>
      </w:r>
    </w:p>
    <w:p w14:paraId="0000000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ffffff"/>
          <w:sz w:val="21"/>
          <w:highlight w:val="none"/>
          <w:rtl w:val="off"/>
          <w:lang w:val="en-US"/>
        </w:rPr>
      </w:pPr>
    </w:p>
    <w:p w14:paraId="0000000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ffffff"/>
          <w:sz w:val="21"/>
          <w:highlight w:val="none"/>
          <w:rtl w:val="off"/>
          <w:lang w:val="en-US"/>
        </w:rPr>
        <w:drawing xmlns:mc="http://schemas.openxmlformats.org/markup-compatibility/2006">
          <wp:inline distT="0" distB="0" distL="0" distR="0">
            <wp:extent cx="5992495" cy="3983990"/>
            <wp:effectExtent l="0" t="0" r="0" b="0"/>
            <wp:docPr id="2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Grp="0" noSelect="0" noChangeAspect="1" noMove="0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2495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/>
          <w:color w:val="ffffff"/>
          <w:sz w:val="21"/>
          <w:highlight w:val="none"/>
          <w:rtl w:val="off"/>
          <w:lang w:val="en-US"/>
        </w:rPr>
        <w:t>/sign.in/</w:t>
      </w:r>
      <w:r>
        <w:rPr>
          <w:rFonts w:ascii="Segoe UI"/>
          <w:color w:val="000000"/>
          <w:sz w:val="18"/>
          <w:rtl w:val="off"/>
          <w:lang w:val="en-US"/>
        </w:rPr>
        <w:t xml:space="preserve"> </w:t>
      </w:r>
    </w:p>
    <w:p w14:paraId="0000001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i/>
          <w:iCs/>
          <w:color w:val="262626" w:themeColor="dk1" w:themeTint="d9"/>
          <w:sz w:val="21"/>
          <w:highlight w:val="none"/>
          <w:rtl w:val="off"/>
          <w:lang w:val="en-US"/>
        </w:rPr>
      </w:pPr>
      <w:r>
        <w:rPr>
          <w:rFonts w:ascii="Segoe UI"/>
          <w:i/>
          <w:iCs/>
          <w:color w:val="262626" w:themeColor="dk1" w:themeTint="d9"/>
          <w:sz w:val="21"/>
          <w:highlight w:val="none"/>
          <w:rtl w:val="off"/>
          <w:lang w:val="en-US"/>
        </w:rPr>
        <w:t>Figure 6: image showing status of IP 103.225.77.255 shown in the mail.</w:t>
      </w:r>
    </w:p>
    <w:p w14:paraId="0000001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i/>
          <w:iCs/>
          <w:color w:val="262626" w:themeColor="dk1" w:themeTint="d9"/>
          <w:sz w:val="21"/>
          <w:highlight w:val="none"/>
          <w:rtl w:val="off"/>
          <w:lang w:val="en-US"/>
        </w:rPr>
      </w:pPr>
    </w:p>
    <w:p w14:paraId="0000001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i w:val="off"/>
          <w:iCs w:val="off"/>
          <w:color w:val="262626" w:themeColor="dk1" w:themeTint="d9"/>
          <w:sz w:val="21"/>
          <w:highlight w:val="none"/>
          <w:rtl w:val="off"/>
          <w:lang w:val="en-US"/>
        </w:rPr>
        <w:t xml:space="preserve">The image shows that there are 3 embedding files in this IP address, this is very critical as these files could be unloaded into the organisations </w:t>
      </w:r>
      <w:r>
        <w:rPr>
          <w:rFonts w:ascii="Segoe UI"/>
          <w:i w:val="off"/>
          <w:iCs w:val="off"/>
          <w:color w:val="262626" w:themeColor="dk1" w:themeTint="d9"/>
          <w:sz w:val="21"/>
          <w:highlight w:val="none"/>
          <w:rtl w:val="off"/>
          <w:lang w:val="en-US"/>
        </w:rPr>
        <w:t xml:space="preserve"> system</w:t>
      </w:r>
      <w:r>
        <w:rPr>
          <w:rFonts w:ascii="Segoe UI"/>
          <w:i w:val="off"/>
          <w:iCs w:val="off"/>
          <w:color w:val="262626" w:themeColor="dk1" w:themeTint="d9"/>
          <w:sz w:val="21"/>
          <w:highlight w:val="none"/>
          <w:rtl w:val="off"/>
          <w:lang w:val="en-US"/>
        </w:rPr>
        <w:t xml:space="preserve"> if link was clicked</w:t>
      </w:r>
      <w:r>
        <w:rPr>
          <w:rFonts w:ascii="Segoe UI"/>
          <w:color w:val="ffffff"/>
          <w:sz w:val="21"/>
          <w:highlight w:val="none"/>
          <w:rtl w:val="off"/>
          <w:lang w:val="en-US"/>
        </w:rPr>
        <w:t>//sign.in/</w:t>
      </w:r>
      <w:r>
        <w:rPr>
          <w:rFonts w:ascii="Segoe UI"/>
          <w:color w:val="000000"/>
          <w:sz w:val="18"/>
          <w:rtl w:val="off"/>
          <w:lang w:val="en-US"/>
        </w:rPr>
        <w:t xml:space="preserve"> </w:t>
      </w:r>
    </w:p>
    <w:p w14:paraId="00000013">
      <w:pPr>
        <w:rPr>
          <w:b w:val="off"/>
          <w:bCs w:val="off"/>
          <w:i w:val="off"/>
          <w:iCs w:val="off"/>
          <w:color w:val="000000" w:themeColor="dk1"/>
          <w:sz w:val="24"/>
          <w:szCs w:val="24"/>
          <w:u w:val="none"/>
        </w:rPr>
      </w:pPr>
    </w:p>
    <w:p w14:paraId="00000014">
      <w:pPr>
        <w:rPr>
          <w:b/>
          <w:bCs/>
          <w:i w:val="off"/>
          <w:iCs w:val="off"/>
          <w:sz w:val="24"/>
          <w:szCs w:val="24"/>
          <w:u w:val="single"/>
        </w:rPr>
      </w:pPr>
    </w:p>
    <w:p w14:paraId="00000015">
      <w:pPr>
        <w:rPr>
          <w:b/>
          <w:bCs/>
          <w:i w:val="off"/>
          <w:iCs w:val="off"/>
          <w:sz w:val="24"/>
          <w:szCs w:val="24"/>
          <w:u w:val="single"/>
        </w:rPr>
      </w:pPr>
    </w:p>
    <w:sectPr>
      <w:footnotePr/>
      <w:type w:val="nextPage"/>
      <w:pgSz w:w="11906" w:h="16838" w:orient="portrait"/>
      <w:pgMar w:top="1440" w:right="585" w:bottom="1440" w:left="735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GB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Chinonso Eneje</dc:creator>
  <cp:lastModifiedBy>Chinonso Eneje</cp:lastModifiedBy>
</cp:coreProperties>
</file>