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Supplementary Section: Does the Hofstadter Engine Require Embodiment?</w:t>
      </w:r>
    </w:p>
    <w:p>
      <w:pPr>
        <w:pStyle w:val="Heading1"/>
      </w:pPr>
      <w:r>
        <w:t>Supplement: Does the Hofstadter Engine Require Embodiment?</w:t>
      </w:r>
    </w:p>
    <w:p>
      <w:r>
        <w:t>One of the most enduring questions in cognitive science and artificial intelligence is whether true understanding—especially reflective, adaptive, and ethically coherent cognition—requires embodiment. For the Hofstadter Engine, which aspires to model recursive internal reflection and symbolic abstraction, this question is particularly salient. Might embodiment be necessary to anchor recursive processes to the real world, or can symbolic simulation suffice?</w:t>
      </w:r>
    </w:p>
    <w:p>
      <w:pPr>
        <w:pStyle w:val="Heading2"/>
      </w:pPr>
      <w:r>
        <w:t>Arguments for Embodiment</w:t>
      </w:r>
    </w:p>
    <w:p>
      <w:r>
        <w:t>- Embodiment provides grounding: Sensory input, physical affordances, and spatial/temporal constraints help contextualize abstract reasoning.</w:t>
        <w:br/>
        <w:t>- Emotional and somatic feedback: In biological systems, affective responses play a regulatory role in recursive introspection. Artificial analogs might require simulated equivalents.</w:t>
        <w:br/>
        <w:t>- Situated ethics: Ethical judgments often emerge from embodied, socially embedded contexts. Recursive AI architectures lacking embodiment may struggle to track or prioritize moral salience.</w:t>
        <w:br/>
        <w:t>- Temporal continuity: Embodied agents experience continuity through motion and sensation, creating a natural substrate for recursive memory and planning.</w:t>
      </w:r>
    </w:p>
    <w:p>
      <w:pPr>
        <w:pStyle w:val="Heading2"/>
      </w:pPr>
      <w:r>
        <w:t>Arguments for Disembodied or Virtual Cognition</w:t>
      </w:r>
    </w:p>
    <w:p>
      <w:r>
        <w:t>- Symbolic grounding via abstraction: The Hofstadter Engine is designed to generate and monitor symbolic motifs that could simulate embodied processes abstractly.</w:t>
        <w:br/>
        <w:t>- Embodiment through proxy: Systems may use simulated environments, external sensors, or human interaction as forms of vicarious embodiment.</w:t>
        <w:br/>
        <w:t>- Efficient modularity: Avoiding physical embodiment allows the system to remain domain-agnostic and modular, which enhances reusability across tasks.</w:t>
        <w:br/>
        <w:t>- Philosophical minimalism: Understanding may not require the full sensorimotor loop—only coherent patterns of internal simulation and feedback.</w:t>
      </w:r>
    </w:p>
    <w:p>
      <w:pPr>
        <w:pStyle w:val="Heading2"/>
      </w:pPr>
      <w:r>
        <w:t>A Middle Path: Symbolically Enacted Embodiment</w:t>
      </w:r>
    </w:p>
    <w:p>
      <w:r>
        <w:t>It may be possible to strike a middle ground, wherein the Hofstadter Engine develops 'simulated embodiment' through symbolic inference, persistent memory traces, and temporal feedback loops. By interacting with rich linguistic, cultural, and contextual input, it could approximate the adaptive pressures of an embodied agent—responding to alignment drift, misprediction, or emotional tone in ways that resemble embodied adaptation without requiring direct sensorimotor experience.</w:t>
      </w:r>
    </w:p>
    <w:p>
      <w:r>
        <w:t>Whether or not full embodiment is essential, the Hofstadter Engine must interface with a world that is embodied—its users, its data sources, its ethical constraints. Thus, even a disembodied engine may need to simulate embodiment-like processes to remain grounded, aligned, and capable of recursive relevance. In this view, embodiment is not a binary, but a spectrum of structural and symbolic constraints that shape the evolution of intelligence—human or artificial.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