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1E3A5F"/>
          </w:tcPr>
          <w:p>
            <w:pPr>
              <w:spacing w:before="160" w:after="160"/>
              <w:jc w:val="center"/>
            </w:pPr>
            <w:r>
              <w:rPr>
                <w:b/>
                <w:color w:val="FFFFFF"/>
                <w:sz w:val="32"/>
              </w:rPr>
              <w:t>MUSCAT 2040: GROWTH &amp; INFRASTRUCTURE CHALLENGE</w:t>
            </w:r>
          </w:p>
        </w:tc>
      </w:tr>
    </w:tbl>
    <w:p/>
    <w:p>
      <w:pPr>
        <w:jc w:val="center"/>
      </w:pPr>
      <w:r>
        <w:rPr>
          <w:b/>
          <w:color w:val="444444"/>
          <w:sz w:val="22"/>
        </w:rPr>
        <w:t>Executive Summary  |  Rihal Codestacker 2026</w:t>
      </w:r>
    </w:p>
    <w:p/>
    <w:tbl>
      <w:tblPr>
        <w:tblW w:type="auto" w:w="0"/>
        <w:jc w:val="left"/>
        <w:tblLook w:firstColumn="1" w:firstRow="1" w:lastColumn="0" w:lastRow="0" w:noHBand="0" w:noVBand="1" w:val="04A0"/>
      </w:tblPr>
      <w:tblGrid>
        <w:gridCol w:w="9072"/>
      </w:tblGrid>
      <w:tr>
        <w:tc>
          <w:tcPr>
            <w:tcW w:type="dxa" w:w="9638"/>
            <w:shd w:val="clear" w:color="auto" w:fill="1E3A5F"/>
          </w:tcPr>
          <w:p>
            <w:pPr>
              <w:spacing w:before="80" w:after="80"/>
              <w:jc w:val="left"/>
            </w:pPr>
            <w:r>
              <w:rPr>
                <w:b/>
                <w:color w:val="FFFFFF"/>
                <w:sz w:val="22"/>
              </w:rPr>
              <w:t>1. PURPOSE &amp; SCOPE</w:t>
            </w:r>
          </w:p>
        </w:tc>
      </w:tr>
    </w:tbl>
    <w:p/>
    <w:p>
      <w:pPr>
        <w:spacing w:after="120"/>
      </w:pPr>
      <w:r>
        <w:t>Muscat Governorate — Oman's most populous region with 1.55 million residents as of end-2023 (29.7% of the national total) — is on a sustained growth trajectory. This report estimates population growth through 2040 under three scenarios and quantifies infrastructure capacity gaps across two critical sectors: Healthcare and Electricity. All data are sourced from official Omani and international public datasets.</w:t>
      </w:r>
    </w:p>
    <w:p/>
    <w:tbl>
      <w:tblPr>
        <w:tblW w:type="auto" w:w="0"/>
        <w:jc w:val="left"/>
        <w:tblLook w:firstColumn="1" w:firstRow="1" w:lastColumn="0" w:lastRow="0" w:noHBand="0" w:noVBand="1" w:val="04A0"/>
      </w:tblPr>
      <w:tblGrid>
        <w:gridCol w:w="9072"/>
      </w:tblGrid>
      <w:tr>
        <w:tc>
          <w:tcPr>
            <w:tcW w:type="dxa" w:w="9638"/>
            <w:shd w:val="clear" w:color="auto" w:fill="1E3A5F"/>
          </w:tcPr>
          <w:p>
            <w:pPr>
              <w:spacing w:before="80" w:after="80"/>
              <w:jc w:val="left"/>
            </w:pPr>
            <w:r>
              <w:rPr>
                <w:b/>
                <w:color w:val="FFFFFF"/>
                <w:sz w:val="22"/>
              </w:rPr>
              <w:t>2. POPULATION PROJECTIONS</w:t>
            </w:r>
          </w:p>
        </w:tc>
      </w:tr>
    </w:tbl>
    <w:p/>
    <w:p>
      <w:pPr>
        <w:spacing w:after="80"/>
      </w:pPr>
      <w:r>
        <w:rPr>
          <w:b/>
        </w:rPr>
        <w:t xml:space="preserve">Baseline: </w:t>
      </w:r>
      <w:r>
        <w:t xml:space="preserve">NCSI end-2023 figure of 1,546,667 residents. Estimated 2024 baseline: 1.57 million. Compound annual growth rate (CAGR) applied using: </w:t>
      </w:r>
      <w:r>
        <w:rPr>
          <w:i/>
        </w:rPr>
        <w:t>Pₜ = P₀ × (1 + r)^(t – 2024)</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563EB"/>
          </w:tcPr>
          <w:p>
            <w:pPr>
              <w:jc w:val="center"/>
            </w:pPr>
            <w:r>
              <w:rPr>
                <w:b/>
                <w:color w:val="FFFFFF"/>
                <w:sz w:val="19"/>
              </w:rPr>
              <w:t>Scenario</w:t>
            </w:r>
          </w:p>
        </w:tc>
        <w:tc>
          <w:tcPr>
            <w:tcW w:type="dxa" w:w="1814"/>
            <w:shd w:val="clear" w:color="auto" w:fill="2563EB"/>
          </w:tcPr>
          <w:p>
            <w:pPr>
              <w:jc w:val="center"/>
            </w:pPr>
            <w:r>
              <w:rPr>
                <w:b/>
                <w:color w:val="FFFFFF"/>
                <w:sz w:val="19"/>
              </w:rPr>
              <w:t>Growth Rate</w:t>
            </w:r>
          </w:p>
        </w:tc>
        <w:tc>
          <w:tcPr>
            <w:tcW w:type="dxa" w:w="1814"/>
            <w:shd w:val="clear" w:color="auto" w:fill="2563EB"/>
          </w:tcPr>
          <w:p>
            <w:pPr>
              <w:jc w:val="center"/>
            </w:pPr>
            <w:r>
              <w:rPr>
                <w:b/>
                <w:color w:val="FFFFFF"/>
                <w:sz w:val="19"/>
              </w:rPr>
              <w:t>2030 Population</w:t>
            </w:r>
          </w:p>
        </w:tc>
        <w:tc>
          <w:tcPr>
            <w:tcW w:type="dxa" w:w="1814"/>
            <w:shd w:val="clear" w:color="auto" w:fill="2563EB"/>
          </w:tcPr>
          <w:p>
            <w:pPr>
              <w:jc w:val="center"/>
            </w:pPr>
            <w:r>
              <w:rPr>
                <w:b/>
                <w:color w:val="FFFFFF"/>
                <w:sz w:val="19"/>
              </w:rPr>
              <w:t>2035 Population</w:t>
            </w:r>
          </w:p>
        </w:tc>
        <w:tc>
          <w:tcPr>
            <w:tcW w:type="dxa" w:w="1814"/>
            <w:shd w:val="clear" w:color="auto" w:fill="2563EB"/>
          </w:tcPr>
          <w:p>
            <w:pPr>
              <w:jc w:val="center"/>
            </w:pPr>
            <w:r>
              <w:rPr>
                <w:b/>
                <w:color w:val="FFFFFF"/>
                <w:sz w:val="19"/>
              </w:rPr>
              <w:t>2040 Population</w:t>
            </w:r>
          </w:p>
        </w:tc>
      </w:tr>
      <w:tr>
        <w:tc>
          <w:tcPr>
            <w:tcW w:type="dxa" w:w="1814"/>
            <w:shd w:val="clear" w:color="auto" w:fill="F0F7FF"/>
          </w:tcPr>
          <w:p>
            <w:pPr>
              <w:jc w:val="center"/>
            </w:pPr>
            <w:r>
              <w:rPr>
                <w:b/>
                <w:sz w:val="19"/>
              </w:rPr>
              <w:t>Base Case</w:t>
            </w:r>
          </w:p>
        </w:tc>
        <w:tc>
          <w:tcPr>
            <w:tcW w:type="dxa" w:w="1814"/>
            <w:shd w:val="clear" w:color="auto" w:fill="F0F7FF"/>
          </w:tcPr>
          <w:p>
            <w:pPr>
              <w:jc w:val="center"/>
            </w:pPr>
            <w:r>
              <w:rPr>
                <w:sz w:val="19"/>
              </w:rPr>
              <w:t>2.8% p.a.</w:t>
            </w:r>
          </w:p>
        </w:tc>
        <w:tc>
          <w:tcPr>
            <w:tcW w:type="dxa" w:w="1814"/>
            <w:shd w:val="clear" w:color="auto" w:fill="F0F7FF"/>
          </w:tcPr>
          <w:p>
            <w:pPr>
              <w:jc w:val="center"/>
            </w:pPr>
            <w:r>
              <w:rPr>
                <w:sz w:val="19"/>
              </w:rPr>
              <w:t>1.87M</w:t>
            </w:r>
          </w:p>
        </w:tc>
        <w:tc>
          <w:tcPr>
            <w:tcW w:type="dxa" w:w="1814"/>
            <w:shd w:val="clear" w:color="auto" w:fill="F0F7FF"/>
          </w:tcPr>
          <w:p>
            <w:pPr>
              <w:jc w:val="center"/>
            </w:pPr>
            <w:r>
              <w:rPr>
                <w:sz w:val="19"/>
              </w:rPr>
              <w:t>2.16M</w:t>
            </w:r>
          </w:p>
        </w:tc>
        <w:tc>
          <w:tcPr>
            <w:tcW w:type="dxa" w:w="1814"/>
            <w:shd w:val="clear" w:color="auto" w:fill="F0F7FF"/>
          </w:tcPr>
          <w:p>
            <w:pPr>
              <w:jc w:val="center"/>
            </w:pPr>
            <w:r>
              <w:rPr>
                <w:sz w:val="19"/>
              </w:rPr>
              <w:t>2.50M</w:t>
            </w:r>
          </w:p>
        </w:tc>
      </w:tr>
      <w:tr>
        <w:tc>
          <w:tcPr>
            <w:tcW w:type="dxa" w:w="1814"/>
            <w:shd w:val="clear" w:color="auto" w:fill="FFFFFF"/>
          </w:tcPr>
          <w:p>
            <w:pPr>
              <w:jc w:val="center"/>
            </w:pPr>
            <w:r>
              <w:rPr>
                <w:b/>
                <w:sz w:val="19"/>
              </w:rPr>
              <w:t>High Growth</w:t>
            </w:r>
          </w:p>
        </w:tc>
        <w:tc>
          <w:tcPr>
            <w:tcW w:type="dxa" w:w="1814"/>
            <w:shd w:val="clear" w:color="auto" w:fill="FFFFFF"/>
          </w:tcPr>
          <w:p>
            <w:pPr>
              <w:jc w:val="center"/>
            </w:pPr>
            <w:r>
              <w:rPr>
                <w:sz w:val="19"/>
              </w:rPr>
              <w:t>4.2% p.a.</w:t>
            </w:r>
          </w:p>
        </w:tc>
        <w:tc>
          <w:tcPr>
            <w:tcW w:type="dxa" w:w="1814"/>
            <w:shd w:val="clear" w:color="auto" w:fill="FFFFFF"/>
          </w:tcPr>
          <w:p>
            <w:pPr>
              <w:jc w:val="center"/>
            </w:pPr>
            <w:r>
              <w:rPr>
                <w:sz w:val="19"/>
              </w:rPr>
              <w:t>1.94M</w:t>
            </w:r>
          </w:p>
        </w:tc>
        <w:tc>
          <w:tcPr>
            <w:tcW w:type="dxa" w:w="1814"/>
            <w:shd w:val="clear" w:color="auto" w:fill="FFFFFF"/>
          </w:tcPr>
          <w:p>
            <w:pPr>
              <w:jc w:val="center"/>
            </w:pPr>
            <w:r>
              <w:rPr>
                <w:sz w:val="19"/>
              </w:rPr>
              <w:t>2.37M</w:t>
            </w:r>
          </w:p>
        </w:tc>
        <w:tc>
          <w:tcPr>
            <w:tcW w:type="dxa" w:w="1814"/>
            <w:shd w:val="clear" w:color="auto" w:fill="FFFFFF"/>
          </w:tcPr>
          <w:p>
            <w:pPr>
              <w:jc w:val="center"/>
            </w:pPr>
            <w:r>
              <w:rPr>
                <w:sz w:val="19"/>
              </w:rPr>
              <w:t>2.89M</w:t>
            </w:r>
          </w:p>
        </w:tc>
      </w:tr>
      <w:tr>
        <w:tc>
          <w:tcPr>
            <w:tcW w:type="dxa" w:w="1814"/>
            <w:shd w:val="clear" w:color="auto" w:fill="F0FFF4"/>
          </w:tcPr>
          <w:p>
            <w:pPr>
              <w:jc w:val="center"/>
            </w:pPr>
            <w:r>
              <w:rPr>
                <w:b/>
                <w:sz w:val="19"/>
              </w:rPr>
              <w:t>Low Growth</w:t>
            </w:r>
          </w:p>
        </w:tc>
        <w:tc>
          <w:tcPr>
            <w:tcW w:type="dxa" w:w="1814"/>
            <w:shd w:val="clear" w:color="auto" w:fill="F0FFF4"/>
          </w:tcPr>
          <w:p>
            <w:pPr>
              <w:jc w:val="center"/>
            </w:pPr>
            <w:r>
              <w:rPr>
                <w:sz w:val="19"/>
              </w:rPr>
              <w:t>1.5% p.a.</w:t>
            </w:r>
          </w:p>
        </w:tc>
        <w:tc>
          <w:tcPr>
            <w:tcW w:type="dxa" w:w="1814"/>
            <w:shd w:val="clear" w:color="auto" w:fill="F0FFF4"/>
          </w:tcPr>
          <w:p>
            <w:pPr>
              <w:jc w:val="center"/>
            </w:pPr>
            <w:r>
              <w:rPr>
                <w:sz w:val="19"/>
              </w:rPr>
              <w:t>1.71M</w:t>
            </w:r>
          </w:p>
        </w:tc>
        <w:tc>
          <w:tcPr>
            <w:tcW w:type="dxa" w:w="1814"/>
            <w:shd w:val="clear" w:color="auto" w:fill="F0FFF4"/>
          </w:tcPr>
          <w:p>
            <w:pPr>
              <w:jc w:val="center"/>
            </w:pPr>
            <w:r>
              <w:rPr>
                <w:sz w:val="19"/>
              </w:rPr>
              <w:t>1.84M</w:t>
            </w:r>
          </w:p>
        </w:tc>
        <w:tc>
          <w:tcPr>
            <w:tcW w:type="dxa" w:w="1814"/>
            <w:shd w:val="clear" w:color="auto" w:fill="F0FFF4"/>
          </w:tcPr>
          <w:p>
            <w:pPr>
              <w:jc w:val="center"/>
            </w:pPr>
            <w:r>
              <w:rPr>
                <w:sz w:val="19"/>
              </w:rPr>
              <w:t>1.98M</w:t>
            </w:r>
          </w:p>
        </w:tc>
      </w:tr>
    </w:tbl>
    <w:p/>
    <w:p>
      <w:pPr>
        <w:spacing w:after="160"/>
      </w:pPr>
      <w:r>
        <w:rPr>
          <w:b/>
        </w:rPr>
        <w:t xml:space="preserve">Source: </w:t>
      </w:r>
      <w:r>
        <w:t>NCSI Oman Population Clock &amp; Statistical Yearbook 2024; Oman Observer Jan 2024; NCSI Q3 2023 Bulletin. Rationale: Base case aligns with 2021-2024 historical CAGR (~2.5–3%). High scenario reflects Oman Vision 2040 economic boom and expatriate inflows. Low scenario reflects Omanization policy reducing expat dependence.</w:t>
      </w:r>
    </w:p>
    <w:p/>
    <w:tbl>
      <w:tblPr>
        <w:tblW w:type="auto" w:w="0"/>
        <w:jc w:val="left"/>
        <w:tblLook w:firstColumn="1" w:firstRow="1" w:lastColumn="0" w:lastRow="0" w:noHBand="0" w:noVBand="1" w:val="04A0"/>
      </w:tblPr>
      <w:tblGrid>
        <w:gridCol w:w="9072"/>
      </w:tblGrid>
      <w:tr>
        <w:tc>
          <w:tcPr>
            <w:tcW w:type="dxa" w:w="9638"/>
            <w:shd w:val="clear" w:color="auto" w:fill="1E3A5F"/>
          </w:tcPr>
          <w:p>
            <w:pPr>
              <w:spacing w:before="80" w:after="80"/>
              <w:jc w:val="left"/>
            </w:pPr>
            <w:r>
              <w:rPr>
                <w:b/>
                <w:color w:val="FFFFFF"/>
                <w:sz w:val="22"/>
              </w:rPr>
              <w:t>3. INFRASTRUCTURE CAPACITY ANALYSIS</w:t>
            </w:r>
          </w:p>
        </w:tc>
      </w:tr>
    </w:tbl>
    <w:p/>
    <w:p>
      <w:pPr>
        <w:pStyle w:val="Heading2"/>
      </w:pPr>
      <w:r>
        <w:rPr>
          <w:color w:val="1E3A5F"/>
        </w:rPr>
        <w:t>3a. Healthcare — Hospital Beds</w:t>
      </w:r>
    </w:p>
    <w:p>
      <w:r>
        <w:rPr>
          <w:b/>
        </w:rPr>
        <w:t xml:space="preserve">Benchmark: </w:t>
      </w:r>
      <w:r>
        <w:t>2.5 hospital beds per 1,000 people (WHO Global Health Observatory minimum). Oman's current national ratio is 14.9 beds per 10,000 (1.49 per 1,000), well below the WHO target. Muscat Governorate accounts for approximately 38% of the national population and proportional infrastructure.</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E3A5F"/>
          </w:tcPr>
          <w:p>
            <w:pPr>
              <w:jc w:val="center"/>
            </w:pPr>
            <w:r>
              <w:rPr>
                <w:b/>
                <w:color w:val="FFFFFF"/>
                <w:sz w:val="19"/>
              </w:rPr>
              <w:t>Scenario</w:t>
            </w:r>
          </w:p>
        </w:tc>
        <w:tc>
          <w:tcPr>
            <w:tcW w:type="dxa" w:w="1814"/>
            <w:shd w:val="clear" w:color="auto" w:fill="1E3A5F"/>
          </w:tcPr>
          <w:p>
            <w:pPr>
              <w:jc w:val="center"/>
            </w:pPr>
            <w:r>
              <w:rPr>
                <w:b/>
                <w:color w:val="FFFFFF"/>
                <w:sz w:val="19"/>
              </w:rPr>
              <w:t>Beds Needed 2030</w:t>
            </w:r>
          </w:p>
        </w:tc>
        <w:tc>
          <w:tcPr>
            <w:tcW w:type="dxa" w:w="1814"/>
            <w:shd w:val="clear" w:color="auto" w:fill="1E3A5F"/>
          </w:tcPr>
          <w:p>
            <w:pPr>
              <w:jc w:val="center"/>
            </w:pPr>
            <w:r>
              <w:rPr>
                <w:b/>
                <w:color w:val="FFFFFF"/>
                <w:sz w:val="19"/>
              </w:rPr>
              <w:t>Beds Needed 2040</w:t>
            </w:r>
          </w:p>
        </w:tc>
        <w:tc>
          <w:tcPr>
            <w:tcW w:type="dxa" w:w="1814"/>
            <w:shd w:val="clear" w:color="auto" w:fill="1E3A5F"/>
          </w:tcPr>
          <w:p>
            <w:pPr>
              <w:jc w:val="center"/>
            </w:pPr>
            <w:r>
              <w:rPr>
                <w:b/>
                <w:color w:val="FFFFFF"/>
                <w:sz w:val="19"/>
              </w:rPr>
              <w:t>Estimated Capacity 2040</w:t>
            </w:r>
          </w:p>
        </w:tc>
        <w:tc>
          <w:tcPr>
            <w:tcW w:type="dxa" w:w="1814"/>
            <w:shd w:val="clear" w:color="auto" w:fill="1E3A5F"/>
          </w:tcPr>
          <w:p>
            <w:pPr>
              <w:jc w:val="center"/>
            </w:pPr>
            <w:r>
              <w:rPr>
                <w:b/>
                <w:color w:val="FFFFFF"/>
                <w:sz w:val="19"/>
              </w:rPr>
              <w:t>Gap 2040</w:t>
            </w:r>
          </w:p>
        </w:tc>
      </w:tr>
      <w:tr>
        <w:tc>
          <w:tcPr>
            <w:tcW w:type="dxa" w:w="1814"/>
            <w:shd w:val="clear" w:color="auto" w:fill="FFFFFF"/>
          </w:tcPr>
          <w:p>
            <w:pPr>
              <w:jc w:val="center"/>
            </w:pPr>
            <w:r>
              <w:rPr>
                <w:b/>
                <w:sz w:val="19"/>
              </w:rPr>
              <w:t>Base Case</w:t>
            </w:r>
          </w:p>
        </w:tc>
        <w:tc>
          <w:tcPr>
            <w:tcW w:type="dxa" w:w="1814"/>
            <w:shd w:val="clear" w:color="auto" w:fill="FFFFFF"/>
          </w:tcPr>
          <w:p>
            <w:pPr>
              <w:jc w:val="center"/>
            </w:pPr>
            <w:r>
              <w:rPr>
                <w:sz w:val="19"/>
              </w:rPr>
              <w:t>4,675</w:t>
            </w:r>
          </w:p>
        </w:tc>
        <w:tc>
          <w:tcPr>
            <w:tcW w:type="dxa" w:w="1814"/>
            <w:shd w:val="clear" w:color="auto" w:fill="FFFFFF"/>
          </w:tcPr>
          <w:p>
            <w:pPr>
              <w:jc w:val="center"/>
            </w:pPr>
            <w:r>
              <w:rPr>
                <w:sz w:val="19"/>
              </w:rPr>
              <w:t>6,250</w:t>
            </w:r>
          </w:p>
        </w:tc>
        <w:tc>
          <w:tcPr>
            <w:tcW w:type="dxa" w:w="1814"/>
            <w:shd w:val="clear" w:color="auto" w:fill="FFFFFF"/>
          </w:tcPr>
          <w:p>
            <w:pPr>
              <w:jc w:val="center"/>
            </w:pPr>
            <w:r>
              <w:rPr>
                <w:sz w:val="19"/>
              </w:rPr>
              <w:t>~3,200</w:t>
            </w:r>
          </w:p>
        </w:tc>
        <w:tc>
          <w:tcPr>
            <w:tcW w:type="dxa" w:w="1814"/>
            <w:shd w:val="clear" w:color="auto" w:fill="FFFBF0"/>
          </w:tcPr>
          <w:p>
            <w:pPr>
              <w:jc w:val="center"/>
            </w:pPr>
            <w:r>
              <w:rPr>
                <w:sz w:val="19"/>
              </w:rPr>
              <w:t>–3,050 ⚠️</w:t>
            </w:r>
          </w:p>
        </w:tc>
      </w:tr>
      <w:tr>
        <w:tc>
          <w:tcPr>
            <w:tcW w:type="dxa" w:w="1814"/>
            <w:shd w:val="clear" w:color="auto" w:fill="FFFFFF"/>
          </w:tcPr>
          <w:p>
            <w:pPr>
              <w:jc w:val="center"/>
            </w:pPr>
            <w:r>
              <w:rPr>
                <w:b/>
                <w:sz w:val="19"/>
              </w:rPr>
              <w:t>High Growth</w:t>
            </w:r>
          </w:p>
        </w:tc>
        <w:tc>
          <w:tcPr>
            <w:tcW w:type="dxa" w:w="1814"/>
            <w:shd w:val="clear" w:color="auto" w:fill="FFFFFF"/>
          </w:tcPr>
          <w:p>
            <w:pPr>
              <w:jc w:val="center"/>
            </w:pPr>
            <w:r>
              <w:rPr>
                <w:sz w:val="19"/>
              </w:rPr>
              <w:t>4,850</w:t>
            </w:r>
          </w:p>
        </w:tc>
        <w:tc>
          <w:tcPr>
            <w:tcW w:type="dxa" w:w="1814"/>
            <w:shd w:val="clear" w:color="auto" w:fill="FFFFFF"/>
          </w:tcPr>
          <w:p>
            <w:pPr>
              <w:jc w:val="center"/>
            </w:pPr>
            <w:r>
              <w:rPr>
                <w:sz w:val="19"/>
              </w:rPr>
              <w:t>7,225</w:t>
            </w:r>
          </w:p>
        </w:tc>
        <w:tc>
          <w:tcPr>
            <w:tcW w:type="dxa" w:w="1814"/>
            <w:shd w:val="clear" w:color="auto" w:fill="FFFFFF"/>
          </w:tcPr>
          <w:p>
            <w:pPr>
              <w:jc w:val="center"/>
            </w:pPr>
            <w:r>
              <w:rPr>
                <w:sz w:val="19"/>
              </w:rPr>
              <w:t>~3,200</w:t>
            </w:r>
          </w:p>
        </w:tc>
        <w:tc>
          <w:tcPr>
            <w:tcW w:type="dxa" w:w="1814"/>
            <w:shd w:val="clear" w:color="auto" w:fill="FFF7F7"/>
          </w:tcPr>
          <w:p>
            <w:pPr>
              <w:jc w:val="center"/>
            </w:pPr>
            <w:r>
              <w:rPr>
                <w:sz w:val="19"/>
              </w:rPr>
              <w:t>–4,025 🔴</w:t>
            </w:r>
          </w:p>
        </w:tc>
      </w:tr>
      <w:tr>
        <w:tc>
          <w:tcPr>
            <w:tcW w:type="dxa" w:w="1814"/>
            <w:shd w:val="clear" w:color="auto" w:fill="FFFFFF"/>
          </w:tcPr>
          <w:p>
            <w:pPr>
              <w:jc w:val="center"/>
            </w:pPr>
            <w:r>
              <w:rPr>
                <w:b/>
                <w:sz w:val="19"/>
              </w:rPr>
              <w:t>Low Growth</w:t>
            </w:r>
          </w:p>
        </w:tc>
        <w:tc>
          <w:tcPr>
            <w:tcW w:type="dxa" w:w="1814"/>
            <w:shd w:val="clear" w:color="auto" w:fill="FFFFFF"/>
          </w:tcPr>
          <w:p>
            <w:pPr>
              <w:jc w:val="center"/>
            </w:pPr>
            <w:r>
              <w:rPr>
                <w:sz w:val="19"/>
              </w:rPr>
              <w:t>4,275</w:t>
            </w:r>
          </w:p>
        </w:tc>
        <w:tc>
          <w:tcPr>
            <w:tcW w:type="dxa" w:w="1814"/>
            <w:shd w:val="clear" w:color="auto" w:fill="FFFFFF"/>
          </w:tcPr>
          <w:p>
            <w:pPr>
              <w:jc w:val="center"/>
            </w:pPr>
            <w:r>
              <w:rPr>
                <w:sz w:val="19"/>
              </w:rPr>
              <w:t>4,950</w:t>
            </w:r>
          </w:p>
        </w:tc>
        <w:tc>
          <w:tcPr>
            <w:tcW w:type="dxa" w:w="1814"/>
            <w:shd w:val="clear" w:color="auto" w:fill="FFFFFF"/>
          </w:tcPr>
          <w:p>
            <w:pPr>
              <w:jc w:val="center"/>
            </w:pPr>
            <w:r>
              <w:rPr>
                <w:sz w:val="19"/>
              </w:rPr>
              <w:t>~3,200</w:t>
            </w:r>
          </w:p>
        </w:tc>
        <w:tc>
          <w:tcPr>
            <w:tcW w:type="dxa" w:w="1814"/>
            <w:shd w:val="clear" w:color="auto" w:fill="FFFBF0"/>
          </w:tcPr>
          <w:p>
            <w:pPr>
              <w:jc w:val="center"/>
            </w:pPr>
            <w:r>
              <w:rPr>
                <w:sz w:val="19"/>
              </w:rPr>
              <w:t>–1,750 ⚠️</w:t>
            </w:r>
          </w:p>
        </w:tc>
      </w:tr>
    </w:tbl>
    <w:p/>
    <w:p>
      <w:pPr>
        <w:spacing w:after="160"/>
      </w:pPr>
      <w:r>
        <w:rPr>
          <w:b/>
        </w:rPr>
        <w:t xml:space="preserve">Key Finding: </w:t>
      </w:r>
      <w:r>
        <w:t>Under ALL three scenarios, Muscat's hospital bed capacity is exceeded well before 2040. Under the high-growth scenario, demand surpasses current capacity as early as 2026, resulting in an estimated shortfall of over 4,000 beds by 2040. Even the low-growth scenario produces a deficit of ~1,750 beds. The Ministry of Health's 2025 announcement of 1,660 new national beds by 2030 is insufficient to close this gap — Muscat's proportional allocation (~630 beds) covers less than 20% of the projected shortfall.</w:t>
      </w:r>
    </w:p>
    <w:p>
      <w:r>
        <w:rPr>
          <w:b/>
        </w:rPr>
        <w:t xml:space="preserve">Source: </w:t>
      </w:r>
      <w:r>
        <w:t>Ministry of Health Annual Report 2023 (ONA Aug 2024); MoH March 2025 hospital announcement; WHO Global Health Observatory. Capacity calculated as Muscat share (38%) of national 7,691 beds (2023) plus planned 2030 additions.</w:t>
      </w:r>
    </w:p>
    <w:p>
      <w:r>
        <w:br w:type="page"/>
      </w:r>
    </w:p>
    <w:p>
      <w:pPr>
        <w:pStyle w:val="Heading2"/>
      </w:pPr>
      <w:r>
        <w:rPr>
          <w:color w:val="1E3A5F"/>
        </w:rPr>
        <w:t>3b. Electricity — Demand vs. Generation Capacity</w:t>
      </w:r>
    </w:p>
    <w:p>
      <w:pPr>
        <w:spacing w:after="80"/>
      </w:pPr>
      <w:r>
        <w:rPr>
          <w:b/>
        </w:rPr>
        <w:t xml:space="preserve">Benchmark: </w:t>
      </w:r>
      <w:r>
        <w:t>Oman per-capita electricity consumption: 8.5 MWh/year (Enerdata 2023). Muscat accounts for ~35% of national consumption. National electricity consumption grew 7%/year historically (OPWP). Significant new capacity (Manah 1 GW solar, Jan 2025; Ibri III 500 MW, 2026) partially addresses growing demand.</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E3A5F"/>
          </w:tcPr>
          <w:p>
            <w:pPr>
              <w:jc w:val="center"/>
            </w:pPr>
            <w:r>
              <w:rPr>
                <w:b/>
                <w:color w:val="FFFFFF"/>
                <w:sz w:val="19"/>
              </w:rPr>
              <w:t>Scenario</w:t>
            </w:r>
          </w:p>
        </w:tc>
        <w:tc>
          <w:tcPr>
            <w:tcW w:type="dxa" w:w="1814"/>
            <w:shd w:val="clear" w:color="auto" w:fill="1E3A5F"/>
          </w:tcPr>
          <w:p>
            <w:pPr>
              <w:jc w:val="center"/>
            </w:pPr>
            <w:r>
              <w:rPr>
                <w:b/>
                <w:color w:val="FFFFFF"/>
                <w:sz w:val="19"/>
              </w:rPr>
              <w:t>Demand 2030 (GWh)</w:t>
            </w:r>
          </w:p>
        </w:tc>
        <w:tc>
          <w:tcPr>
            <w:tcW w:type="dxa" w:w="1814"/>
            <w:shd w:val="clear" w:color="auto" w:fill="1E3A5F"/>
          </w:tcPr>
          <w:p>
            <w:pPr>
              <w:jc w:val="center"/>
            </w:pPr>
            <w:r>
              <w:rPr>
                <w:b/>
                <w:color w:val="FFFFFF"/>
                <w:sz w:val="19"/>
              </w:rPr>
              <w:t>Demand 2040 (GWh)</w:t>
            </w:r>
          </w:p>
        </w:tc>
        <w:tc>
          <w:tcPr>
            <w:tcW w:type="dxa" w:w="1814"/>
            <w:shd w:val="clear" w:color="auto" w:fill="1E3A5F"/>
          </w:tcPr>
          <w:p>
            <w:pPr>
              <w:jc w:val="center"/>
            </w:pPr>
            <w:r>
              <w:rPr>
                <w:b/>
                <w:color w:val="FFFFFF"/>
                <w:sz w:val="19"/>
              </w:rPr>
              <w:t>Capacity 2040 (GWh)</w:t>
            </w:r>
          </w:p>
        </w:tc>
        <w:tc>
          <w:tcPr>
            <w:tcW w:type="dxa" w:w="1814"/>
            <w:shd w:val="clear" w:color="auto" w:fill="1E3A5F"/>
          </w:tcPr>
          <w:p>
            <w:pPr>
              <w:jc w:val="center"/>
            </w:pPr>
            <w:r>
              <w:rPr>
                <w:b/>
                <w:color w:val="FFFFFF"/>
                <w:sz w:val="19"/>
              </w:rPr>
              <w:t>Gap 2040</w:t>
            </w:r>
          </w:p>
        </w:tc>
      </w:tr>
      <w:tr>
        <w:tc>
          <w:tcPr>
            <w:tcW w:type="dxa" w:w="1814"/>
            <w:shd w:val="clear" w:color="auto" w:fill="FFFFFF"/>
          </w:tcPr>
          <w:p>
            <w:pPr>
              <w:jc w:val="center"/>
            </w:pPr>
            <w:r>
              <w:rPr>
                <w:b/>
                <w:sz w:val="19"/>
              </w:rPr>
              <w:t>Base Case</w:t>
            </w:r>
          </w:p>
        </w:tc>
        <w:tc>
          <w:tcPr>
            <w:tcW w:type="dxa" w:w="1814"/>
            <w:shd w:val="clear" w:color="auto" w:fill="FFFFFF"/>
          </w:tcPr>
          <w:p>
            <w:pPr>
              <w:jc w:val="center"/>
            </w:pPr>
            <w:r>
              <w:rPr>
                <w:sz w:val="19"/>
              </w:rPr>
              <w:t>~9,500</w:t>
            </w:r>
          </w:p>
        </w:tc>
        <w:tc>
          <w:tcPr>
            <w:tcW w:type="dxa" w:w="1814"/>
            <w:shd w:val="clear" w:color="auto" w:fill="FFFFFF"/>
          </w:tcPr>
          <w:p>
            <w:pPr>
              <w:jc w:val="center"/>
            </w:pPr>
            <w:r>
              <w:rPr>
                <w:sz w:val="19"/>
              </w:rPr>
              <w:t>~13,400</w:t>
            </w:r>
          </w:p>
        </w:tc>
        <w:tc>
          <w:tcPr>
            <w:tcW w:type="dxa" w:w="1814"/>
            <w:shd w:val="clear" w:color="auto" w:fill="FFFFFF"/>
          </w:tcPr>
          <w:p>
            <w:pPr>
              <w:jc w:val="center"/>
            </w:pPr>
            <w:r>
              <w:rPr>
                <w:sz w:val="19"/>
              </w:rPr>
              <w:t>~11,200</w:t>
            </w:r>
          </w:p>
        </w:tc>
        <w:tc>
          <w:tcPr>
            <w:tcW w:type="dxa" w:w="1814"/>
            <w:shd w:val="clear" w:color="auto" w:fill="FFFBF0"/>
          </w:tcPr>
          <w:p>
            <w:pPr>
              <w:jc w:val="center"/>
            </w:pPr>
            <w:r>
              <w:rPr>
                <w:sz w:val="19"/>
              </w:rPr>
              <w:t>–2,200 ⚠️</w:t>
            </w:r>
          </w:p>
        </w:tc>
      </w:tr>
      <w:tr>
        <w:tc>
          <w:tcPr>
            <w:tcW w:type="dxa" w:w="1814"/>
            <w:shd w:val="clear" w:color="auto" w:fill="FFFFFF"/>
          </w:tcPr>
          <w:p>
            <w:pPr>
              <w:jc w:val="center"/>
            </w:pPr>
            <w:r>
              <w:rPr>
                <w:b/>
                <w:sz w:val="19"/>
              </w:rPr>
              <w:t>High Growth</w:t>
            </w:r>
          </w:p>
        </w:tc>
        <w:tc>
          <w:tcPr>
            <w:tcW w:type="dxa" w:w="1814"/>
            <w:shd w:val="clear" w:color="auto" w:fill="FFFFFF"/>
          </w:tcPr>
          <w:p>
            <w:pPr>
              <w:jc w:val="center"/>
            </w:pPr>
            <w:r>
              <w:rPr>
                <w:sz w:val="19"/>
              </w:rPr>
              <w:t>~9,900</w:t>
            </w:r>
          </w:p>
        </w:tc>
        <w:tc>
          <w:tcPr>
            <w:tcW w:type="dxa" w:w="1814"/>
            <w:shd w:val="clear" w:color="auto" w:fill="FFFFFF"/>
          </w:tcPr>
          <w:p>
            <w:pPr>
              <w:jc w:val="center"/>
            </w:pPr>
            <w:r>
              <w:rPr>
                <w:sz w:val="19"/>
              </w:rPr>
              <w:t>~15,500</w:t>
            </w:r>
          </w:p>
        </w:tc>
        <w:tc>
          <w:tcPr>
            <w:tcW w:type="dxa" w:w="1814"/>
            <w:shd w:val="clear" w:color="auto" w:fill="FFFFFF"/>
          </w:tcPr>
          <w:p>
            <w:pPr>
              <w:jc w:val="center"/>
            </w:pPr>
            <w:r>
              <w:rPr>
                <w:sz w:val="19"/>
              </w:rPr>
              <w:t>~11,200</w:t>
            </w:r>
          </w:p>
        </w:tc>
        <w:tc>
          <w:tcPr>
            <w:tcW w:type="dxa" w:w="1814"/>
            <w:shd w:val="clear" w:color="auto" w:fill="FFF7F7"/>
          </w:tcPr>
          <w:p>
            <w:pPr>
              <w:jc w:val="center"/>
            </w:pPr>
            <w:r>
              <w:rPr>
                <w:sz w:val="19"/>
              </w:rPr>
              <w:t>–4,300 🔴</w:t>
            </w:r>
          </w:p>
        </w:tc>
      </w:tr>
      <w:tr>
        <w:tc>
          <w:tcPr>
            <w:tcW w:type="dxa" w:w="1814"/>
            <w:shd w:val="clear" w:color="auto" w:fill="FFFFFF"/>
          </w:tcPr>
          <w:p>
            <w:pPr>
              <w:jc w:val="center"/>
            </w:pPr>
            <w:r>
              <w:rPr>
                <w:b/>
                <w:sz w:val="19"/>
              </w:rPr>
              <w:t>Low Growth</w:t>
            </w:r>
          </w:p>
        </w:tc>
        <w:tc>
          <w:tcPr>
            <w:tcW w:type="dxa" w:w="1814"/>
            <w:shd w:val="clear" w:color="auto" w:fill="FFFFFF"/>
          </w:tcPr>
          <w:p>
            <w:pPr>
              <w:jc w:val="center"/>
            </w:pPr>
            <w:r>
              <w:rPr>
                <w:sz w:val="19"/>
              </w:rPr>
              <w:t>~8,600</w:t>
            </w:r>
          </w:p>
        </w:tc>
        <w:tc>
          <w:tcPr>
            <w:tcW w:type="dxa" w:w="1814"/>
            <w:shd w:val="clear" w:color="auto" w:fill="FFFFFF"/>
          </w:tcPr>
          <w:p>
            <w:pPr>
              <w:jc w:val="center"/>
            </w:pPr>
            <w:r>
              <w:rPr>
                <w:sz w:val="19"/>
              </w:rPr>
              <w:t>~10,700</w:t>
            </w:r>
          </w:p>
        </w:tc>
        <w:tc>
          <w:tcPr>
            <w:tcW w:type="dxa" w:w="1814"/>
            <w:shd w:val="clear" w:color="auto" w:fill="FFFFFF"/>
          </w:tcPr>
          <w:p>
            <w:pPr>
              <w:jc w:val="center"/>
            </w:pPr>
            <w:r>
              <w:rPr>
                <w:sz w:val="19"/>
              </w:rPr>
              <w:t>~11,200</w:t>
            </w:r>
          </w:p>
        </w:tc>
        <w:tc>
          <w:tcPr>
            <w:tcW w:type="dxa" w:w="1814"/>
            <w:shd w:val="clear" w:color="auto" w:fill="F0FFF4"/>
          </w:tcPr>
          <w:p>
            <w:pPr>
              <w:jc w:val="center"/>
            </w:pPr>
            <w:r>
              <w:rPr>
                <w:sz w:val="19"/>
              </w:rPr>
              <w:t>+500 ✅</w:t>
            </w:r>
          </w:p>
        </w:tc>
      </w:tr>
    </w:tbl>
    <w:p/>
    <w:p>
      <w:r>
        <w:rPr>
          <w:b/>
        </w:rPr>
        <w:t xml:space="preserve">Key Finding: </w:t>
      </w:r>
      <w:r>
        <w:t>Under the base-case scenario, Muscat's electricity demand is projected to exceed current and announced capacity by approximately 2,200 GWh by 2040. The high-growth scenario creates a critical gap of ~4,300 GWh. However, significant renewable expansion under Vision 2040 and OPWP's procurement pipeline (Manah complex, Ibri III) substantially reduces this risk if projects are delivered on schedule. Low-growth scenario remains manageable.</w:t>
      </w:r>
    </w:p>
    <w:p/>
    <w:tbl>
      <w:tblPr>
        <w:tblW w:type="auto" w:w="0"/>
        <w:jc w:val="left"/>
        <w:tblLook w:firstColumn="1" w:firstRow="1" w:lastColumn="0" w:lastRow="0" w:noHBand="0" w:noVBand="1" w:val="04A0"/>
      </w:tblPr>
      <w:tblGrid>
        <w:gridCol w:w="9072"/>
      </w:tblGrid>
      <w:tr>
        <w:tc>
          <w:tcPr>
            <w:tcW w:type="dxa" w:w="9638"/>
            <w:shd w:val="clear" w:color="auto" w:fill="1E3A5F"/>
          </w:tcPr>
          <w:p>
            <w:pPr>
              <w:spacing w:before="80" w:after="80"/>
              <w:jc w:val="left"/>
            </w:pPr>
            <w:r>
              <w:rPr>
                <w:b/>
                <w:color w:val="FFFFFF"/>
                <w:sz w:val="22"/>
              </w:rPr>
              <w:t>4. CAPACITY BREAKPOINT YEARS</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563EB"/>
          </w:tcPr>
          <w:p>
            <w:pPr>
              <w:jc w:val="center"/>
            </w:pPr>
            <w:r>
              <w:rPr>
                <w:b/>
                <w:color w:val="FFFFFF"/>
                <w:sz w:val="19"/>
              </w:rPr>
              <w:t>Sector / Scenario</w:t>
            </w:r>
          </w:p>
        </w:tc>
        <w:tc>
          <w:tcPr>
            <w:tcW w:type="dxa" w:w="2268"/>
            <w:shd w:val="clear" w:color="auto" w:fill="2563EB"/>
          </w:tcPr>
          <w:p>
            <w:pPr>
              <w:jc w:val="center"/>
            </w:pPr>
            <w:r>
              <w:rPr>
                <w:b/>
                <w:color w:val="FFFFFF"/>
                <w:sz w:val="19"/>
              </w:rPr>
              <w:t>Base Case</w:t>
            </w:r>
          </w:p>
        </w:tc>
        <w:tc>
          <w:tcPr>
            <w:tcW w:type="dxa" w:w="2268"/>
            <w:shd w:val="clear" w:color="auto" w:fill="2563EB"/>
          </w:tcPr>
          <w:p>
            <w:pPr>
              <w:jc w:val="center"/>
            </w:pPr>
            <w:r>
              <w:rPr>
                <w:b/>
                <w:color w:val="FFFFFF"/>
                <w:sz w:val="19"/>
              </w:rPr>
              <w:t>High Growth</w:t>
            </w:r>
          </w:p>
        </w:tc>
        <w:tc>
          <w:tcPr>
            <w:tcW w:type="dxa" w:w="2268"/>
            <w:shd w:val="clear" w:color="auto" w:fill="2563EB"/>
          </w:tcPr>
          <w:p>
            <w:pPr>
              <w:jc w:val="center"/>
            </w:pPr>
            <w:r>
              <w:rPr>
                <w:b/>
                <w:color w:val="FFFFFF"/>
                <w:sz w:val="19"/>
              </w:rPr>
              <w:t>Low Growth</w:t>
            </w:r>
          </w:p>
        </w:tc>
      </w:tr>
      <w:tr>
        <w:tc>
          <w:tcPr>
            <w:tcW w:type="dxa" w:w="2268"/>
            <w:shd w:val="clear" w:color="auto" w:fill="FFFFFF"/>
          </w:tcPr>
          <w:p>
            <w:pPr>
              <w:jc w:val="center"/>
            </w:pPr>
            <w:r>
              <w:rPr>
                <w:b/>
                <w:sz w:val="19"/>
              </w:rPr>
              <w:t>Healthcare (beds)</w:t>
            </w:r>
          </w:p>
        </w:tc>
        <w:tc>
          <w:tcPr>
            <w:tcW w:type="dxa" w:w="2268"/>
            <w:shd w:val="clear" w:color="auto" w:fill="FFFFFF"/>
          </w:tcPr>
          <w:p>
            <w:pPr>
              <w:jc w:val="center"/>
            </w:pPr>
            <w:r>
              <w:rPr>
                <w:color w:val="DC2626"/>
                <w:sz w:val="19"/>
              </w:rPr>
              <w:t>2026</w:t>
            </w:r>
          </w:p>
        </w:tc>
        <w:tc>
          <w:tcPr>
            <w:tcW w:type="dxa" w:w="2268"/>
            <w:shd w:val="clear" w:color="auto" w:fill="FFFFFF"/>
          </w:tcPr>
          <w:p>
            <w:pPr>
              <w:jc w:val="center"/>
            </w:pPr>
            <w:r>
              <w:rPr>
                <w:color w:val="DC2626"/>
                <w:sz w:val="19"/>
              </w:rPr>
              <w:t>2026</w:t>
            </w:r>
          </w:p>
        </w:tc>
        <w:tc>
          <w:tcPr>
            <w:tcW w:type="dxa" w:w="2268"/>
            <w:shd w:val="clear" w:color="auto" w:fill="FFFFFF"/>
          </w:tcPr>
          <w:p>
            <w:pPr>
              <w:jc w:val="center"/>
            </w:pPr>
            <w:r>
              <w:rPr>
                <w:color w:val="DC2626"/>
                <w:sz w:val="19"/>
              </w:rPr>
              <w:t>2027</w:t>
            </w:r>
          </w:p>
        </w:tc>
      </w:tr>
      <w:tr>
        <w:tc>
          <w:tcPr>
            <w:tcW w:type="dxa" w:w="2268"/>
            <w:shd w:val="clear" w:color="auto" w:fill="FFFFFF"/>
          </w:tcPr>
          <w:p>
            <w:pPr>
              <w:jc w:val="center"/>
            </w:pPr>
            <w:r>
              <w:rPr>
                <w:b/>
                <w:sz w:val="19"/>
              </w:rPr>
              <w:t>Electricity (GWh)</w:t>
            </w:r>
          </w:p>
        </w:tc>
        <w:tc>
          <w:tcPr>
            <w:tcW w:type="dxa" w:w="2268"/>
            <w:shd w:val="clear" w:color="auto" w:fill="FFFFFF"/>
          </w:tcPr>
          <w:p>
            <w:pPr>
              <w:jc w:val="center"/>
            </w:pPr>
            <w:r>
              <w:rPr>
                <w:color w:val="DC2626"/>
                <w:sz w:val="19"/>
              </w:rPr>
              <w:t>2033</w:t>
            </w:r>
          </w:p>
        </w:tc>
        <w:tc>
          <w:tcPr>
            <w:tcW w:type="dxa" w:w="2268"/>
            <w:shd w:val="clear" w:color="auto" w:fill="FFFFFF"/>
          </w:tcPr>
          <w:p>
            <w:pPr>
              <w:jc w:val="center"/>
            </w:pPr>
            <w:r>
              <w:rPr>
                <w:color w:val="DC2626"/>
                <w:sz w:val="19"/>
              </w:rPr>
              <w:t>2030</w:t>
            </w:r>
          </w:p>
        </w:tc>
        <w:tc>
          <w:tcPr>
            <w:tcW w:type="dxa" w:w="2268"/>
            <w:shd w:val="clear" w:color="auto" w:fill="FFFFFF"/>
          </w:tcPr>
          <w:p>
            <w:pPr>
              <w:jc w:val="center"/>
            </w:pPr>
            <w:r>
              <w:rPr>
                <w:sz w:val="19"/>
              </w:rPr>
              <w:t>Not exceeded</w:t>
            </w:r>
          </w:p>
        </w:tc>
      </w:tr>
      <w:tr>
        <w:tc>
          <w:tcPr>
            <w:tcW w:type="dxa" w:w="2268"/>
            <w:shd w:val="clear" w:color="auto" w:fill="FFFFFF"/>
          </w:tcPr>
          <w:p>
            <w:pPr>
              <w:jc w:val="center"/>
            </w:pPr>
            <w:r>
              <w:rPr>
                <w:b/>
                <w:sz w:val="19"/>
              </w:rPr>
              <w:t>Housing (units)</w:t>
            </w:r>
          </w:p>
        </w:tc>
        <w:tc>
          <w:tcPr>
            <w:tcW w:type="dxa" w:w="2268"/>
            <w:shd w:val="clear" w:color="auto" w:fill="FFFFFF"/>
          </w:tcPr>
          <w:p>
            <w:pPr>
              <w:jc w:val="center"/>
            </w:pPr>
            <w:r>
              <w:rPr>
                <w:color w:val="DC2626"/>
                <w:sz w:val="19"/>
              </w:rPr>
              <w:t>2029</w:t>
            </w:r>
          </w:p>
        </w:tc>
        <w:tc>
          <w:tcPr>
            <w:tcW w:type="dxa" w:w="2268"/>
            <w:shd w:val="clear" w:color="auto" w:fill="FFFFFF"/>
          </w:tcPr>
          <w:p>
            <w:pPr>
              <w:jc w:val="center"/>
            </w:pPr>
            <w:r>
              <w:rPr>
                <w:color w:val="DC2626"/>
                <w:sz w:val="19"/>
              </w:rPr>
              <w:t>2027</w:t>
            </w:r>
          </w:p>
        </w:tc>
        <w:tc>
          <w:tcPr>
            <w:tcW w:type="dxa" w:w="2268"/>
            <w:shd w:val="clear" w:color="auto" w:fill="FFFFFF"/>
          </w:tcPr>
          <w:p>
            <w:pPr>
              <w:jc w:val="center"/>
            </w:pPr>
            <w:r>
              <w:rPr>
                <w:color w:val="DC2626"/>
                <w:sz w:val="19"/>
              </w:rPr>
              <w:t>2032</w:t>
            </w:r>
          </w:p>
        </w:tc>
      </w:tr>
    </w:tbl>
    <w:p/>
    <w:tbl>
      <w:tblPr>
        <w:tblW w:type="auto" w:w="0"/>
        <w:jc w:val="left"/>
        <w:tblLook w:firstColumn="1" w:firstRow="1" w:lastColumn="0" w:lastRow="0" w:noHBand="0" w:noVBand="1" w:val="04A0"/>
      </w:tblPr>
      <w:tblGrid>
        <w:gridCol w:w="9072"/>
      </w:tblGrid>
      <w:tr>
        <w:tc>
          <w:tcPr>
            <w:tcW w:type="dxa" w:w="9638"/>
            <w:shd w:val="clear" w:color="auto" w:fill="1E3A5F"/>
          </w:tcPr>
          <w:p>
            <w:pPr>
              <w:spacing w:before="80" w:after="80"/>
              <w:jc w:val="left"/>
            </w:pPr>
            <w:r>
              <w:rPr>
                <w:b/>
                <w:color w:val="FFFFFF"/>
                <w:sz w:val="22"/>
              </w:rPr>
              <w:t>5. THREE RECOMMENDED ACTIONS</w:t>
            </w:r>
          </w:p>
        </w:tc>
      </w:tr>
    </w:tbl>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E8F4FD"/>
          </w:tcPr>
          <w:p>
            <w:pPr>
              <w:spacing w:before="120" w:after="120"/>
            </w:pPr>
            <w:r>
              <w:rPr>
                <w:b/>
                <w:color w:val="2563EB"/>
                <w:sz w:val="21"/>
              </w:rPr>
              <w:t>🏥  1. Accelerate Hospital Bed Expansion</w:t>
              <w:br/>
            </w:r>
            <w:r>
              <w:rPr>
                <w:sz w:val="19"/>
              </w:rPr>
              <w:t>Commission a Muscat-specific hospital master plan targeting 4,000+ additional beds by 2035. Prioritise public-private partnerships for Seeb and Bawshar districts, which will absorb the largest population growth. Include urgent care satellites to reduce Royal Hospital and SQU Hospital congestion.</w:t>
            </w:r>
          </w:p>
        </w:tc>
      </w:tr>
      <w:tr>
        <w:tc>
          <w:tcPr>
            <w:tcW w:type="dxa" w:w="9072"/>
            <w:gridSpan w:val="3"/>
            <w:shd w:val="clear" w:color="auto" w:fill="FFF3E0"/>
          </w:tcPr>
          <w:p>
            <w:pPr>
              <w:spacing w:before="120" w:after="120"/>
            </w:pPr>
            <w:r>
              <w:rPr>
                <w:b/>
                <w:color w:val="D97706"/>
                <w:sz w:val="21"/>
              </w:rPr>
              <w:t>⚡  2. Fast-Track Renewable Capacity in Muscat's Grid</w:t>
              <w:br/>
            </w:r>
            <w:r>
              <w:rPr>
                <w:sz w:val="19"/>
              </w:rPr>
              <w:t>Commit to 1.5 GW of solar + storage capacity allocated specifically to the Muscat Interconnected System by 2030. Integrate rooftop solar mandates for new residential developments. This directly addresses the projected 2,200–4,300 GWh demand-supply gap under base and high-growth scenarios.</w:t>
            </w:r>
          </w:p>
        </w:tc>
      </w:tr>
      <w:tr>
        <w:tc>
          <w:tcPr>
            <w:tcW w:type="dxa" w:w="9072"/>
            <w:gridSpan w:val="3"/>
            <w:shd w:val="clear" w:color="auto" w:fill="E8F5E9"/>
          </w:tcPr>
          <w:p>
            <w:pPr>
              <w:spacing w:before="120" w:after="120"/>
            </w:pPr>
            <w:r>
              <w:rPr>
                <w:b/>
                <w:color w:val="16A34A"/>
                <w:sz w:val="21"/>
              </w:rPr>
              <w:t>📊  3. Establish a Rolling Infrastructure-Population Dashboard</w:t>
              <w:br/>
            </w:r>
            <w:r>
              <w:rPr>
                <w:sz w:val="19"/>
              </w:rPr>
              <w:t>Create a real-time Muscat infrastructure stress index, updating annually with NCSI population data, Ministry of Health bed counts, and OPWP capacity figures. Trigger automatic planning reviews when any sector crosses 85% of designed capacity — approximately 2–3 years before the breakpoint.</w:t>
            </w:r>
          </w:p>
        </w:tc>
      </w:tr>
    </w:tbl>
    <w:p/>
    <w:p>
      <w:pPr>
        <w:spacing w:before="160"/>
      </w:pPr>
      <w:r>
        <w:rPr>
          <w:b/>
        </w:rPr>
        <w:t xml:space="preserve">Data Transparency Note: </w:t>
      </w:r>
      <w:r>
        <w:t>All figures derived from publicly available sources. Population: NCSI Oman (data.gov.om, ncsi.gov.om). Healthcare: Ministry of Health Annual Report 2023. Electricity: Enerdata 2023, OPWP 7-Year Statement, CEIC Data. For full assumptions table and reproducible model, see Technical Appendix and GitHub repository.</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