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E3A5F"/>
          <w:sz w:val="30"/>
        </w:rPr>
        <w:t>MUSCAT 2040: GROWTH &amp; INFRASTRUCTURE CHALLENGE</w:t>
      </w:r>
    </w:p>
    <w:p>
      <w:pPr>
        <w:jc w:val="center"/>
      </w:pPr>
      <w:r>
        <w:rPr>
          <w:b/>
          <w:color w:val="444444"/>
          <w:sz w:val="22"/>
        </w:rPr>
        <w:t>Technical Appendix — Data Sources, Assumptions &amp; Model Methodology</w:t>
      </w:r>
    </w:p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3A5F"/>
          </w:tcPr>
          <w:p>
            <w:pPr>
              <w:spacing w:before="80" w:after="80"/>
            </w:pPr>
            <w:r>
              <w:rPr>
                <w:b/>
                <w:color w:val="FFFFFF"/>
                <w:sz w:val="22"/>
              </w:rPr>
              <w:t>1. DATA SOURCES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Dataset</w:t>
            </w:r>
          </w:p>
        </w:tc>
        <w:tc>
          <w:tcPr>
            <w:tcW w:type="dxa" w:w="2268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Source/Organisation</w:t>
            </w:r>
          </w:p>
        </w:tc>
        <w:tc>
          <w:tcPr>
            <w:tcW w:type="dxa" w:w="2268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Key Data Used</w:t>
            </w:r>
          </w:p>
        </w:tc>
        <w:tc>
          <w:tcPr>
            <w:tcW w:type="dxa" w:w="2268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URL / Access</w:t>
            </w:r>
          </w:p>
        </w:tc>
      </w:tr>
      <w:tr>
        <w:tc>
          <w:tcPr>
            <w:tcW w:type="dxa" w:w="2268"/>
            <w:shd w:val="clear" w:color="auto" w:fill="F8FAFC"/>
          </w:tcPr>
          <w:p>
            <w:pPr>
              <w:jc w:val="left"/>
            </w:pPr>
            <w:r>
              <w:rPr>
                <w:b/>
                <w:sz w:val="19"/>
              </w:rPr>
              <w:t>NCSI Population Clock &amp; Bulletins</w:t>
            </w:r>
          </w:p>
        </w:tc>
        <w:tc>
          <w:tcPr>
            <w:tcW w:type="dxa" w:w="2268"/>
            <w:shd w:val="clear" w:color="auto" w:fill="F8FAFC"/>
          </w:tcPr>
          <w:p>
            <w:pPr>
              <w:jc w:val="left"/>
            </w:pPr>
            <w:r>
              <w:rPr>
                <w:sz w:val="19"/>
              </w:rPr>
              <w:t>National Centre for Statistics and Information, Oman</w:t>
            </w:r>
          </w:p>
        </w:tc>
        <w:tc>
          <w:tcPr>
            <w:tcW w:type="dxa" w:w="2268"/>
            <w:shd w:val="clear" w:color="auto" w:fill="F8FAFC"/>
          </w:tcPr>
          <w:p>
            <w:pPr>
              <w:jc w:val="left"/>
            </w:pPr>
            <w:r>
              <w:rPr>
                <w:sz w:val="19"/>
              </w:rPr>
              <w:t>End-2023: 1,546,667 (Muscat). Growth rate 2022-2023: +2.5%</w:t>
            </w:r>
          </w:p>
        </w:tc>
        <w:tc>
          <w:tcPr>
            <w:tcW w:type="dxa" w:w="2268"/>
            <w:shd w:val="clear" w:color="auto" w:fill="F8FAFC"/>
          </w:tcPr>
          <w:p>
            <w:pPr>
              <w:jc w:val="left"/>
            </w:pPr>
            <w:r>
              <w:rPr>
                <w:sz w:val="19"/>
              </w:rPr>
              <w:t>https://www.ncsi.gov.om / https://data.gov.om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left"/>
            </w:pPr>
            <w:r>
              <w:rPr>
                <w:b/>
                <w:sz w:val="19"/>
              </w:rPr>
              <w:t>Statistical Yearbook 2024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NCSI Oman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Historical population by governorate 2021–2023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https://www.ncsi.gov.om/Pages/Publications.aspx</w:t>
            </w:r>
          </w:p>
        </w:tc>
      </w:tr>
      <w:tr>
        <w:tc>
          <w:tcPr>
            <w:tcW w:type="dxa" w:w="2268"/>
            <w:shd w:val="clear" w:color="auto" w:fill="F8FAFC"/>
          </w:tcPr>
          <w:p>
            <w:pPr>
              <w:jc w:val="left"/>
            </w:pPr>
            <w:r>
              <w:rPr>
                <w:b/>
                <w:sz w:val="19"/>
              </w:rPr>
              <w:t>Ministry of Health Annual Report 2023</w:t>
            </w:r>
          </w:p>
        </w:tc>
        <w:tc>
          <w:tcPr>
            <w:tcW w:type="dxa" w:w="2268"/>
            <w:shd w:val="clear" w:color="auto" w:fill="F8FAFC"/>
          </w:tcPr>
          <w:p>
            <w:pPr>
              <w:jc w:val="left"/>
            </w:pPr>
            <w:r>
              <w:rPr>
                <w:sz w:val="19"/>
              </w:rPr>
              <w:t>Oman Ministry of Health (via ONA, Aug 2024)</w:t>
            </w:r>
          </w:p>
        </w:tc>
        <w:tc>
          <w:tcPr>
            <w:tcW w:type="dxa" w:w="2268"/>
            <w:shd w:val="clear" w:color="auto" w:fill="F8FAFC"/>
          </w:tcPr>
          <w:p>
            <w:pPr>
              <w:jc w:val="left"/>
            </w:pPr>
            <w:r>
              <w:rPr>
                <w:sz w:val="19"/>
              </w:rPr>
              <w:t>92 hospitals, 7,691 beds, 14.9 beds/10,000, 265 health institutions</w:t>
            </w:r>
          </w:p>
        </w:tc>
        <w:tc>
          <w:tcPr>
            <w:tcW w:type="dxa" w:w="2268"/>
            <w:shd w:val="clear" w:color="auto" w:fill="F8FAFC"/>
          </w:tcPr>
          <w:p>
            <w:pPr>
              <w:jc w:val="left"/>
            </w:pPr>
            <w:r>
              <w:rPr>
                <w:sz w:val="19"/>
              </w:rPr>
              <w:t>https://www.moh.gov.om/en/web/statistics/annual-reports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left"/>
            </w:pPr>
            <w:r>
              <w:rPr>
                <w:b/>
                <w:sz w:val="19"/>
              </w:rPr>
              <w:t>Electricity Consumption Data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NCSI via CEIC Data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39,296 GWh national consumption (2023)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https://www.ceicdata.com/en/oman/electricity-consumption</w:t>
            </w:r>
          </w:p>
        </w:tc>
      </w:tr>
      <w:tr>
        <w:tc>
          <w:tcPr>
            <w:tcW w:type="dxa" w:w="2268"/>
            <w:shd w:val="clear" w:color="auto" w:fill="F8FAFC"/>
          </w:tcPr>
          <w:p>
            <w:pPr>
              <w:jc w:val="left"/>
            </w:pPr>
            <w:r>
              <w:rPr>
                <w:b/>
                <w:sz w:val="19"/>
              </w:rPr>
              <w:t>Oman Energy Country Profile 2023</w:t>
            </w:r>
          </w:p>
        </w:tc>
        <w:tc>
          <w:tcPr>
            <w:tcW w:type="dxa" w:w="2268"/>
            <w:shd w:val="clear" w:color="auto" w:fill="F8FAFC"/>
          </w:tcPr>
          <w:p>
            <w:pPr>
              <w:jc w:val="left"/>
            </w:pPr>
            <w:r>
              <w:rPr>
                <w:sz w:val="19"/>
              </w:rPr>
              <w:t>Enerdata</w:t>
            </w:r>
          </w:p>
        </w:tc>
        <w:tc>
          <w:tcPr>
            <w:tcW w:type="dxa" w:w="2268"/>
            <w:shd w:val="clear" w:color="auto" w:fill="F8FAFC"/>
          </w:tcPr>
          <w:p>
            <w:pPr>
              <w:jc w:val="left"/>
            </w:pPr>
            <w:r>
              <w:rPr>
                <w:sz w:val="19"/>
              </w:rPr>
              <w:t>8.5 MWh per capita electricity; 7% annual demand growth</w:t>
            </w:r>
          </w:p>
        </w:tc>
        <w:tc>
          <w:tcPr>
            <w:tcW w:type="dxa" w:w="2268"/>
            <w:shd w:val="clear" w:color="auto" w:fill="F8FAFC"/>
          </w:tcPr>
          <w:p>
            <w:pPr>
              <w:jc w:val="left"/>
            </w:pPr>
            <w:r>
              <w:rPr>
                <w:sz w:val="19"/>
              </w:rPr>
              <w:t>https://www.enerdata.net/estore/country-profiles/oman.html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left"/>
            </w:pPr>
            <w:r>
              <w:rPr>
                <w:b/>
                <w:sz w:val="19"/>
              </w:rPr>
              <w:t>OPWP 7-Year Statement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Oman Power &amp; Water Procurement Company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Peak demand MIS: 12,198 MW by 2031; 7.2% annual growth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https://rise.esmap.org (2018–2024 edition)</w:t>
            </w:r>
          </w:p>
        </w:tc>
      </w:tr>
      <w:tr>
        <w:tc>
          <w:tcPr>
            <w:tcW w:type="dxa" w:w="2268"/>
            <w:shd w:val="clear" w:color="auto" w:fill="F8FAFC"/>
          </w:tcPr>
          <w:p>
            <w:pPr>
              <w:jc w:val="left"/>
            </w:pPr>
            <w:r>
              <w:rPr>
                <w:b/>
                <w:sz w:val="19"/>
              </w:rPr>
              <w:t>Oman Power Market Analysis</w:t>
            </w:r>
          </w:p>
        </w:tc>
        <w:tc>
          <w:tcPr>
            <w:tcW w:type="dxa" w:w="2268"/>
            <w:shd w:val="clear" w:color="auto" w:fill="F8FAFC"/>
          </w:tcPr>
          <w:p>
            <w:pPr>
              <w:jc w:val="left"/>
            </w:pPr>
            <w:r>
              <w:rPr>
                <w:sz w:val="19"/>
              </w:rPr>
              <w:t>Mordor Intelligence, 2025</w:t>
            </w:r>
          </w:p>
        </w:tc>
        <w:tc>
          <w:tcPr>
            <w:tcW w:type="dxa" w:w="2268"/>
            <w:shd w:val="clear" w:color="auto" w:fill="F8FAFC"/>
          </w:tcPr>
          <w:p>
            <w:pPr>
              <w:jc w:val="left"/>
            </w:pPr>
            <w:r>
              <w:rPr>
                <w:sz w:val="19"/>
              </w:rPr>
              <w:t>Manah I+II 1GW online Jan 2025; Ibri III 500MW PPA 2024</w:t>
            </w:r>
          </w:p>
        </w:tc>
        <w:tc>
          <w:tcPr>
            <w:tcW w:type="dxa" w:w="2268"/>
            <w:shd w:val="clear" w:color="auto" w:fill="F8FAFC"/>
          </w:tcPr>
          <w:p>
            <w:pPr>
              <w:jc w:val="left"/>
            </w:pPr>
            <w:r>
              <w:rPr>
                <w:sz w:val="19"/>
              </w:rPr>
              <w:t>https://www.mordorintelligence.com/industry-reports/oman-power-market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left"/>
            </w:pPr>
            <w:r>
              <w:rPr>
                <w:b/>
                <w:sz w:val="19"/>
              </w:rPr>
              <w:t>WHO Global Health Observatory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World Health Organization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Benchmark: 2.5 hospital beds per 1,000 population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https://www.who.int/data/gho</w:t>
            </w:r>
          </w:p>
        </w:tc>
      </w:tr>
      <w:tr>
        <w:tc>
          <w:tcPr>
            <w:tcW w:type="dxa" w:w="2268"/>
            <w:shd w:val="clear" w:color="auto" w:fill="F8FAFC"/>
          </w:tcPr>
          <w:p>
            <w:pPr>
              <w:jc w:val="left"/>
            </w:pPr>
            <w:r>
              <w:rPr>
                <w:b/>
                <w:sz w:val="19"/>
              </w:rPr>
              <w:t>Population by Governorate 2021–2023</w:t>
            </w:r>
          </w:p>
        </w:tc>
        <w:tc>
          <w:tcPr>
            <w:tcW w:type="dxa" w:w="2268"/>
            <w:shd w:val="clear" w:color="auto" w:fill="F8FAFC"/>
          </w:tcPr>
          <w:p>
            <w:pPr>
              <w:jc w:val="left"/>
            </w:pPr>
            <w:r>
              <w:rPr>
                <w:sz w:val="19"/>
              </w:rPr>
              <w:t>GLMM / Gulf Migration</w:t>
            </w:r>
          </w:p>
        </w:tc>
        <w:tc>
          <w:tcPr>
            <w:tcW w:type="dxa" w:w="2268"/>
            <w:shd w:val="clear" w:color="auto" w:fill="F8FAFC"/>
          </w:tcPr>
          <w:p>
            <w:pPr>
              <w:jc w:val="left"/>
            </w:pPr>
            <w:r>
              <w:rPr>
                <w:sz w:val="19"/>
              </w:rPr>
              <w:t>Nationality breakdown (Omani vs expat) by governorate</w:t>
            </w:r>
          </w:p>
        </w:tc>
        <w:tc>
          <w:tcPr>
            <w:tcW w:type="dxa" w:w="2268"/>
            <w:shd w:val="clear" w:color="auto" w:fill="F8FAFC"/>
          </w:tcPr>
          <w:p>
            <w:pPr>
              <w:jc w:val="left"/>
            </w:pPr>
            <w:r>
              <w:rPr>
                <w:sz w:val="19"/>
              </w:rPr>
              <w:t>https://gulfmigration.grc.net/oman-population-2021-2023/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left"/>
            </w:pPr>
            <w:r>
              <w:rPr>
                <w:b/>
                <w:sz w:val="19"/>
              </w:rPr>
              <w:t>Health System Performance Assessment, Oman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PMC / Ministry of Health, 2024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Oman population 4.9M (2023); healthcare policy context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https://pmc.ncbi.nlm.nih.gov/articles/PMC11197650/</w:t>
            </w:r>
          </w:p>
        </w:tc>
      </w:tr>
      <w:tr>
        <w:tc>
          <w:tcPr>
            <w:tcW w:type="dxa" w:w="2268"/>
            <w:shd w:val="clear" w:color="auto" w:fill="F8FAFC"/>
          </w:tcPr>
          <w:p>
            <w:pPr>
              <w:jc w:val="left"/>
            </w:pPr>
            <w:r>
              <w:rPr>
                <w:b/>
                <w:sz w:val="19"/>
              </w:rPr>
              <w:t>Oman Census 2020 (e-Census)</w:t>
            </w:r>
          </w:p>
        </w:tc>
        <w:tc>
          <w:tcPr>
            <w:tcW w:type="dxa" w:w="2268"/>
            <w:shd w:val="clear" w:color="auto" w:fill="F8FAFC"/>
          </w:tcPr>
          <w:p>
            <w:pPr>
              <w:jc w:val="left"/>
            </w:pPr>
            <w:r>
              <w:rPr>
                <w:sz w:val="19"/>
              </w:rPr>
              <w:t>NCSI Oman</w:t>
            </w:r>
          </w:p>
        </w:tc>
        <w:tc>
          <w:tcPr>
            <w:tcW w:type="dxa" w:w="2268"/>
            <w:shd w:val="clear" w:color="auto" w:fill="F8FAFC"/>
          </w:tcPr>
          <w:p>
            <w:pPr>
              <w:jc w:val="left"/>
            </w:pPr>
            <w:r>
              <w:rPr>
                <w:sz w:val="19"/>
              </w:rPr>
              <w:t>Average household size: ~5.3 persons</w:t>
            </w:r>
          </w:p>
        </w:tc>
        <w:tc>
          <w:tcPr>
            <w:tcW w:type="dxa" w:w="2268"/>
            <w:shd w:val="clear" w:color="auto" w:fill="F8FAFC"/>
          </w:tcPr>
          <w:p>
            <w:pPr>
              <w:jc w:val="left"/>
            </w:pPr>
            <w:r>
              <w:rPr>
                <w:sz w:val="19"/>
              </w:rPr>
              <w:t>https://www.ncsi.gov.om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left"/>
            </w:pPr>
            <w:r>
              <w:rPr>
                <w:b/>
                <w:sz w:val="19"/>
              </w:rPr>
              <w:t>MoH Hospital Expansion Announcement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Grokipedia / MoH 2025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9 new hospitals, 1,660+ beds by 2030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https://grokipedia.com/page/List_of_hospitals_in_Oman</w:t>
            </w:r>
          </w:p>
        </w:tc>
      </w:tr>
    </w:tbl>
    <w:p/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3A5F"/>
          </w:tcPr>
          <w:p>
            <w:pPr>
              <w:spacing w:before="80" w:after="80"/>
            </w:pPr>
            <w:r>
              <w:rPr>
                <w:b/>
                <w:color w:val="FFFFFF"/>
                <w:sz w:val="22"/>
              </w:rPr>
              <w:t>2. ASSUMPTIONS TABLE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Parameter</w:t>
            </w:r>
          </w:p>
        </w:tc>
        <w:tc>
          <w:tcPr>
            <w:tcW w:type="dxa" w:w="3024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Value Used</w:t>
            </w:r>
          </w:p>
        </w:tc>
        <w:tc>
          <w:tcPr>
            <w:tcW w:type="dxa" w:w="3024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Justification / Source</w:t>
            </w:r>
          </w:p>
        </w:tc>
      </w:tr>
      <w:tr>
        <w:tc>
          <w:tcPr>
            <w:tcW w:type="dxa" w:w="3024"/>
            <w:shd w:val="clear" w:color="auto" w:fill="F8FAFC"/>
          </w:tcPr>
          <w:p>
            <w:pPr>
              <w:jc w:val="left"/>
            </w:pPr>
            <w:r>
              <w:rPr>
                <w:b/>
                <w:sz w:val="19"/>
              </w:rPr>
              <w:t>2024 Baseline Population (Muscat)</w:t>
            </w:r>
          </w:p>
        </w:tc>
        <w:tc>
          <w:tcPr>
            <w:tcW w:type="dxa" w:w="3024"/>
            <w:shd w:val="clear" w:color="auto" w:fill="F8FAFC"/>
          </w:tcPr>
          <w:p>
            <w:pPr>
              <w:jc w:val="left"/>
            </w:pPr>
            <w:r>
              <w:rPr>
                <w:sz w:val="19"/>
              </w:rPr>
              <w:t>1.57M</w:t>
            </w:r>
          </w:p>
        </w:tc>
        <w:tc>
          <w:tcPr>
            <w:tcW w:type="dxa" w:w="3024"/>
            <w:shd w:val="clear" w:color="auto" w:fill="F8FAFC"/>
          </w:tcPr>
          <w:p>
            <w:pPr>
              <w:jc w:val="left"/>
            </w:pPr>
            <w:r>
              <w:rPr>
                <w:sz w:val="19"/>
              </w:rPr>
              <w:t>NCSI end-2023: 1,546,667. One year forward extrapolation at 2.5%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b/>
                <w:sz w:val="19"/>
              </w:rPr>
              <w:t>Base Case Growth Rate</w:t>
            </w:r>
          </w:p>
        </w:tc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2.8% CAGR</w:t>
            </w:r>
          </w:p>
        </w:tc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NCSI Q3 2023 bulletin: Muscat grew 2.5% in 2022-2023; slightly elevated for expat recovery</w:t>
            </w:r>
          </w:p>
        </w:tc>
      </w:tr>
      <w:tr>
        <w:tc>
          <w:tcPr>
            <w:tcW w:type="dxa" w:w="3024"/>
            <w:shd w:val="clear" w:color="auto" w:fill="F8FAFC"/>
          </w:tcPr>
          <w:p>
            <w:pPr>
              <w:jc w:val="left"/>
            </w:pPr>
            <w:r>
              <w:rPr>
                <w:b/>
                <w:sz w:val="19"/>
              </w:rPr>
              <w:t>High Growth Rate</w:t>
            </w:r>
          </w:p>
        </w:tc>
        <w:tc>
          <w:tcPr>
            <w:tcW w:type="dxa" w:w="3024"/>
            <w:shd w:val="clear" w:color="auto" w:fill="F8FAFC"/>
          </w:tcPr>
          <w:p>
            <w:pPr>
              <w:jc w:val="left"/>
            </w:pPr>
            <w:r>
              <w:rPr>
                <w:sz w:val="19"/>
              </w:rPr>
              <w:t>4.2% CAGR</w:t>
            </w:r>
          </w:p>
        </w:tc>
        <w:tc>
          <w:tcPr>
            <w:tcW w:type="dxa" w:w="3024"/>
            <w:shd w:val="clear" w:color="auto" w:fill="F8FAFC"/>
          </w:tcPr>
          <w:p>
            <w:pPr>
              <w:jc w:val="left"/>
            </w:pPr>
            <w:r>
              <w:rPr>
                <w:sz w:val="19"/>
              </w:rPr>
              <w:t>Aligns with Oman Vision 2040 GDP growth targets (avg 3–5%/yr); expat influx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b/>
                <w:sz w:val="19"/>
              </w:rPr>
              <w:t>Low Growth Rate</w:t>
            </w:r>
          </w:p>
        </w:tc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1.5% CAGR</w:t>
            </w:r>
          </w:p>
        </w:tc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Omanization policies reducing expat share; below-trend economic growth</w:t>
            </w:r>
          </w:p>
        </w:tc>
      </w:tr>
      <w:tr>
        <w:tc>
          <w:tcPr>
            <w:tcW w:type="dxa" w:w="3024"/>
            <w:shd w:val="clear" w:color="auto" w:fill="F8FAFC"/>
          </w:tcPr>
          <w:p>
            <w:pPr>
              <w:jc w:val="left"/>
            </w:pPr>
            <w:r>
              <w:rPr>
                <w:b/>
                <w:sz w:val="19"/>
              </w:rPr>
              <w:t>Expatriate Share</w:t>
            </w:r>
          </w:p>
        </w:tc>
        <w:tc>
          <w:tcPr>
            <w:tcW w:type="dxa" w:w="3024"/>
            <w:shd w:val="clear" w:color="auto" w:fill="F8FAFC"/>
          </w:tcPr>
          <w:p>
            <w:pPr>
              <w:jc w:val="left"/>
            </w:pPr>
            <w:r>
              <w:rPr>
                <w:sz w:val="19"/>
              </w:rPr>
              <w:t>58%</w:t>
            </w:r>
          </w:p>
        </w:tc>
        <w:tc>
          <w:tcPr>
            <w:tcW w:type="dxa" w:w="3024"/>
            <w:shd w:val="clear" w:color="auto" w:fill="F8FAFC"/>
          </w:tcPr>
          <w:p>
            <w:pPr>
              <w:jc w:val="left"/>
            </w:pPr>
            <w:r>
              <w:rPr>
                <w:sz w:val="19"/>
              </w:rPr>
              <w:t>NCSI 2023: 900,237 expats out of 1,473,624 Muscat residents = 61%; rounded to 58% conservative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b/>
                <w:sz w:val="19"/>
              </w:rPr>
              <w:t>Hospital beds benchmark</w:t>
            </w:r>
          </w:p>
        </w:tc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2.5 / 1,000</w:t>
            </w:r>
          </w:p>
        </w:tc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WHO Global Health Observatory minimum recommended ratio</w:t>
            </w:r>
          </w:p>
        </w:tc>
      </w:tr>
      <w:tr>
        <w:tc>
          <w:tcPr>
            <w:tcW w:type="dxa" w:w="3024"/>
            <w:shd w:val="clear" w:color="auto" w:fill="F8FAFC"/>
          </w:tcPr>
          <w:p>
            <w:pPr>
              <w:jc w:val="left"/>
            </w:pPr>
            <w:r>
              <w:rPr>
                <w:b/>
                <w:sz w:val="19"/>
              </w:rPr>
              <w:t>Muscat share of national beds</w:t>
            </w:r>
          </w:p>
        </w:tc>
        <w:tc>
          <w:tcPr>
            <w:tcW w:type="dxa" w:w="3024"/>
            <w:shd w:val="clear" w:color="auto" w:fill="F8FAFC"/>
          </w:tcPr>
          <w:p>
            <w:pPr>
              <w:jc w:val="left"/>
            </w:pPr>
            <w:r>
              <w:rPr>
                <w:sz w:val="19"/>
              </w:rPr>
              <w:t>38%</w:t>
            </w:r>
          </w:p>
        </w:tc>
        <w:tc>
          <w:tcPr>
            <w:tcW w:type="dxa" w:w="3024"/>
            <w:shd w:val="clear" w:color="auto" w:fill="F8FAFC"/>
          </w:tcPr>
          <w:p>
            <w:pPr>
              <w:jc w:val="left"/>
            </w:pPr>
            <w:r>
              <w:rPr>
                <w:sz w:val="19"/>
              </w:rPr>
              <w:t>Proportional to Muscat population share (~29.7%). Premium applied for urban concentration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b/>
                <w:sz w:val="19"/>
              </w:rPr>
              <w:t>National hospital beds (2023)</w:t>
            </w:r>
          </w:p>
        </w:tc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7,691</w:t>
            </w:r>
          </w:p>
        </w:tc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Ministry of Health Annual Report 2023</w:t>
            </w:r>
          </w:p>
        </w:tc>
      </w:tr>
      <w:tr>
        <w:tc>
          <w:tcPr>
            <w:tcW w:type="dxa" w:w="3024"/>
            <w:shd w:val="clear" w:color="auto" w:fill="F8FAFC"/>
          </w:tcPr>
          <w:p>
            <w:pPr>
              <w:jc w:val="left"/>
            </w:pPr>
            <w:r>
              <w:rPr>
                <w:b/>
                <w:sz w:val="19"/>
              </w:rPr>
              <w:t>Muscat estimated beds (2024)</w:t>
            </w:r>
          </w:p>
        </w:tc>
        <w:tc>
          <w:tcPr>
            <w:tcW w:type="dxa" w:w="3024"/>
            <w:shd w:val="clear" w:color="auto" w:fill="F8FAFC"/>
          </w:tcPr>
          <w:p>
            <w:pPr>
              <w:jc w:val="left"/>
            </w:pPr>
            <w:r>
              <w:rPr>
                <w:sz w:val="19"/>
              </w:rPr>
              <w:t>~2,922</w:t>
            </w:r>
          </w:p>
        </w:tc>
        <w:tc>
          <w:tcPr>
            <w:tcW w:type="dxa" w:w="3024"/>
            <w:shd w:val="clear" w:color="auto" w:fill="F8FAFC"/>
          </w:tcPr>
          <w:p>
            <w:pPr>
              <w:jc w:val="left"/>
            </w:pPr>
            <w:r>
              <w:rPr>
                <w:sz w:val="19"/>
              </w:rPr>
              <w:t>7,691 × 38%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b/>
                <w:sz w:val="19"/>
              </w:rPr>
              <w:t>Planned new beds nationally by 2030</w:t>
            </w:r>
          </w:p>
        </w:tc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1,660</w:t>
            </w:r>
          </w:p>
        </w:tc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MoH 9-hospital initiative announced March 2025</w:t>
            </w:r>
          </w:p>
        </w:tc>
      </w:tr>
      <w:tr>
        <w:tc>
          <w:tcPr>
            <w:tcW w:type="dxa" w:w="3024"/>
            <w:shd w:val="clear" w:color="auto" w:fill="F8FAFC"/>
          </w:tcPr>
          <w:p>
            <w:pPr>
              <w:jc w:val="left"/>
            </w:pPr>
            <w:r>
              <w:rPr>
                <w:b/>
                <w:sz w:val="19"/>
              </w:rPr>
              <w:t>Muscat share of new beds</w:t>
            </w:r>
          </w:p>
        </w:tc>
        <w:tc>
          <w:tcPr>
            <w:tcW w:type="dxa" w:w="3024"/>
            <w:shd w:val="clear" w:color="auto" w:fill="F8FAFC"/>
          </w:tcPr>
          <w:p>
            <w:pPr>
              <w:jc w:val="left"/>
            </w:pPr>
            <w:r>
              <w:rPr>
                <w:sz w:val="19"/>
              </w:rPr>
              <w:t>~630</w:t>
            </w:r>
          </w:p>
        </w:tc>
        <w:tc>
          <w:tcPr>
            <w:tcW w:type="dxa" w:w="3024"/>
            <w:shd w:val="clear" w:color="auto" w:fill="F8FAFC"/>
          </w:tcPr>
          <w:p>
            <w:pPr>
              <w:jc w:val="left"/>
            </w:pPr>
            <w:r>
              <w:rPr>
                <w:sz w:val="19"/>
              </w:rPr>
              <w:t>1,660 × 38%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b/>
                <w:sz w:val="19"/>
              </w:rPr>
              <w:t>Per capita electricity (Oman 2023)</w:t>
            </w:r>
          </w:p>
        </w:tc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8.5 MWh/yr</w:t>
            </w:r>
          </w:p>
        </w:tc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Enerdata Country Profile 2023</w:t>
            </w:r>
          </w:p>
        </w:tc>
      </w:tr>
      <w:tr>
        <w:tc>
          <w:tcPr>
            <w:tcW w:type="dxa" w:w="3024"/>
            <w:shd w:val="clear" w:color="auto" w:fill="F8FAFC"/>
          </w:tcPr>
          <w:p>
            <w:pPr>
              <w:jc w:val="left"/>
            </w:pPr>
            <w:r>
              <w:rPr>
                <w:b/>
                <w:sz w:val="19"/>
              </w:rPr>
              <w:t>Annual electricity demand growth</w:t>
            </w:r>
          </w:p>
        </w:tc>
        <w:tc>
          <w:tcPr>
            <w:tcW w:type="dxa" w:w="3024"/>
            <w:shd w:val="clear" w:color="auto" w:fill="F8FAFC"/>
          </w:tcPr>
          <w:p>
            <w:pPr>
              <w:jc w:val="left"/>
            </w:pPr>
            <w:r>
              <w:rPr>
                <w:sz w:val="19"/>
              </w:rPr>
              <w:t>7.0%</w:t>
            </w:r>
          </w:p>
        </w:tc>
        <w:tc>
          <w:tcPr>
            <w:tcW w:type="dxa" w:w="3024"/>
            <w:shd w:val="clear" w:color="auto" w:fill="F8FAFC"/>
          </w:tcPr>
          <w:p>
            <w:pPr>
              <w:jc w:val="left"/>
            </w:pPr>
            <w:r>
              <w:rPr>
                <w:sz w:val="19"/>
              </w:rPr>
              <w:t>OPWP historical MIS average; used as demand growth proxy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b/>
                <w:sz w:val="19"/>
              </w:rPr>
              <w:t>Muscat share of national electricity</w:t>
            </w:r>
          </w:p>
        </w:tc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35%</w:t>
            </w:r>
          </w:p>
        </w:tc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Estimated from population share + urban premium</w:t>
            </w:r>
          </w:p>
        </w:tc>
      </w:tr>
      <w:tr>
        <w:tc>
          <w:tcPr>
            <w:tcW w:type="dxa" w:w="3024"/>
            <w:shd w:val="clear" w:color="auto" w:fill="F8FAFC"/>
          </w:tcPr>
          <w:p>
            <w:pPr>
              <w:jc w:val="left"/>
            </w:pPr>
            <w:r>
              <w:rPr>
                <w:b/>
                <w:sz w:val="19"/>
              </w:rPr>
              <w:t>National electricity consumption (2023)</w:t>
            </w:r>
          </w:p>
        </w:tc>
        <w:tc>
          <w:tcPr>
            <w:tcW w:type="dxa" w:w="3024"/>
            <w:shd w:val="clear" w:color="auto" w:fill="F8FAFC"/>
          </w:tcPr>
          <w:p>
            <w:pPr>
              <w:jc w:val="left"/>
            </w:pPr>
            <w:r>
              <w:rPr>
                <w:sz w:val="19"/>
              </w:rPr>
              <w:t>39,296 GWh</w:t>
            </w:r>
          </w:p>
        </w:tc>
        <w:tc>
          <w:tcPr>
            <w:tcW w:type="dxa" w:w="3024"/>
            <w:shd w:val="clear" w:color="auto" w:fill="F8FAFC"/>
          </w:tcPr>
          <w:p>
            <w:pPr>
              <w:jc w:val="left"/>
            </w:pPr>
            <w:r>
              <w:rPr>
                <w:sz w:val="19"/>
              </w:rPr>
              <w:t>NCSI via CEIC Data 2023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b/>
                <w:sz w:val="19"/>
              </w:rPr>
              <w:t>Average household size</w:t>
            </w:r>
          </w:p>
        </w:tc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5.0 persons</w:t>
            </w:r>
          </w:p>
        </w:tc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Oman 2020 Census: 5.3; urbanisation reduces this over time</w:t>
            </w:r>
          </w:p>
        </w:tc>
      </w:tr>
      <w:tr>
        <w:tc>
          <w:tcPr>
            <w:tcW w:type="dxa" w:w="3024"/>
            <w:shd w:val="clear" w:color="auto" w:fill="F8FAFC"/>
          </w:tcPr>
          <w:p>
            <w:pPr>
              <w:jc w:val="left"/>
            </w:pPr>
            <w:r>
              <w:rPr>
                <w:b/>
                <w:sz w:val="19"/>
              </w:rPr>
              <w:t>Forecast horizon</w:t>
            </w:r>
          </w:p>
        </w:tc>
        <w:tc>
          <w:tcPr>
            <w:tcW w:type="dxa" w:w="3024"/>
            <w:shd w:val="clear" w:color="auto" w:fill="F8FAFC"/>
          </w:tcPr>
          <w:p>
            <w:pPr>
              <w:jc w:val="left"/>
            </w:pPr>
            <w:r>
              <w:rPr>
                <w:sz w:val="19"/>
              </w:rPr>
              <w:t>2024–2040</w:t>
            </w:r>
          </w:p>
        </w:tc>
        <w:tc>
          <w:tcPr>
            <w:tcW w:type="dxa" w:w="3024"/>
            <w:shd w:val="clear" w:color="auto" w:fill="F8FAFC"/>
          </w:tcPr>
          <w:p>
            <w:pPr>
              <w:jc w:val="left"/>
            </w:pPr>
            <w:r>
              <w:rPr>
                <w:sz w:val="19"/>
              </w:rPr>
              <w:t>16-year horizon as per challenge specification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b/>
                <w:sz w:val="19"/>
              </w:rPr>
              <w:t>Geographic scope</w:t>
            </w:r>
          </w:p>
        </w:tc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Muscat Governorate</w:t>
            </w:r>
          </w:p>
        </w:tc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6 wilayat: Muscat, Muttrah, Seeb, Bawshar, Al Amerat, Qurayyat</w:t>
            </w:r>
          </w:p>
        </w:tc>
      </w:tr>
    </w:tbl>
    <w:p>
      <w:r>
        <w:br w:type="page"/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3A5F"/>
          </w:tcPr>
          <w:p>
            <w:pPr>
              <w:spacing w:before="80" w:after="80"/>
            </w:pPr>
            <w:r>
              <w:rPr>
                <w:b/>
                <w:color w:val="FFFFFF"/>
                <w:sz w:val="22"/>
              </w:rPr>
              <w:t>3. CALCULATION METHODOLOGY</w:t>
            </w:r>
          </w:p>
        </w:tc>
      </w:tr>
    </w:tbl>
    <w:p/>
    <w:p>
      <w:pPr>
        <w:pStyle w:val="Heading2"/>
      </w:pPr>
      <w:r>
        <w:rPr>
          <w:color w:val="1E3A5F"/>
        </w:rPr>
        <w:t>Population Projections</w:t>
      </w:r>
    </w:p>
    <w:p>
      <w:pPr>
        <w:spacing w:after="200"/>
      </w:pPr>
      <w:r>
        <w:t>Formula: Pₜ = P₀ × (1 + r)^(t - 2024)</w:t>
        <w:br/>
        <w:t>Where: P₀ = 1.57M (2024 baseline), r = growth rate, t = target year</w:t>
        <w:br/>
        <w:br/>
        <w:t>Three scenarios use different values of r:</w:t>
        <w:br/>
        <w:t xml:space="preserve">  • Base: r = 0.028 (2.8% per annum)</w:t>
        <w:br/>
        <w:t xml:space="preserve">  • High: r = 0.042 (4.2% per annum)</w:t>
        <w:br/>
        <w:t xml:space="preserve">  • Low:  r = 0.015 (1.5% per annum)</w:t>
        <w:br/>
        <w:br/>
        <w:t>Compound growth is applied annually from 2024 to 2040 (16 steps).</w:t>
      </w:r>
    </w:p>
    <w:p>
      <w:pPr>
        <w:pStyle w:val="Heading2"/>
      </w:pPr>
      <w:r>
        <w:rPr>
          <w:color w:val="1E3A5F"/>
        </w:rPr>
        <w:t>Healthcare Demand</w:t>
      </w:r>
    </w:p>
    <w:p>
      <w:pPr>
        <w:spacing w:after="200"/>
      </w:pPr>
      <w:r>
        <w:t>Formula: Beds_needed(t) = P(t) × beds_per_1000 × 1,000</w:t>
        <w:br/>
        <w:t>Where beds_per_1000 = 2.5 (WHO benchmark, adjustable in model)</w:t>
        <w:br/>
        <w:br/>
        <w:t>Capacity timeline:</w:t>
        <w:br/>
        <w:t xml:space="preserve">  • 2024–2027: ~2,922 beds (current Muscat estimate)</w:t>
        <w:br/>
        <w:t xml:space="preserve">  • 2028–2040: ~3,552 beds (+ 630 from 2025 MoH announcement, allocated 2028)</w:t>
        <w:br/>
        <w:br/>
        <w:t>Gap = Beds_needed(t) − Capacity(t)</w:t>
        <w:br/>
        <w:t>Breakpoint = first year where Gap &gt; 0</w:t>
      </w:r>
    </w:p>
    <w:p>
      <w:pPr>
        <w:pStyle w:val="Heading2"/>
      </w:pPr>
      <w:r>
        <w:rPr>
          <w:color w:val="1E3A5F"/>
        </w:rPr>
        <w:t>Electricity Demand</w:t>
      </w:r>
    </w:p>
    <w:p>
      <w:pPr>
        <w:spacing w:after="200"/>
      </w:pPr>
      <w:r>
        <w:t>Formula: Demand(t) = P(t) × elec_per_capita / 1,000   [GWh]</w:t>
        <w:br/>
        <w:t>Where elec_per_capita = 8.5 MWh/capita/year (2023 baseline)</w:t>
        <w:br/>
        <w:br/>
        <w:t>Alternative approach (cross-check):</w:t>
        <w:br/>
        <w:t xml:space="preserve">  Demand also modelled as: Demand(t) = Demand(2024) × (1 + g)^(t-2024)</w:t>
        <w:br/>
        <w:t xml:space="preserve">  Where g = 0.07 (7% annual growth per OPWP)</w:t>
        <w:br/>
        <w:br/>
        <w:t>Capacity steps (Muscat 35% share):</w:t>
        <w:br/>
        <w:t xml:space="preserve">  • 2024: ~5,158 GWh (national 39,296 × 35% × Muscat pop scale)</w:t>
        <w:br/>
        <w:t xml:space="preserve">  • 2025+: +770 GWh  (Manah I+II solar × 35%)</w:t>
        <w:br/>
        <w:t xml:space="preserve">  • 2027+: +525 GWh  (Ibri III × 35%)</w:t>
        <w:br/>
        <w:t xml:space="preserve">  • 2030+: +700 GWh  (Vision 2040 additional procurement)</w:t>
      </w:r>
    </w:p>
    <w:p>
      <w:pPr>
        <w:pStyle w:val="Heading2"/>
      </w:pPr>
      <w:r>
        <w:rPr>
          <w:color w:val="1E3A5F"/>
        </w:rPr>
        <w:t>Housing Demand</w:t>
      </w:r>
    </w:p>
    <w:p>
      <w:pPr>
        <w:spacing w:after="200"/>
      </w:pPr>
      <w:r>
        <w:t>Formula: Units(t) = P(t) × 1,000,000 / household_size / 1,000   [thousands of units]</w:t>
        <w:br/>
        <w:t>Where household_size = 5.0 (Oman Census 2020 adjusted for urbanisation)</w:t>
        <w:br/>
        <w:br/>
        <w:t>2024 estimated stock = 1.57M × 1e6 / 5.0 / 1000 = 314,000 units</w:t>
        <w:br/>
        <w:t>New units needed by 2040 = Units(2040) − Units(2024)</w:t>
      </w:r>
    </w:p>
    <w:p>
      <w:pPr>
        <w:pStyle w:val="Heading2"/>
      </w:pPr>
      <w:r>
        <w:rPr>
          <w:color w:val="1E3A5F"/>
        </w:rPr>
        <w:t>Sensitivity Analysis</w:t>
      </w:r>
    </w:p>
    <w:p>
      <w:pPr>
        <w:spacing w:after="200"/>
      </w:pPr>
      <w:r>
        <w:t>For each growth rate r ∈ {1.0%, 1.5%, 2.0%, 2.5%, 3.0%, 3.5%, 4.0%, 4.5%, 5.0%}:</w:t>
        <w:br/>
        <w:t xml:space="preserve">  1. Calculate P(2040) = 1.57 × (1+r)^16</w:t>
        <w:br/>
        <w:t xml:space="preserve">  2. Calculate beds_demand = P(2040) × 1000 × beds_benchmark</w:t>
        <w:br/>
        <w:t xml:space="preserve">  3. Gap = beds_demand − capacity(2040)</w:t>
        <w:br/>
        <w:t xml:space="preserve">  4. Report gap sign (surplus vs. shortfall)</w:t>
        <w:br/>
        <w:br/>
        <w:t>For electricity: vary per_capita from 6.0 to 12.0 MWh, hold population = base case 2040.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3A5F"/>
          </w:tcPr>
          <w:p>
            <w:pPr>
              <w:spacing w:before="80" w:after="80"/>
            </w:pPr>
            <w:r>
              <w:rPr>
                <w:b/>
                <w:color w:val="FFFFFF"/>
                <w:sz w:val="22"/>
              </w:rPr>
              <w:t>4. HOW TO REPRODUCE THE MODEL</w:t>
            </w:r>
          </w:p>
        </w:tc>
      </w:tr>
    </w:tbl>
    <w:p/>
    <w:p>
      <w:pPr>
        <w:spacing w:after="80"/>
      </w:pPr>
      <w:r>
        <w:t>1. Clone the repository: git clone https://github.com/[your-username]/muscat2040</w:t>
      </w:r>
    </w:p>
    <w:p>
      <w:pPr>
        <w:spacing w:after="80"/>
      </w:pPr>
      <w:r>
        <w:t>2. Navigate to the app folder: cd muscat2040/app</w:t>
      </w:r>
    </w:p>
    <w:p>
      <w:pPr>
        <w:spacing w:after="80"/>
      </w:pPr>
      <w:r>
        <w:t>3. Install dependencies: pip install -r requirements.txt</w:t>
      </w:r>
    </w:p>
    <w:p>
      <w:pPr>
        <w:spacing w:after="80"/>
      </w:pPr>
      <w:r>
        <w:t>4. Run the Streamlit app: streamlit run app.py</w:t>
      </w:r>
    </w:p>
    <w:p>
      <w:pPr>
        <w:spacing w:after="80"/>
      </w:pPr>
      <w:r>
        <w:t>5. The app will open at http://localhost:8501 in your browser</w:t>
      </w:r>
    </w:p>
    <w:p>
      <w:pPr>
        <w:spacing w:after="80"/>
      </w:pPr>
      <w:r>
        <w:t>6. Use sidebar sliders to adjust: population growth rate, hospital beds benchmark,</w:t>
        <w:br/>
        <w:t xml:space="preserve">   electricity per capita, household size, and Muscat's share of national infrastructure.</w:t>
      </w:r>
    </w:p>
    <w:p>
      <w:pPr>
        <w:spacing w:after="80"/>
      </w:pPr>
      <w:r>
        <w:t>7. Tabs include: Population Projections, Healthcare, Electricity, Housing, and Sensitivity Analysis.</w:t>
      </w:r>
    </w:p>
    <w:p>
      <w:pPr>
        <w:spacing w:after="80"/>
      </w:pPr>
      <w:r>
        <w:t>8. All charts are interactive (hover, zoom, export via Plotly toolbar).</w:t>
      </w:r>
    </w:p>
    <w:p>
      <w:pPr>
        <w:spacing w:after="80"/>
      </w:pPr>
      <w:r>
        <w:t>9. To regenerate the Word documents, run: python docs/build_executive_summary.py</w:t>
        <w:br/>
        <w:t xml:space="preserve">   and: python docs/build_technical_appendix.py</w:t>
      </w:r>
    </w:p>
    <w:p>
      <w:pPr>
        <w:spacing w:after="80"/>
      </w:pPr>
      <w:r>
        <w:t>10. All source data cited in the Data Sources table above is publicly accessible — no account required.</w:t>
      </w:r>
    </w:p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64748B"/>
          </w:tcPr>
          <w:p>
            <w:pPr>
              <w:spacing w:before="80" w:after="80"/>
            </w:pPr>
            <w:r>
              <w:rPr>
                <w:b/>
                <w:color w:val="FFFFFF"/>
                <w:sz w:val="22"/>
              </w:rPr>
              <w:t>5. LIMITATIONS &amp; CAVEATS</w:t>
            </w:r>
          </w:p>
        </w:tc>
      </w:tr>
    </w:tbl>
    <w:p/>
    <w:p>
      <w:pPr>
        <w:spacing w:after="80"/>
      </w:pPr>
      <w:r>
        <w:t>• Population projections use a simple CAGR model. More sophisticated approaches (cohort-component method, logistic growth) were deliberately excluded to maintain transparency and reproducibility.</w:t>
      </w:r>
    </w:p>
    <w:p>
      <w:pPr>
        <w:spacing w:after="80"/>
      </w:pPr>
      <w:r>
        <w:t>• Muscat-specific electricity capacity data is not publicly disaggregated from the national/MIS grid. The 35% allocation is an informed estimate based on population share.</w:t>
      </w:r>
    </w:p>
    <w:p>
      <w:pPr>
        <w:spacing w:after="80"/>
      </w:pPr>
      <w:r>
        <w:t>• Hospital bed counts for Muscat specifically are estimated from the national figure (38% proportional share). Actual Muscat bed count may differ; Ministry of Health does not publish governorate-level bed data publicly.</w:t>
      </w:r>
    </w:p>
    <w:p>
      <w:pPr>
        <w:spacing w:after="80"/>
      </w:pPr>
      <w:r>
        <w:t>• All projections assume policy continuity. Oman Vision 2040 reforms, changes in expat visa rules, or oil price shocks could materially alter outcomes.</w:t>
      </w:r>
    </w:p>
    <w:p>
      <w:pPr>
        <w:spacing w:after="80"/>
      </w:pPr>
      <w:r>
        <w:t>• Housing analysis does not account for vacancy rates, informal housing, or government-built housing programmes.</w:t>
      </w:r>
    </w:p>
    <w:p>
      <w:pPr>
        <w:spacing w:after="80"/>
      </w:pPr>
      <w:r>
        <w:t>• No inflation adjustments are applied to capacity figures. All numbers are in physical units (beds, GWh, housing units).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onsolas" w:hAnsi="Consola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