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8"/>
        </w:rPr>
        <w:t>IP Filing Package — Contents</w:t>
      </w:r>
    </w:p>
    <w:p>
      <w:r>
        <w:rPr>
          <w:i/>
          <w:color w:val="6A6760"/>
        </w:rPr>
        <w:t>Akili — Laetoli's sovereign Swahili AI · prepared by Laetoli (T) Ltd</w:t>
      </w:r>
    </w:p>
    <w:p>
      <w:r>
        <w:rPr>
          <w:b/>
        </w:rPr>
        <w:t xml:space="preserve">Product owner: </w:t>
      </w:r>
      <w:r>
        <w:t xml:space="preserve">Laetoli (T) Ltd · </w:t>
      </w:r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Date: </w:t>
      </w:r>
      <w:r>
        <w:t>22 June 2026</w:t>
      </w:r>
    </w:p>
    <w:p/>
    <w:p>
      <w:pPr>
        <w:pStyle w:val="Heading1"/>
      </w:pPr>
      <w:r>
        <w:rPr>
          <w:color w:val="0F0D09"/>
          <w:sz w:val="30"/>
        </w:rPr>
        <w:t>Package contents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Submit to / use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COSOTA Literary Registration</w:t>
            </w:r>
          </w:p>
        </w:tc>
        <w:tc>
          <w:tcPr>
            <w:tcW w:type="dxa" w:w="3120"/>
          </w:tcPr>
          <w:p>
            <w:r>
              <w:t>COSOTA — copyright registration of the source code as a literary work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BRELA Trademark Brief</w:t>
            </w:r>
          </w:p>
        </w:tc>
        <w:tc>
          <w:tcPr>
            <w:tcW w:type="dxa" w:w="3120"/>
          </w:tcPr>
          <w:p>
            <w:r>
              <w:t>BRELA — trademark registration of Akili marks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EULA</w:t>
            </w:r>
          </w:p>
        </w:tc>
        <w:tc>
          <w:tcPr>
            <w:tcW w:type="dxa" w:w="3120"/>
          </w:tcPr>
          <w:p>
            <w:r>
              <w:t>Public — End-User License Agreement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MSA Template</w:t>
            </w:r>
          </w:p>
        </w:tc>
        <w:tc>
          <w:tcPr>
            <w:tcW w:type="dxa" w:w="3120"/>
          </w:tcPr>
          <w:p>
            <w:r>
              <w:t>Institutional sales — Master Service Agreement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DPA Template</w:t>
            </w:r>
          </w:p>
        </w:tc>
        <w:tc>
          <w:tcPr>
            <w:tcW w:type="dxa" w:w="3120"/>
          </w:tcPr>
          <w:p>
            <w:r>
              <w:t>Institutional sales — Data Processing Agreement (PDPA + GDPR)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CLA</w:t>
            </w:r>
          </w:p>
        </w:tc>
        <w:tc>
          <w:tcPr>
            <w:tcW w:type="dxa" w:w="3120"/>
          </w:tcPr>
          <w:p>
            <w:r>
              <w:t>Outside contributors — Contributor License Agreement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OSS License Inventory</w:t>
            </w:r>
          </w:p>
        </w:tc>
        <w:tc>
          <w:tcPr>
            <w:tcW w:type="dxa" w:w="3120"/>
          </w:tcPr>
          <w:p>
            <w:r>
              <w:t>Compliance — third-party software bundled or used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Source Attribution Sheet</w:t>
            </w:r>
          </w:p>
        </w:tc>
        <w:tc>
          <w:tcPr>
            <w:tcW w:type="dxa" w:w="3120"/>
          </w:tcPr>
          <w:p>
            <w:r>
              <w:t>Compliance — datasets / guidelines / fonts / icons used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Confidentiality + IP Assignment</w:t>
            </w:r>
          </w:p>
        </w:tc>
        <w:tc>
          <w:tcPr>
            <w:tcW w:type="dxa" w:w="3120"/>
          </w:tcPr>
          <w:p>
            <w:r>
              <w:t>Employees / contractors / founders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Funder One-Pager</w:t>
            </w:r>
          </w:p>
        </w:tc>
        <w:tc>
          <w:tcPr>
            <w:tcW w:type="dxa" w:w="3120"/>
          </w:tcPr>
          <w:p>
            <w:r>
              <w:t>Investors / philanthropic funders / government grants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Authorship and ownership</w:t>
      </w:r>
    </w:p>
    <w:p>
      <w:r>
        <w:rPr>
          <w:b w:val="0"/>
        </w:rPr>
        <w:t>Author of all works in this package: Dr. Ally A. Nooher, MD, MPS-HIT.</w:t>
      </w:r>
    </w:p>
    <w:p>
      <w:r>
        <w:rPr>
          <w:b w:val="0"/>
        </w:rPr>
        <w:t>Owner of economic rights: Laetoli (T) Ltd (incorporated in Tanzania).</w:t>
      </w:r>
    </w:p>
    <w:p>
      <w:r>
        <w:rPr>
          <w:b w:val="0"/>
        </w:rPr>
        <w:t>Domain: https://laetoli.tz · Contact: legal@laetoli.tz.</w:t>
      </w:r>
    </w:p>
    <w:p>
      <w:pPr>
        <w:pStyle w:val="Heading1"/>
      </w:pPr>
      <w:r>
        <w:rPr>
          <w:color w:val="0F0D09"/>
          <w:sz w:val="30"/>
        </w:rPr>
        <w:t>PDF rendering</w:t>
      </w:r>
    </w:p>
    <w:p>
      <w:r>
        <w:rPr>
          <w:b w:val="0"/>
        </w:rPr>
        <w:t>Each .docx renders cleanly to PDF via LibreOffice headless:</w:t>
      </w:r>
    </w:p>
    <w:p>
      <w:r>
        <w:rPr>
          <w:b w:val="0"/>
        </w:rPr>
        <w:t xml:space="preserve">    soffice --headless --convert-to pdf *.docx</w:t>
      </w:r>
    </w:p>
    <w:p>
      <w:r>
        <w:rPr>
          <w:b w:val="0"/>
        </w:rPr>
        <w:t>or via Microsoft Word's 'Save as PDF'. Both produce 8.5 × 11" pages with consistent typography.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