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BRELA Trademark Filing Brief</w:t>
      </w:r>
    </w:p>
    <w:p>
      <w:r>
        <w:rPr>
          <w:i/>
          <w:color w:val="6A6760"/>
        </w:rPr>
        <w:t>Business Registrations and Licensing Agency · Trademark application package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Marks for registration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Classes</w:t>
            </w:r>
          </w:p>
        </w:tc>
      </w:tr>
      <w:tr>
        <w:tc>
          <w:tcPr>
            <w:tcW w:type="dxa" w:w="3120"/>
          </w:tcPr>
          <w:p>
            <w:r>
              <w:t>Akili</w:t>
            </w:r>
          </w:p>
        </w:tc>
        <w:tc>
          <w:tcPr>
            <w:tcW w:type="dxa" w:w="3120"/>
          </w:tcPr>
          <w:p>
            <w:r>
              <w:t>Wordmark</w:t>
            </w:r>
          </w:p>
        </w:tc>
        <w:tc>
          <w:tcPr>
            <w:tcW w:type="dxa" w:w="3120"/>
          </w:tcPr>
          <w:p>
            <w:r>
              <w:t>9 (software), 42 (SaaS / AI), 41 (education), 44 (medical AI)</w:t>
            </w:r>
          </w:p>
        </w:tc>
      </w:tr>
      <w:tr>
        <w:tc>
          <w:tcPr>
            <w:tcW w:type="dxa" w:w="3120"/>
          </w:tcPr>
          <w:p>
            <w:r>
              <w:t>Akili wordmark + sovereign emblem</w:t>
            </w:r>
          </w:p>
        </w:tc>
        <w:tc>
          <w:tcPr>
            <w:tcW w:type="dxa" w:w="3120"/>
          </w:tcPr>
          <w:p>
            <w:r>
              <w:t>Combined mark</w:t>
            </w:r>
          </w:p>
        </w:tc>
        <w:tc>
          <w:tcPr>
            <w:tcW w:type="dxa" w:w="3120"/>
          </w:tcPr>
          <w:p>
            <w:r>
              <w:t>9, 42, 41, 44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Applicant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Applicant</w:t>
            </w:r>
          </w:p>
        </w:tc>
        <w:tc>
          <w:tcPr>
            <w:tcW w:type="dxa" w:w="4680"/>
          </w:tcPr>
          <w:p>
            <w:r>
              <w:t>Laetoli (T) Ltd</w:t>
            </w:r>
          </w:p>
        </w:tc>
      </w:tr>
      <w:tr>
        <w:tc>
          <w:tcPr>
            <w:tcW w:type="dxa" w:w="4680"/>
          </w:tcPr>
          <w:p>
            <w:r>
              <w:t>Country of incorporation</w:t>
            </w:r>
          </w:p>
        </w:tc>
        <w:tc>
          <w:tcPr>
            <w:tcW w:type="dxa" w:w="4680"/>
          </w:tcPr>
          <w:p>
            <w:r>
              <w:t>Tanzania</w:t>
            </w:r>
          </w:p>
        </w:tc>
      </w:tr>
      <w:tr>
        <w:tc>
          <w:tcPr>
            <w:tcW w:type="dxa" w:w="4680"/>
          </w:tcPr>
          <w:p>
            <w:r>
              <w:t>Address</w:t>
            </w:r>
          </w:p>
        </w:tc>
        <w:tc>
          <w:tcPr>
            <w:tcW w:type="dxa" w:w="4680"/>
          </w:tcPr>
          <w:p>
            <w:r>
              <w:t>P.O. Box [to fill], Dar es Salaam, Tanzania</w:t>
            </w:r>
          </w:p>
        </w:tc>
      </w:tr>
      <w:tr>
        <w:tc>
          <w:tcPr>
            <w:tcW w:type="dxa" w:w="4680"/>
          </w:tcPr>
          <w:p>
            <w:r>
              <w:t>Contact</w:t>
            </w:r>
          </w:p>
        </w:tc>
        <w:tc>
          <w:tcPr>
            <w:tcW w:type="dxa" w:w="4680"/>
          </w:tcPr>
          <w:p>
            <w:r>
              <w:t>legal@laetoli.tz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3. Use status</w:t>
      </w:r>
    </w:p>
    <w:p>
      <w:r>
        <w:rPr>
          <w:b w:val="0"/>
        </w:rPr>
        <w:t>All marks are in commercial use in Tanzania as of 2026. The Akili wordmark has been used continuously since the platform's first production deployment.</w:t>
      </w:r>
    </w:p>
    <w:p>
      <w:pPr>
        <w:pStyle w:val="Heading1"/>
      </w:pPr>
      <w:r>
        <w:rPr>
          <w:color w:val="0F0D09"/>
          <w:sz w:val="30"/>
        </w:rPr>
        <w:t>4. Goods and services — Nice classification</w:t>
      </w:r>
    </w:p>
    <w:p>
      <w:pPr>
        <w:pStyle w:val="Heading2"/>
      </w:pPr>
      <w:r>
        <w:rPr>
          <w:sz w:val="25"/>
        </w:rPr>
        <w:t>Class 9 — software</w:t>
      </w:r>
    </w:p>
    <w:p>
      <w:pPr>
        <w:pStyle w:val="ListBullet"/>
      </w:pPr>
      <w:r>
        <w:t>Downloadable computer software featuring artificial-intelligence routing across domain experts</w:t>
      </w:r>
    </w:p>
    <w:p>
      <w:pPr>
        <w:pStyle w:val="ListBullet"/>
      </w:pPr>
      <w:r>
        <w:t>Software for offline / on-device AI assistance in Swahili</w:t>
      </w:r>
    </w:p>
    <w:p>
      <w:pPr>
        <w:pStyle w:val="ListBullet"/>
      </w:pPr>
      <w:r>
        <w:t>AI software embeddable in third-party products via SDK</w:t>
      </w:r>
    </w:p>
    <w:p>
      <w:pPr>
        <w:pStyle w:val="Heading2"/>
      </w:pPr>
      <w:r>
        <w:rPr>
          <w:sz w:val="25"/>
        </w:rPr>
        <w:t>Class 42 — SaaS / scientific &amp; technological services</w:t>
      </w:r>
    </w:p>
    <w:p>
      <w:pPr>
        <w:pStyle w:val="ListBullet"/>
      </w:pPr>
      <w:r>
        <w:t>Software as a service (SaaS) featuring artificial-intelligence routing</w:t>
      </w:r>
    </w:p>
    <w:p>
      <w:pPr>
        <w:pStyle w:val="ListBullet"/>
      </w:pPr>
      <w:r>
        <w:t>Design and development of sovereign AI systems for African languages</w:t>
      </w:r>
    </w:p>
    <w:p>
      <w:pPr>
        <w:pStyle w:val="ListBullet"/>
      </w:pPr>
      <w:r>
        <w:t>Hosting of AI inference for institutional and individual users</w:t>
      </w:r>
    </w:p>
    <w:p>
      <w:pPr>
        <w:pStyle w:val="Heading2"/>
      </w:pPr>
      <w:r>
        <w:rPr>
          <w:sz w:val="25"/>
        </w:rPr>
        <w:t>Class 41 — education and entertainment services</w:t>
      </w:r>
    </w:p>
    <w:p>
      <w:pPr>
        <w:pStyle w:val="ListBullet"/>
      </w:pPr>
      <w:r>
        <w:t>Educational services delivered through artificial intelligence in Kiswahili</w:t>
      </w:r>
    </w:p>
    <w:p>
      <w:pPr>
        <w:pStyle w:val="ListBullet"/>
      </w:pPr>
      <w:r>
        <w:t>Translation and language-tutoring services delivered through AI</w:t>
      </w:r>
    </w:p>
    <w:p>
      <w:pPr>
        <w:pStyle w:val="Heading2"/>
      </w:pPr>
      <w:r>
        <w:rPr>
          <w:sz w:val="25"/>
        </w:rPr>
        <w:t>Class 44 — medical services</w:t>
      </w:r>
    </w:p>
    <w:p>
      <w:pPr>
        <w:pStyle w:val="ListBullet"/>
      </w:pPr>
      <w:r>
        <w:t>Clinical decision-support information services delivered through AI (informational, not diagnostic)</w:t>
      </w:r>
    </w:p>
    <w:p>
      <w:pPr>
        <w:pStyle w:val="ListBullet"/>
      </w:pPr>
      <w:r>
        <w:t>Health-information services in Kiswahili</w:t>
      </w:r>
    </w:p>
    <w:p>
      <w:pPr>
        <w:pStyle w:val="Heading1"/>
      </w:pPr>
      <w:r>
        <w:rPr>
          <w:color w:val="0F0D09"/>
          <w:sz w:val="30"/>
        </w:rPr>
        <w:t>5. Power of attorney</w:t>
      </w:r>
    </w:p>
    <w:p>
      <w:r>
        <w:rPr>
          <w:b w:val="0"/>
        </w:rPr>
        <w:t>If the application is filed through an agent, a separate signed and notarised power of attorney is attached. Direct filing by the applicant requires no power of attorney.</w:t>
      </w:r>
    </w:p>
    <w:p>
      <w:pPr>
        <w:pStyle w:val="Heading1"/>
      </w:pPr>
      <w:r>
        <w:rPr>
          <w:color w:val="0F0D09"/>
          <w:sz w:val="30"/>
        </w:rPr>
        <w:t>6. Fees</w:t>
      </w:r>
    </w:p>
    <w:p>
      <w:r>
        <w:rPr>
          <w:b w:val="0"/>
        </w:rPr>
        <w:t>Filing fees are paid by separate Treasury voucher to BRELA. Receipts are attached to the filing.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