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B53A"/>
          <w:sz w:val="22"/>
        </w:rPr>
        <w:t>Akili</w:t>
      </w:r>
    </w:p>
    <w:p>
      <w:pPr>
        <w:pStyle w:val="Title"/>
      </w:pPr>
      <w:r>
        <w:rPr>
          <w:color w:val="0F0D09"/>
          <w:sz w:val="48"/>
        </w:rPr>
        <w:t>Open-Source Software License Inventory</w:t>
      </w:r>
    </w:p>
    <w:p>
      <w:r>
        <w:rPr>
          <w:i/>
          <w:color w:val="6A6760"/>
        </w:rPr>
        <w:t>Third-party dependencies bundled in or used by Akili</w:t>
      </w:r>
    </w:p>
    <w:p>
      <w:r>
        <w:rPr>
          <w:b/>
        </w:rPr>
        <w:t xml:space="preserve">Product owner: </w:t>
      </w:r>
      <w:r>
        <w:t xml:space="preserve">Laetoli (T) Ltd · </w:t>
      </w:r>
      <w:r>
        <w:rPr>
          <w:b/>
        </w:rPr>
        <w:t xml:space="preserve">Author: </w:t>
      </w:r>
      <w:r>
        <w:t xml:space="preserve">Dr. Ally A. Nooher, MD, MPS-HIT · </w:t>
      </w:r>
      <w:r>
        <w:rPr>
          <w:b/>
        </w:rPr>
        <w:t xml:space="preserve">Date: </w:t>
      </w:r>
      <w:r>
        <w:t>22 June 2026</w:t>
      </w:r>
    </w:p>
    <w:p/>
    <w:p>
      <w:pPr>
        <w:pStyle w:val="Heading1"/>
      </w:pPr>
      <w:r>
        <w:rPr>
          <w:color w:val="0F0D09"/>
          <w:sz w:val="30"/>
        </w:rPr>
        <w:t>1. Scope</w:t>
      </w:r>
    </w:p>
    <w:p>
      <w:r>
        <w:rPr>
          <w:b w:val="0"/>
        </w:rPr>
        <w:t>This inventory lists every third-party software dependency bundled into, statically linked with, or shipped to clients of Akili. Build-time dependencies are excluded.</w:t>
      </w:r>
    </w:p>
    <w:p>
      <w:pPr>
        <w:pStyle w:val="Heading1"/>
      </w:pPr>
      <w:r>
        <w:rPr>
          <w:color w:val="0F0D09"/>
          <w:sz w:val="30"/>
        </w:rPr>
        <w:t>2. Stack</w:t>
      </w:r>
    </w:p>
    <w:p>
      <w:r>
        <w:rPr>
          <w:b w:val="0"/>
        </w:rPr>
        <w:t>TypeScript, React, sovereign vendored engines (TibaAI for health, Kasuku for literature + language, SNIL as tool), no external LLM, runnable offline / on Raspberry Pi</w:t>
      </w:r>
    </w:p>
    <w:p>
      <w:pPr>
        <w:pStyle w:val="Heading1"/>
      </w:pPr>
      <w:r>
        <w:rPr>
          <w:color w:val="0F0D09"/>
          <w:sz w:val="30"/>
        </w:rPr>
        <w:t>3. License-family breakdown (indirect dependencies)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License family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4680"/>
          </w:tcPr>
          <w:p>
            <w:r>
              <w:t>MIT</w:t>
            </w:r>
          </w:p>
        </w:tc>
        <w:tc>
          <w:tcPr>
            <w:tcW w:type="dxa" w:w="4680"/>
          </w:tcPr>
          <w:p>
            <w:r>
              <w:t>No restriction</w:t>
            </w:r>
          </w:p>
        </w:tc>
      </w:tr>
      <w:tr>
        <w:tc>
          <w:tcPr>
            <w:tcW w:type="dxa" w:w="4680"/>
          </w:tcPr>
          <w:p>
            <w:r>
              <w:t>ISC</w:t>
            </w:r>
          </w:p>
        </w:tc>
        <w:tc>
          <w:tcPr>
            <w:tcW w:type="dxa" w:w="4680"/>
          </w:tcPr>
          <w:p>
            <w:r>
              <w:t>No restriction (functionally equivalent to MIT)</w:t>
            </w:r>
          </w:p>
        </w:tc>
      </w:tr>
      <w:tr>
        <w:tc>
          <w:tcPr>
            <w:tcW w:type="dxa" w:w="4680"/>
          </w:tcPr>
          <w:p>
            <w:r>
              <w:t>Apache-2.0</w:t>
            </w:r>
          </w:p>
        </w:tc>
        <w:tc>
          <w:tcPr>
            <w:tcW w:type="dxa" w:w="4680"/>
          </w:tcPr>
          <w:p>
            <w:r>
              <w:t>Patent grant; NOTICE file required</w:t>
            </w:r>
          </w:p>
        </w:tc>
      </w:tr>
      <w:tr>
        <w:tc>
          <w:tcPr>
            <w:tcW w:type="dxa" w:w="4680"/>
          </w:tcPr>
          <w:p>
            <w:r>
              <w:t>BSD-2/3</w:t>
            </w:r>
          </w:p>
        </w:tc>
        <w:tc>
          <w:tcPr>
            <w:tcW w:type="dxa" w:w="4680"/>
          </w:tcPr>
          <w:p>
            <w:r>
              <w:t>Attribution; no other restriction</w:t>
            </w:r>
          </w:p>
        </w:tc>
      </w:tr>
      <w:tr>
        <w:tc>
          <w:tcPr>
            <w:tcW w:type="dxa" w:w="4680"/>
          </w:tcPr>
          <w:p>
            <w:r>
              <w:t>0BSD / Unlicense / CC0</w:t>
            </w:r>
          </w:p>
        </w:tc>
        <w:tc>
          <w:tcPr>
            <w:tcW w:type="dxa" w:w="4680"/>
          </w:tcPr>
          <w:p>
            <w:r>
              <w:t>Public-domain-equivalent</w:t>
            </w:r>
          </w:p>
        </w:tc>
      </w:tr>
      <w:tr>
        <w:tc>
          <w:tcPr>
            <w:tcW w:type="dxa" w:w="4680"/>
          </w:tcPr>
          <w:p>
            <w:r>
              <w:t>LGPL</w:t>
            </w:r>
          </w:p>
        </w:tc>
        <w:tc>
          <w:tcPr>
            <w:tcW w:type="dxa" w:w="4680"/>
          </w:tcPr>
          <w:p>
            <w:r>
              <w:t>(flagged if introduced — requires review)</w:t>
            </w:r>
          </w:p>
        </w:tc>
      </w:tr>
      <w:tr>
        <w:tc>
          <w:tcPr>
            <w:tcW w:type="dxa" w:w="4680"/>
          </w:tcPr>
          <w:p>
            <w:r>
              <w:t>GPL / AGPL</w:t>
            </w:r>
          </w:p>
        </w:tc>
        <w:tc>
          <w:tcPr>
            <w:tcW w:type="dxa" w:w="4680"/>
          </w:tcPr>
          <w:p>
            <w:r>
              <w:t>(flagged if introduced — runtime use requires legal review)</w:t>
            </w:r>
          </w:p>
        </w:tc>
      </w:tr>
    </w:tbl>
    <w:p>
      <w:pPr>
        <w:pStyle w:val="Heading1"/>
      </w:pPr>
      <w:r>
        <w:rPr>
          <w:color w:val="0F0D09"/>
          <w:sz w:val="30"/>
        </w:rPr>
        <w:t>4. Attribution file</w:t>
      </w:r>
    </w:p>
    <w:p>
      <w:r>
        <w:rPr>
          <w:b w:val="0"/>
        </w:rPr>
        <w:t>A consolidated `THIRD-PARTY-NOTICES.txt` file ships with every release and is reachable in-app at /legal/attribution. It is regenerated automatically on each CI build.</w:t>
      </w:r>
    </w:p>
    <w:p>
      <w:pPr>
        <w:pStyle w:val="Heading1"/>
      </w:pPr>
      <w:r>
        <w:rPr>
          <w:color w:val="0F0D09"/>
          <w:sz w:val="30"/>
        </w:rPr>
        <w:t>5. Copyleft policy</w:t>
      </w:r>
    </w:p>
    <w:p>
      <w:r>
        <w:rPr>
          <w:b w:val="0"/>
        </w:rPr>
        <w:t>GPL / AGPL / LGPL packages must NOT be added to runtime dependencies without legal review.</w:t>
      </w:r>
    </w:p>
    <w:p>
      <w:pPr>
        <w:pStyle w:val="Heading1"/>
      </w:pPr>
      <w:r>
        <w:rPr>
          <w:color w:val="0F0D09"/>
          <w:sz w:val="30"/>
        </w:rPr>
        <w:t>6. Sourcing of fonts and graphics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Asset</w:t>
            </w:r>
          </w:p>
        </w:tc>
        <w:tc>
          <w:tcPr>
            <w:tcW w:type="dxa" w:w="46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680"/>
          </w:tcPr>
          <w:p>
            <w:r>
              <w:t>System fonts (Arial / Inter / Segoe UI)</w:t>
            </w:r>
          </w:p>
        </w:tc>
        <w:tc>
          <w:tcPr>
            <w:tcW w:type="dxa" w:w="4680"/>
          </w:tcPr>
          <w:p>
            <w:r>
              <w:t>Used by reference; not bundled</w:t>
            </w:r>
          </w:p>
        </w:tc>
      </w:tr>
      <w:tr>
        <w:tc>
          <w:tcPr>
            <w:tcW w:type="dxa" w:w="4680"/>
          </w:tcPr>
          <w:p>
            <w:r>
              <w:t>Custom Akili iconography</w:t>
            </w:r>
          </w:p>
        </w:tc>
        <w:tc>
          <w:tcPr>
            <w:tcW w:type="dxa" w:w="4680"/>
          </w:tcPr>
          <w:p>
            <w:r>
              <w:t>Apache-2.0 (project) — authored by Dr. Ally A. Nooher</w:t>
            </w:r>
          </w:p>
        </w:tc>
      </w:tr>
      <w:tr>
        <w:tc>
          <w:tcPr>
            <w:tcW w:type="dxa" w:w="4680"/>
          </w:tcPr>
          <w:p>
            <w:r>
              <w:t>Coat of Arms of the United Republic of Tanzania (where used)</w:t>
            </w:r>
          </w:p>
        </w:tc>
        <w:tc>
          <w:tcPr>
            <w:tcW w:type="dxa" w:w="4680"/>
          </w:tcPr>
          <w:p>
            <w:r>
              <w:t>Crown / public-domain in Tanzania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