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Source Attribution Sheet</w:t>
      </w:r>
    </w:p>
    <w:p>
      <w:r>
        <w:rPr>
          <w:i/>
          <w:color w:val="6A6760"/>
        </w:rPr>
        <w:t>Datasets, guidelines, citations and external sources referenced by Akili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Legal sources (Tanzania)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Personal Data Protection Act, 2022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  <w:tr>
        <w:tc>
          <w:tcPr>
            <w:tcW w:type="dxa" w:w="4680"/>
          </w:tcPr>
          <w:p>
            <w:r>
              <w:t>Copyright and Neighbouring Rights Act, Cap. 218 [RE 2019]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  <w:tr>
        <w:tc>
          <w:tcPr>
            <w:tcW w:type="dxa" w:w="4680"/>
          </w:tcPr>
          <w:p>
            <w:r>
              <w:t>Patents (Registration) Act, Cap. 217 [RE 2019]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  <w:tr>
        <w:tc>
          <w:tcPr>
            <w:tcW w:type="dxa" w:w="4680"/>
          </w:tcPr>
          <w:p>
            <w:r>
              <w:t>Trade and Service Marks Act, Cap. 326 [RE 2019]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Domain-specific references</w:t>
      </w:r>
    </w:p>
    <w:p>
      <w:r>
        <w:rPr>
          <w:b w:val="0"/>
        </w:rPr>
        <w:t>Specific to Akili, the platform references:</w:t>
      </w:r>
    </w:p>
    <w:p>
      <w:pPr>
        <w:pStyle w:val="ListBullet"/>
      </w:pPr>
      <w:r>
        <w:t>one Swahili-first router that unifies domain experts — TibaAI (afya), Kasuku (fasihi/lugha), SNIL-as-tool — with no external LLM dependency</w:t>
      </w:r>
    </w:p>
    <w:p>
      <w:pPr>
        <w:pStyle w:val="ListBullet"/>
      </w:pPr>
      <w:r>
        <w:t>Regulator: TCRA (telecommunications + AI policy) + Ministry of ICT — Akili anticipates the Tanzania AI Bill (currently in policy draft) and is built to meet sovereignty + data-residency expectations</w:t>
      </w:r>
    </w:p>
    <w:p>
      <w:pPr>
        <w:pStyle w:val="ListBullet"/>
      </w:pPr>
      <w:r>
        <w:t>All references are free re-use with attribution where required.</w:t>
      </w:r>
    </w:p>
    <w:p>
      <w:pPr>
        <w:pStyle w:val="Heading1"/>
      </w:pPr>
      <w:r>
        <w:rPr>
          <w:color w:val="0F0D09"/>
          <w:sz w:val="30"/>
        </w:rPr>
        <w:t>3. Fonts</w:t>
      </w:r>
    </w:p>
    <w:p>
      <w:r>
        <w:rPr>
          <w:b w:val="0"/>
        </w:rPr>
        <w:t>System fonts are used by reference. No font files are bundled.</w:t>
      </w:r>
    </w:p>
    <w:p>
      <w:pPr>
        <w:pStyle w:val="Heading1"/>
      </w:pPr>
      <w:r>
        <w:rPr>
          <w:color w:val="0F0D09"/>
          <w:sz w:val="30"/>
        </w:rPr>
        <w:t>4. Icons and imagery</w:t>
      </w:r>
    </w:p>
    <w:p>
      <w:r>
        <w:rPr>
          <w:b w:val="0"/>
        </w:rPr>
        <w:t>All icons are original to the project, authored by Dr. Ally A. Nooher. No third-party icon set is bundled.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