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B53A"/>
          <w:sz w:val="22"/>
        </w:rPr>
        <w:t>Akili</w:t>
      </w:r>
    </w:p>
    <w:p>
      <w:pPr>
        <w:pStyle w:val="Title"/>
      </w:pPr>
      <w:r>
        <w:rPr>
          <w:color w:val="0F0D09"/>
          <w:sz w:val="44"/>
        </w:rPr>
        <w:t>60-second elevator pitch</w:t>
      </w:r>
    </w:p>
    <w:p>
      <w:r>
        <w:rPr>
          <w:i/>
          <w:color w:val="6A6760"/>
        </w:rPr>
        <w:t>Memorise · time it · deliver it under stress</w:t>
      </w:r>
    </w:p>
    <w:p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Owner: </w:t>
      </w:r>
      <w:r>
        <w:t xml:space="preserve">Laetoli (T) Ltd · </w:t>
      </w:r>
      <w:r>
        <w:rPr>
          <w:b/>
        </w:rPr>
        <w:t xml:space="preserve">Date: </w:t>
      </w:r>
      <w:r>
        <w:t>22 June 2026</w:t>
      </w:r>
    </w:p>
    <w:p>
      <w:pPr>
        <w:pStyle w:val="Heading1"/>
      </w:pPr>
      <w:r>
        <w:t>Pitch (read aloud, time yourself, target 0:55–1:05)</w:t>
      </w:r>
    </w:p>
    <w:p>
      <w:pPr>
        <w:spacing w:line="336" w:lineRule="auto"/>
      </w:pPr>
      <w:r>
        <w:rPr>
          <w:sz w:val="26"/>
        </w:rPr>
        <w:t>Western LLMs are colonial and cost dollars per query — math doesn't work for African markets. The Tanzania AI Bill, when it lands, will require sovereignty plus data residency for any AI in government use. I'm Dr. Ally Nooher — we built Akili, one Swahili-first router calling vendored engines we wrote ourselves: TibaAI for clinical reasoning, Kasuku for literature and language, SNIL for Swahili code. No external LLM. Runs on a Raspberry Pi. Already federated across our entire product portfolio. Raising 600 thousand US to ship sovereignty certification readiness, publish an edge-inference benchmark dataset, and onboard three external partner products.</w:t>
      </w:r>
    </w:p>
    <w:p>
      <w:pPr>
        <w:pStyle w:val="Heading1"/>
      </w:pPr>
      <w:r>
        <w:t>Beats</w:t>
      </w:r>
    </w:p>
    <w:p>
      <w:pPr>
        <w:pStyle w:val="ListBullet"/>
      </w:pPr>
      <w:r>
        <w:t>Hook — the painful, quantified problem in plain language</w:t>
      </w:r>
    </w:p>
    <w:p>
      <w:pPr>
        <w:pStyle w:val="ListBullet"/>
      </w:pPr>
      <w:r>
        <w:t>Founder credibility — who is saying this and why</w:t>
      </w:r>
    </w:p>
    <w:p>
      <w:pPr>
        <w:pStyle w:val="ListBullet"/>
      </w:pPr>
      <w:r>
        <w:t>What we built — concrete product, not vapourware</w:t>
      </w:r>
    </w:p>
    <w:p>
      <w:pPr>
        <w:pStyle w:val="ListBullet"/>
      </w:pPr>
      <w:r>
        <w:t>Why now — the wave we are riding</w:t>
      </w:r>
    </w:p>
    <w:p>
      <w:pPr>
        <w:pStyle w:val="ListBullet"/>
      </w:pPr>
      <w:r>
        <w:t>The ask — exact dollar number, exact use of funds</w:t>
      </w:r>
    </w:p>
    <w:p>
      <w:pPr>
        <w:pStyle w:val="ListBullet"/>
      </w:pPr>
      <w:r>
        <w:t>Conversation opener — what to talk to me about</w:t>
      </w:r>
    </w:p>
    <w:p>
      <w:pPr>
        <w:pStyle w:val="Heading1"/>
      </w:pPr>
      <w:r>
        <w:t>Variants</w:t>
      </w:r>
    </w:p>
    <w:p>
      <w:r>
        <w:t>Cut to 30 seconds: hook + 'we built Akili' + the ask. Cut to 15 seconds: hook + the ask + your phone.</w:t>
      </w:r>
    </w:p>
    <w:p>
      <w:pPr>
        <w:pStyle w:val="Heading1"/>
      </w:pPr>
      <w:r>
        <w:t>Bilingual delivery</w:t>
      </w:r>
    </w:p>
    <w:p>
      <w:r>
        <w:t>For Tanzanian gov / regulator audiences, deliver this pitch in Kiswahili. The translation is one beat longer because the formality registers; aim for 0:65–1:15. For pan-African + global audiences keep to English. Always close with the bilingual signature: 'Tanzanian doctor, Tanzanian platform, Tanzanian story to tell.'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