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4"/>
        </w:rPr>
        <w:t>Akili — Integrations brief</w:t>
      </w:r>
    </w:p>
    <w:p>
      <w:r>
        <w:rPr>
          <w:i/>
          <w:color w:val="6A6760"/>
        </w:rPr>
        <w:t>Government + multi-agency integration scope, scaffold and milestones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1. Lead agency</w:t>
      </w:r>
    </w:p>
    <w:p>
      <w:r>
        <w:rPr>
          <w:b w:val="0"/>
        </w:rPr>
        <w:t>MoIC — Ministry of Information, Communications and Information Technology — P.O. Box 4269, Dar es Salaam, Tanzania.</w:t>
      </w:r>
    </w:p>
    <w:p>
      <w:pPr>
        <w:pStyle w:val="Heading1"/>
      </w:pPr>
      <w:r>
        <w:rPr>
          <w:color w:val="0F0D09"/>
          <w:sz w:val="30"/>
        </w:rPr>
        <w:t>2. Secondary agencies</w:t>
      </w:r>
    </w:p>
    <w:p>
      <w:pPr>
        <w:pStyle w:val="ListBullet"/>
      </w:pPr>
      <w:r>
        <w:t>TCRA — Tanzania Communications Regulatory Authority</w:t>
      </w:r>
    </w:p>
    <w:p>
      <w:pPr>
        <w:pStyle w:val="ListBullet"/>
      </w:pPr>
      <w:r>
        <w:t>Office of the Government Chief Statistician</w:t>
      </w:r>
    </w:p>
    <w:p>
      <w:pPr>
        <w:pStyle w:val="ListBullet"/>
      </w:pPr>
      <w:r>
        <w:t>Anticipated: Tanzania AI Bill enforcement body (TBD when bill lands)</w:t>
      </w:r>
    </w:p>
    <w:p>
      <w:pPr>
        <w:pStyle w:val="Heading1"/>
      </w:pPr>
      <w:r>
        <w:rPr>
          <w:color w:val="0F0D09"/>
          <w:sz w:val="30"/>
        </w:rPr>
        <w:t>3. Integration scope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Partner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Technical surface</w:t>
            </w:r>
          </w:p>
        </w:tc>
      </w:tr>
      <w:tr>
        <w:tc>
          <w:tcPr>
            <w:tcW w:type="dxa" w:w="3120"/>
          </w:tcPr>
          <w:p>
            <w:r>
              <w:t>THOS</w:t>
            </w:r>
          </w:p>
        </w:tc>
        <w:tc>
          <w:tcPr>
            <w:tcW w:type="dxa" w:w="3120"/>
          </w:tcPr>
          <w:p>
            <w:r>
              <w:t>Akili powers the THOS ambient AI Companion across clinician surfaces</w:t>
            </w:r>
          </w:p>
        </w:tc>
        <w:tc>
          <w:tcPr>
            <w:tcW w:type="dxa" w:w="3120"/>
          </w:tcPr>
          <w:p>
            <w:r>
              <w:t>Vendored library + adapter pattern</w:t>
            </w:r>
          </w:p>
        </w:tc>
      </w:tr>
      <w:tr>
        <w:tc>
          <w:tcPr>
            <w:tcW w:type="dxa" w:w="3120"/>
          </w:tcPr>
          <w:p>
            <w:r>
              <w:t>TABHOS</w:t>
            </w:r>
          </w:p>
        </w:tc>
        <w:tc>
          <w:tcPr>
            <w:tcW w:type="dxa" w:w="3120"/>
          </w:tcPr>
          <w:p>
            <w:r>
              <w:t>Akili powers Rafiki — the TABHOS Swahili AI companion</w:t>
            </w:r>
          </w:p>
        </w:tc>
        <w:tc>
          <w:tcPr>
            <w:tcW w:type="dxa" w:w="3120"/>
          </w:tcPr>
          <w:p>
            <w:r>
              <w:t>Vendored library + adapter pattern</w:t>
            </w:r>
          </w:p>
        </w:tc>
      </w:tr>
      <w:tr>
        <w:tc>
          <w:tcPr>
            <w:tcW w:type="dxa" w:w="3120"/>
          </w:tcPr>
          <w:p>
            <w:r>
              <w:t>IRMP</w:t>
            </w:r>
          </w:p>
        </w:tc>
        <w:tc>
          <w:tcPr>
            <w:tcW w:type="dxa" w:w="3120"/>
          </w:tcPr>
          <w:p>
            <w:r>
              <w:t>Akili powers Rafiki KB — the IRMP knowledge base for filers</w:t>
            </w:r>
          </w:p>
        </w:tc>
        <w:tc>
          <w:tcPr>
            <w:tcW w:type="dxa" w:w="3120"/>
          </w:tcPr>
          <w:p>
            <w:r>
              <w:t>Vendored library + adapter pattern</w:t>
            </w:r>
          </w:p>
        </w:tc>
      </w:tr>
      <w:tr>
        <w:tc>
          <w:tcPr>
            <w:tcW w:type="dxa" w:w="3120"/>
          </w:tcPr>
          <w:p>
            <w:r>
              <w:t>Kasuku</w:t>
            </w:r>
          </w:p>
        </w:tc>
        <w:tc>
          <w:tcPr>
            <w:tcW w:type="dxa" w:w="3120"/>
          </w:tcPr>
          <w:p>
            <w:r>
              <w:t>Akili powers Uliza — the Kasuku Q&amp;A and language-learning companion</w:t>
            </w:r>
          </w:p>
        </w:tc>
        <w:tc>
          <w:tcPr>
            <w:tcW w:type="dxa" w:w="3120"/>
          </w:tcPr>
          <w:p>
            <w:r>
              <w:t>Vendored library + adapter pattern</w:t>
            </w:r>
          </w:p>
        </w:tc>
      </w:tr>
      <w:tr>
        <w:tc>
          <w:tcPr>
            <w:tcW w:type="dxa" w:w="3120"/>
          </w:tcPr>
          <w:p>
            <w:r>
              <w:t>SDK</w:t>
            </w:r>
          </w:p>
        </w:tc>
        <w:tc>
          <w:tcPr>
            <w:tcW w:type="dxa" w:w="3120"/>
          </w:tcPr>
          <w:p>
            <w:r>
              <w:t>External partner products consume Akili via a documented SDK</w:t>
            </w:r>
          </w:p>
        </w:tc>
        <w:tc>
          <w:tcPr>
            <w:tcW w:type="dxa" w:w="3120"/>
          </w:tcPr>
          <w:p>
            <w:r>
              <w:t>JavaScript SDK + REST surface; on-device option via Capacitor</w:t>
            </w:r>
          </w:p>
        </w:tc>
      </w:tr>
      <w:tr>
        <w:tc>
          <w:tcPr>
            <w:tcW w:type="dxa" w:w="3120"/>
          </w:tcPr>
          <w:p>
            <w:r>
              <w:t>Pi-edge</w:t>
            </w:r>
          </w:p>
        </w:tc>
        <w:tc>
          <w:tcPr>
            <w:tcW w:type="dxa" w:w="3120"/>
          </w:tcPr>
          <w:p>
            <w:r>
              <w:t>Run Akili locally on a Raspberry Pi — fully offline, fully sovereign</w:t>
            </w:r>
          </w:p>
        </w:tc>
        <w:tc>
          <w:tcPr>
            <w:tcW w:type="dxa" w:w="3120"/>
          </w:tcPr>
          <w:p>
            <w:r>
              <w:t>ARM build with vendored engines; documented benchmark suite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Milestone plan (per integration)</w:t>
      </w:r>
    </w:p>
    <w:p>
      <w:r>
        <w:rPr>
          <w:b w:val="0"/>
        </w:rPr>
        <w:t>Each integration follows the same five-stage milestone plan: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Typical duration</w:t>
            </w:r>
          </w:p>
        </w:tc>
      </w:tr>
      <w:tr>
        <w:tc>
          <w:tcPr>
            <w:tcW w:type="dxa" w:w="3120"/>
          </w:tcPr>
          <w:p>
            <w:r>
              <w:t>Stage 1</w:t>
            </w:r>
          </w:p>
        </w:tc>
        <w:tc>
          <w:tcPr>
            <w:tcW w:type="dxa" w:w="3120"/>
          </w:tcPr>
          <w:p>
            <w:r>
              <w:t>MoU signed + scope confirmed</w:t>
            </w:r>
          </w:p>
        </w:tc>
        <w:tc>
          <w:tcPr>
            <w:tcW w:type="dxa" w:w="3120"/>
          </w:tcPr>
          <w:p>
            <w:r>
              <w:t>Weeks 1–4</w:t>
            </w:r>
          </w:p>
        </w:tc>
      </w:tr>
      <w:tr>
        <w:tc>
          <w:tcPr>
            <w:tcW w:type="dxa" w:w="3120"/>
          </w:tcPr>
          <w:p>
            <w:r>
              <w:t>Stage 2</w:t>
            </w:r>
          </w:p>
        </w:tc>
        <w:tc>
          <w:tcPr>
            <w:tcW w:type="dxa" w:w="3120"/>
          </w:tcPr>
          <w:p>
            <w:r>
              <w:t>Test environment access + sandbox credentials issued</w:t>
            </w:r>
          </w:p>
        </w:tc>
        <w:tc>
          <w:tcPr>
            <w:tcW w:type="dxa" w:w="3120"/>
          </w:tcPr>
          <w:p>
            <w:r>
              <w:t>Weeks 5–8</w:t>
            </w:r>
          </w:p>
        </w:tc>
      </w:tr>
      <w:tr>
        <w:tc>
          <w:tcPr>
            <w:tcW w:type="dxa" w:w="3120"/>
          </w:tcPr>
          <w:p>
            <w:r>
              <w:t>Stage 3</w:t>
            </w:r>
          </w:p>
        </w:tc>
        <w:tc>
          <w:tcPr>
            <w:tcW w:type="dxa" w:w="3120"/>
          </w:tcPr>
          <w:p>
            <w:r>
              <w:t>Integration built and passing partner-side conformance</w:t>
            </w:r>
          </w:p>
        </w:tc>
        <w:tc>
          <w:tcPr>
            <w:tcW w:type="dxa" w:w="3120"/>
          </w:tcPr>
          <w:p>
            <w:r>
              <w:t>Weeks 9–16</w:t>
            </w:r>
          </w:p>
        </w:tc>
      </w:tr>
      <w:tr>
        <w:tc>
          <w:tcPr>
            <w:tcW w:type="dxa" w:w="3120"/>
          </w:tcPr>
          <w:p>
            <w:r>
              <w:t>Stage 4</w:t>
            </w:r>
          </w:p>
        </w:tc>
        <w:tc>
          <w:tcPr>
            <w:tcW w:type="dxa" w:w="3120"/>
          </w:tcPr>
          <w:p>
            <w:r>
              <w:t>Pilot with 1–3 anchor users + signed sign-off</w:t>
            </w:r>
          </w:p>
        </w:tc>
        <w:tc>
          <w:tcPr>
            <w:tcW w:type="dxa" w:w="3120"/>
          </w:tcPr>
          <w:p>
            <w:r>
              <w:t>Weeks 17–24</w:t>
            </w:r>
          </w:p>
        </w:tc>
      </w:tr>
      <w:tr>
        <w:tc>
          <w:tcPr>
            <w:tcW w:type="dxa" w:w="3120"/>
          </w:tcPr>
          <w:p>
            <w:r>
              <w:t>Stage 5</w:t>
            </w:r>
          </w:p>
        </w:tc>
        <w:tc>
          <w:tcPr>
            <w:tcW w:type="dxa" w:w="3120"/>
          </w:tcPr>
          <w:p>
            <w:r>
              <w:t>Production rollout + operational SLA established</w:t>
            </w:r>
          </w:p>
        </w:tc>
        <w:tc>
          <w:tcPr>
            <w:tcW w:type="dxa" w:w="3120"/>
          </w:tcPr>
          <w:p>
            <w:r>
              <w:t>Weeks 25–36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5. Cross-cutting technical baseline</w:t>
      </w:r>
    </w:p>
    <w:p>
      <w:pPr>
        <w:pStyle w:val="ListBullet"/>
      </w:pPr>
      <w:r>
        <w:t>Authentication: OAuth2 + signed JWT for inter-agency federation; mTLS for backend-to-backend</w:t>
      </w:r>
    </w:p>
    <w:p>
      <w:pPr>
        <w:pStyle w:val="ListBullet"/>
      </w:pPr>
      <w:r>
        <w:t>Data residency: Tanzania (TIB Dar es Salaam DC primary, TZ secondary replica)</w:t>
      </w:r>
    </w:p>
    <w:p>
      <w:pPr>
        <w:pStyle w:val="ListBullet"/>
      </w:pPr>
      <w:r>
        <w:t>Encryption: AES-256 at rest, TLS 1.2+ in transit</w:t>
      </w:r>
    </w:p>
    <w:p>
      <w:pPr>
        <w:pStyle w:val="ListBullet"/>
      </w:pPr>
      <w:r>
        <w:t>Audit logging: every inter-agency exchange logged with sender, recipient, payload hash, and outcome — retained 7 years</w:t>
      </w:r>
    </w:p>
    <w:p>
      <w:pPr>
        <w:pStyle w:val="ListBullet"/>
      </w:pPr>
      <w:r>
        <w:t>Failover: each integration has a documented manual fallback (signed CSV / PDF) when the API is unavailable</w:t>
      </w:r>
    </w:p>
    <w:p>
      <w:pPr>
        <w:pStyle w:val="ListBullet"/>
      </w:pPr>
      <w:r>
        <w:t>Versioning: every API surface is versioned; deprecation gives ≥ 6 months notice</w:t>
      </w:r>
    </w:p>
    <w:p>
      <w:pPr>
        <w:pStyle w:val="Heading1"/>
      </w:pPr>
      <w:r>
        <w:rPr>
          <w:color w:val="0F0D09"/>
          <w:sz w:val="30"/>
        </w:rPr>
        <w:t>6. Status by partner</w:t>
      </w:r>
    </w:p>
    <w:p>
      <w:r>
        <w:rPr>
          <w:b w:val="0"/>
        </w:rPr>
        <w:t>(To be updated quarterly. Initial status: pre-MoU for all partners except where noted below.)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Partner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THOS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TABHOS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IRMP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Kasuku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SDK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Pi-edge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