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4"/>
        </w:rPr>
        <w:t>Akili — Vendor Security Questionnaire</w:t>
      </w:r>
    </w:p>
    <w:p>
      <w:r>
        <w:rPr>
          <w:i/>
          <w:color w:val="6A6760"/>
        </w:rPr>
        <w:t>Pre-filled responses for government &amp; enterprise procurement</w:t>
      </w:r>
    </w:p>
    <w:p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Owner: </w:t>
      </w:r>
      <w:r>
        <w:t xml:space="preserve">Laetoli (T) Ltd · </w:t>
      </w:r>
      <w:r>
        <w:rPr>
          <w:b/>
        </w:rPr>
        <w:t xml:space="preserve">Date: </w:t>
      </w:r>
      <w:r>
        <w:t>22 June 2026</w:t>
      </w:r>
    </w:p>
    <w:p>
      <w:pPr>
        <w:pStyle w:val="Heading1"/>
      </w:pPr>
      <w:r>
        <w:rPr>
          <w:color w:val="0F0D09"/>
          <w:sz w:val="30"/>
        </w:rPr>
        <w:t>How to use this document</w:t>
      </w:r>
    </w:p>
    <w:p>
      <w:r>
        <w:rPr>
          <w:b w:val="0"/>
        </w:rPr>
        <w:t>Many Tanzanian government and enterprise procurement processes require a vendor security questionnaire. This document pre-fills the most common questions for Akili, so the buyer's procurement team can pass it through their review with minimal back-and-forth. Where a specific procurement template differs, the answers below transfer directly.</w:t>
      </w:r>
    </w:p>
    <w:p>
      <w:pPr>
        <w:pStyle w:val="Heading1"/>
      </w:pPr>
      <w:r>
        <w:rPr>
          <w:color w:val="0F0D09"/>
          <w:sz w:val="30"/>
        </w:rPr>
        <w:t>A. Company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A1</w:t>
            </w:r>
          </w:p>
        </w:tc>
        <w:tc>
          <w:tcPr>
            <w:tcW w:type="dxa" w:w="3120"/>
          </w:tcPr>
          <w:p>
            <w:r>
              <w:t>Legal name of the vendor</w:t>
            </w:r>
          </w:p>
        </w:tc>
        <w:tc>
          <w:tcPr>
            <w:tcW w:type="dxa" w:w="3120"/>
          </w:tcPr>
          <w:p>
            <w:r>
              <w:t>Laetoli (T) Ltd</w:t>
            </w:r>
          </w:p>
        </w:tc>
      </w:tr>
      <w:tr>
        <w:tc>
          <w:tcPr>
            <w:tcW w:type="dxa" w:w="3120"/>
          </w:tcPr>
          <w:p>
            <w:r>
              <w:t>A2</w:t>
            </w:r>
          </w:p>
        </w:tc>
        <w:tc>
          <w:tcPr>
            <w:tcW w:type="dxa" w:w="3120"/>
          </w:tcPr>
          <w:p>
            <w:r>
              <w:t>Country of incorporation</w:t>
            </w:r>
          </w:p>
        </w:tc>
        <w:tc>
          <w:tcPr>
            <w:tcW w:type="dxa" w:w="3120"/>
          </w:tcPr>
          <w:p>
            <w:r>
              <w:t>Tanzania</w:t>
            </w:r>
          </w:p>
        </w:tc>
      </w:tr>
      <w:tr>
        <w:tc>
          <w:tcPr>
            <w:tcW w:type="dxa" w:w="3120"/>
          </w:tcPr>
          <w:p>
            <w:r>
              <w:t>A3</w:t>
            </w:r>
          </w:p>
        </w:tc>
        <w:tc>
          <w:tcPr>
            <w:tcW w:type="dxa" w:w="3120"/>
          </w:tcPr>
          <w:p>
            <w:r>
              <w:t>Registered address</w:t>
            </w:r>
          </w:p>
        </w:tc>
        <w:tc>
          <w:tcPr>
            <w:tcW w:type="dxa" w:w="3120"/>
          </w:tcPr>
          <w:p>
            <w:r>
              <w:t>P.O. Box [to fill], Dar es Salaam, Tanzania</w:t>
            </w:r>
          </w:p>
        </w:tc>
      </w:tr>
      <w:tr>
        <w:tc>
          <w:tcPr>
            <w:tcW w:type="dxa" w:w="3120"/>
          </w:tcPr>
          <w:p>
            <w:r>
              <w:t>A4</w:t>
            </w:r>
          </w:p>
        </w:tc>
        <w:tc>
          <w:tcPr>
            <w:tcW w:type="dxa" w:w="3120"/>
          </w:tcPr>
          <w:p>
            <w:r>
              <w:t>Year of incorporation</w:t>
            </w:r>
          </w:p>
        </w:tc>
        <w:tc>
          <w:tcPr>
            <w:tcW w:type="dxa" w:w="3120"/>
          </w:tcPr>
          <w:p>
            <w:r>
              <w:t>2026</w:t>
            </w:r>
          </w:p>
        </w:tc>
      </w:tr>
      <w:tr>
        <w:tc>
          <w:tcPr>
            <w:tcW w:type="dxa" w:w="3120"/>
          </w:tcPr>
          <w:p>
            <w:r>
              <w:t>A5</w:t>
            </w:r>
          </w:p>
        </w:tc>
        <w:tc>
          <w:tcPr>
            <w:tcW w:type="dxa" w:w="3120"/>
          </w:tcPr>
          <w:p>
            <w:r>
              <w:t>Tax Identification Number (TIN)</w:t>
            </w:r>
          </w:p>
        </w:tc>
        <w:tc>
          <w:tcPr>
            <w:tcW w:type="dxa" w:w="3120"/>
          </w:tcPr>
          <w:p>
            <w:r>
              <w:t>[to fill]</w:t>
            </w:r>
          </w:p>
        </w:tc>
      </w:tr>
      <w:tr>
        <w:tc>
          <w:tcPr>
            <w:tcW w:type="dxa" w:w="3120"/>
          </w:tcPr>
          <w:p>
            <w:r>
              <w:t>A6</w:t>
            </w:r>
          </w:p>
        </w:tc>
        <w:tc>
          <w:tcPr>
            <w:tcW w:type="dxa" w:w="3120"/>
          </w:tcPr>
          <w:p>
            <w:r>
              <w:t>Primary contact for security matters</w:t>
            </w:r>
          </w:p>
        </w:tc>
        <w:tc>
          <w:tcPr>
            <w:tcW w:type="dxa" w:w="3120"/>
          </w:tcPr>
          <w:p>
            <w:r>
              <w:t>security@laetoli.tz — Dr. Ally A. Nooher</w:t>
            </w:r>
          </w:p>
        </w:tc>
      </w:tr>
      <w:tr>
        <w:tc>
          <w:tcPr>
            <w:tcW w:type="dxa" w:w="3120"/>
          </w:tcPr>
          <w:p>
            <w:r>
              <w:t>A7</w:t>
            </w:r>
          </w:p>
        </w:tc>
        <w:tc>
          <w:tcPr>
            <w:tcW w:type="dxa" w:w="3120"/>
          </w:tcPr>
          <w:p>
            <w:r>
              <w:t>Insurance — professional indemnity</w:t>
            </w:r>
          </w:p>
        </w:tc>
        <w:tc>
          <w:tcPr>
            <w:tcW w:type="dxa" w:w="3120"/>
          </w:tcPr>
          <w:p>
            <w:r>
              <w:t>In progress — required by Q4 2026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B. Information security governance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B1</w:t>
            </w:r>
          </w:p>
        </w:tc>
        <w:tc>
          <w:tcPr>
            <w:tcW w:type="dxa" w:w="3120"/>
          </w:tcPr>
          <w:p>
            <w:r>
              <w:t>Is there a written information security policy?</w:t>
            </w:r>
          </w:p>
        </w:tc>
        <w:tc>
          <w:tcPr>
            <w:tcW w:type="dxa" w:w="3120"/>
          </w:tcPr>
          <w:p>
            <w:r>
              <w:t>Yes — published internally and updated annually</w:t>
            </w:r>
          </w:p>
        </w:tc>
      </w:tr>
      <w:tr>
        <w:tc>
          <w:tcPr>
            <w:tcW w:type="dxa" w:w="3120"/>
          </w:tcPr>
          <w:p>
            <w:r>
              <w:t>B2</w:t>
            </w:r>
          </w:p>
        </w:tc>
        <w:tc>
          <w:tcPr>
            <w:tcW w:type="dxa" w:w="3120"/>
          </w:tcPr>
          <w:p>
            <w:r>
              <w:t>Who is accountable for security?</w:t>
            </w:r>
          </w:p>
        </w:tc>
        <w:tc>
          <w:tcPr>
            <w:tcW w:type="dxa" w:w="3120"/>
          </w:tcPr>
          <w:p>
            <w:r>
              <w:t>Dr. Ally A. Nooher, MD, MPS-HIT, Director, supported by the engineering lead</w:t>
            </w:r>
          </w:p>
        </w:tc>
      </w:tr>
      <w:tr>
        <w:tc>
          <w:tcPr>
            <w:tcW w:type="dxa" w:w="3120"/>
          </w:tcPr>
          <w:p>
            <w:r>
              <w:t>B3</w:t>
            </w:r>
          </w:p>
        </w:tc>
        <w:tc>
          <w:tcPr>
            <w:tcW w:type="dxa" w:w="3120"/>
          </w:tcPr>
          <w:p>
            <w:r>
              <w:t>Frequency of security policy review</w:t>
            </w:r>
          </w:p>
        </w:tc>
        <w:tc>
          <w:tcPr>
            <w:tcW w:type="dxa" w:w="3120"/>
          </w:tcPr>
          <w:p>
            <w:r>
              <w:t>Annually, and after any material incident</w:t>
            </w:r>
          </w:p>
        </w:tc>
      </w:tr>
      <w:tr>
        <w:tc>
          <w:tcPr>
            <w:tcW w:type="dxa" w:w="3120"/>
          </w:tcPr>
          <w:p>
            <w:r>
              <w:t>B4</w:t>
            </w:r>
          </w:p>
        </w:tc>
        <w:tc>
          <w:tcPr>
            <w:tcW w:type="dxa" w:w="3120"/>
          </w:tcPr>
          <w:p>
            <w:r>
              <w:t>Frequency of risk assessment</w:t>
            </w:r>
          </w:p>
        </w:tc>
        <w:tc>
          <w:tcPr>
            <w:tcW w:type="dxa" w:w="3120"/>
          </w:tcPr>
          <w:p>
            <w:r>
              <w:t>Quarterly</w:t>
            </w:r>
          </w:p>
        </w:tc>
      </w:tr>
      <w:tr>
        <w:tc>
          <w:tcPr>
            <w:tcW w:type="dxa" w:w="3120"/>
          </w:tcPr>
          <w:p>
            <w:r>
              <w:t>B5</w:t>
            </w:r>
          </w:p>
        </w:tc>
        <w:tc>
          <w:tcPr>
            <w:tcW w:type="dxa" w:w="3120"/>
          </w:tcPr>
          <w:p>
            <w:r>
              <w:t>Incident response plan in place?</w:t>
            </w:r>
          </w:p>
        </w:tc>
        <w:tc>
          <w:tcPr>
            <w:tcW w:type="dxa" w:w="3120"/>
          </w:tcPr>
          <w:p>
            <w:r>
              <w:t>Yes — documented runbook; quarterly tabletop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C. Data protection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C1</w:t>
            </w:r>
          </w:p>
        </w:tc>
        <w:tc>
          <w:tcPr>
            <w:tcW w:type="dxa" w:w="3120"/>
          </w:tcPr>
          <w:p>
            <w:r>
              <w:t>Data residency</w:t>
            </w:r>
          </w:p>
        </w:tc>
        <w:tc>
          <w:tcPr>
            <w:tcW w:type="dxa" w:w="3120"/>
          </w:tcPr>
          <w:p>
            <w:r>
              <w:t>Tanzania — TIB Dar es Salaam DC (primary) with replication to a secondary TZ-resident facility</w:t>
            </w:r>
          </w:p>
        </w:tc>
      </w:tr>
      <w:tr>
        <w:tc>
          <w:tcPr>
            <w:tcW w:type="dxa" w:w="3120"/>
          </w:tcPr>
          <w:p>
            <w:r>
              <w:t>C2</w:t>
            </w:r>
          </w:p>
        </w:tc>
        <w:tc>
          <w:tcPr>
            <w:tcW w:type="dxa" w:w="3120"/>
          </w:tcPr>
          <w:p>
            <w:r>
              <w:t>Encryption at rest</w:t>
            </w:r>
          </w:p>
        </w:tc>
        <w:tc>
          <w:tcPr>
            <w:tcW w:type="dxa" w:w="3120"/>
          </w:tcPr>
          <w:p>
            <w:r>
              <w:t>AES-256</w:t>
            </w:r>
          </w:p>
        </w:tc>
      </w:tr>
      <w:tr>
        <w:tc>
          <w:tcPr>
            <w:tcW w:type="dxa" w:w="3120"/>
          </w:tcPr>
          <w:p>
            <w:r>
              <w:t>C3</w:t>
            </w:r>
          </w:p>
        </w:tc>
        <w:tc>
          <w:tcPr>
            <w:tcW w:type="dxa" w:w="3120"/>
          </w:tcPr>
          <w:p>
            <w:r>
              <w:t>Encryption in transit</w:t>
            </w:r>
          </w:p>
        </w:tc>
        <w:tc>
          <w:tcPr>
            <w:tcW w:type="dxa" w:w="3120"/>
          </w:tcPr>
          <w:p>
            <w:r>
              <w:t>TLS 1.2+</w:t>
            </w:r>
          </w:p>
        </w:tc>
      </w:tr>
      <w:tr>
        <w:tc>
          <w:tcPr>
            <w:tcW w:type="dxa" w:w="3120"/>
          </w:tcPr>
          <w:p>
            <w:r>
              <w:t>C4</w:t>
            </w:r>
          </w:p>
        </w:tc>
        <w:tc>
          <w:tcPr>
            <w:tcW w:type="dxa" w:w="3120"/>
          </w:tcPr>
          <w:p>
            <w:r>
              <w:t>Personal Data Protection Act, 2022 (PDPA) compliance</w:t>
            </w:r>
          </w:p>
        </w:tc>
        <w:tc>
          <w:tcPr>
            <w:tcW w:type="dxa" w:w="3120"/>
          </w:tcPr>
          <w:p>
            <w:r>
              <w:t>Yes — DPA template at docs/ip/05_DPA_Template.docx</w:t>
            </w:r>
          </w:p>
        </w:tc>
      </w:tr>
      <w:tr>
        <w:tc>
          <w:tcPr>
            <w:tcW w:type="dxa" w:w="3120"/>
          </w:tcPr>
          <w:p>
            <w:r>
              <w:t>C5</w:t>
            </w:r>
          </w:p>
        </w:tc>
        <w:tc>
          <w:tcPr>
            <w:tcW w:type="dxa" w:w="3120"/>
          </w:tcPr>
          <w:p>
            <w:r>
              <w:t>GDPR alignment</w:t>
            </w:r>
          </w:p>
        </w:tc>
        <w:tc>
          <w:tcPr>
            <w:tcW w:type="dxa" w:w="3120"/>
          </w:tcPr>
          <w:p>
            <w:r>
              <w:t>Yes — DPA also aligns to EU GDPR; cross-border transfer mechanism documented</w:t>
            </w:r>
          </w:p>
        </w:tc>
      </w:tr>
      <w:tr>
        <w:tc>
          <w:tcPr>
            <w:tcW w:type="dxa" w:w="3120"/>
          </w:tcPr>
          <w:p>
            <w:r>
              <w:t>C6</w:t>
            </w:r>
          </w:p>
        </w:tc>
        <w:tc>
          <w:tcPr>
            <w:tcW w:type="dxa" w:w="3120"/>
          </w:tcPr>
          <w:p>
            <w:r>
              <w:t>Retention</w:t>
            </w:r>
          </w:p>
        </w:tc>
        <w:tc>
          <w:tcPr>
            <w:tcW w:type="dxa" w:w="3120"/>
          </w:tcPr>
          <w:p>
            <w:r>
              <w:t>Per category — see DPA Schedule</w:t>
            </w:r>
          </w:p>
        </w:tc>
      </w:tr>
      <w:tr>
        <w:tc>
          <w:tcPr>
            <w:tcW w:type="dxa" w:w="3120"/>
          </w:tcPr>
          <w:p>
            <w:r>
              <w:t>C7</w:t>
            </w:r>
          </w:p>
        </w:tc>
        <w:tc>
          <w:tcPr>
            <w:tcW w:type="dxa" w:w="3120"/>
          </w:tcPr>
          <w:p>
            <w:r>
              <w:t>Right-to-erasure honoured?</w:t>
            </w:r>
          </w:p>
        </w:tc>
        <w:tc>
          <w:tcPr>
            <w:tcW w:type="dxa" w:w="3120"/>
          </w:tcPr>
          <w:p>
            <w:r>
              <w:t>Yes, within 30 days of a valid request</w:t>
            </w:r>
          </w:p>
        </w:tc>
      </w:tr>
      <w:tr>
        <w:tc>
          <w:tcPr>
            <w:tcW w:type="dxa" w:w="3120"/>
          </w:tcPr>
          <w:p>
            <w:r>
              <w:t>C8</w:t>
            </w:r>
          </w:p>
        </w:tc>
        <w:tc>
          <w:tcPr>
            <w:tcW w:type="dxa" w:w="3120"/>
          </w:tcPr>
          <w:p>
            <w:r>
              <w:t>Sub-processors</w:t>
            </w:r>
          </w:p>
        </w:tc>
        <w:tc>
          <w:tcPr>
            <w:tcW w:type="dxa" w:w="3120"/>
          </w:tcPr>
          <w:p>
            <w:r>
              <w:t>Listed at https://laetoli.tz/legal/sub-processors; 30-day notice on changes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D. Access control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D1</w:t>
            </w:r>
          </w:p>
        </w:tc>
        <w:tc>
          <w:tcPr>
            <w:tcW w:type="dxa" w:w="3120"/>
          </w:tcPr>
          <w:p>
            <w:r>
              <w:t>Multi-factor authentication (MFA)</w:t>
            </w:r>
          </w:p>
        </w:tc>
        <w:tc>
          <w:tcPr>
            <w:tcW w:type="dxa" w:w="3120"/>
          </w:tcPr>
          <w:p>
            <w:r>
              <w:t>Mandatory for all admin + staff accounts</w:t>
            </w:r>
          </w:p>
        </w:tc>
      </w:tr>
      <w:tr>
        <w:tc>
          <w:tcPr>
            <w:tcW w:type="dxa" w:w="3120"/>
          </w:tcPr>
          <w:p>
            <w:r>
              <w:t>D2</w:t>
            </w:r>
          </w:p>
        </w:tc>
        <w:tc>
          <w:tcPr>
            <w:tcW w:type="dxa" w:w="3120"/>
          </w:tcPr>
          <w:p>
            <w:r>
              <w:t>Role-based access control (RBAC)</w:t>
            </w:r>
          </w:p>
        </w:tc>
        <w:tc>
          <w:tcPr>
            <w:tcW w:type="dxa" w:w="3120"/>
          </w:tcPr>
          <w:p>
            <w:r>
              <w:t>Yes — granular per-resource permissions</w:t>
            </w:r>
          </w:p>
        </w:tc>
      </w:tr>
      <w:tr>
        <w:tc>
          <w:tcPr>
            <w:tcW w:type="dxa" w:w="3120"/>
          </w:tcPr>
          <w:p>
            <w:r>
              <w:t>D3</w:t>
            </w:r>
          </w:p>
        </w:tc>
        <w:tc>
          <w:tcPr>
            <w:tcW w:type="dxa" w:w="3120"/>
          </w:tcPr>
          <w:p>
            <w:r>
              <w:t>Least-privilege principle</w:t>
            </w:r>
          </w:p>
        </w:tc>
        <w:tc>
          <w:tcPr>
            <w:tcW w:type="dxa" w:w="3120"/>
          </w:tcPr>
          <w:p>
            <w:r>
              <w:t>Enforced; reviewed quarterly</w:t>
            </w:r>
          </w:p>
        </w:tc>
      </w:tr>
      <w:tr>
        <w:tc>
          <w:tcPr>
            <w:tcW w:type="dxa" w:w="3120"/>
          </w:tcPr>
          <w:p>
            <w:r>
              <w:t>D4</w:t>
            </w:r>
          </w:p>
        </w:tc>
        <w:tc>
          <w:tcPr>
            <w:tcW w:type="dxa" w:w="3120"/>
          </w:tcPr>
          <w:p>
            <w:r>
              <w:t>Password policy</w:t>
            </w:r>
          </w:p>
        </w:tc>
        <w:tc>
          <w:tcPr>
            <w:tcW w:type="dxa" w:w="3120"/>
          </w:tcPr>
          <w:p>
            <w:r>
              <w:t>Strong-password requirements; no SMS-based 2FA; TOTP or WebAuthn preferred</w:t>
            </w:r>
          </w:p>
        </w:tc>
      </w:tr>
      <w:tr>
        <w:tc>
          <w:tcPr>
            <w:tcW w:type="dxa" w:w="3120"/>
          </w:tcPr>
          <w:p>
            <w:r>
              <w:t>D5</w:t>
            </w:r>
          </w:p>
        </w:tc>
        <w:tc>
          <w:tcPr>
            <w:tcW w:type="dxa" w:w="3120"/>
          </w:tcPr>
          <w:p>
            <w:r>
              <w:t>Session management</w:t>
            </w:r>
          </w:p>
        </w:tc>
        <w:tc>
          <w:tcPr>
            <w:tcW w:type="dxa" w:w="3120"/>
          </w:tcPr>
          <w:p>
            <w:r>
              <w:t>Short-lived JWT + refresh; explicit logout invalidates server-side</w:t>
            </w:r>
          </w:p>
        </w:tc>
      </w:tr>
      <w:tr>
        <w:tc>
          <w:tcPr>
            <w:tcW w:type="dxa" w:w="3120"/>
          </w:tcPr>
          <w:p>
            <w:r>
              <w:t>D6</w:t>
            </w:r>
          </w:p>
        </w:tc>
        <w:tc>
          <w:tcPr>
            <w:tcW w:type="dxa" w:w="3120"/>
          </w:tcPr>
          <w:p>
            <w:r>
              <w:t>Privileged access management</w:t>
            </w:r>
          </w:p>
        </w:tc>
        <w:tc>
          <w:tcPr>
            <w:tcW w:type="dxa" w:w="3120"/>
          </w:tcPr>
          <w:p>
            <w:r>
              <w:t>Service-role keys held in environment store; never in source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E. Logging and monitoring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E1</w:t>
            </w:r>
          </w:p>
        </w:tc>
        <w:tc>
          <w:tcPr>
            <w:tcW w:type="dxa" w:w="3120"/>
          </w:tcPr>
          <w:p>
            <w:r>
              <w:t>Audit logging</w:t>
            </w:r>
          </w:p>
        </w:tc>
        <w:tc>
          <w:tcPr>
            <w:tcW w:type="dxa" w:w="3120"/>
          </w:tcPr>
          <w:p>
            <w:r>
              <w:t>Every state change logged; retained 7 years; tamper-evident hash chain</w:t>
            </w:r>
          </w:p>
        </w:tc>
      </w:tr>
      <w:tr>
        <w:tc>
          <w:tcPr>
            <w:tcW w:type="dxa" w:w="3120"/>
          </w:tcPr>
          <w:p>
            <w:r>
              <w:t>E2</w:t>
            </w:r>
          </w:p>
        </w:tc>
        <w:tc>
          <w:tcPr>
            <w:tcW w:type="dxa" w:w="3120"/>
          </w:tcPr>
          <w:p>
            <w:r>
              <w:t>Access logs</w:t>
            </w:r>
          </w:p>
        </w:tc>
        <w:tc>
          <w:tcPr>
            <w:tcW w:type="dxa" w:w="3120"/>
          </w:tcPr>
          <w:p>
            <w:r>
              <w:t>Retained 7 years</w:t>
            </w:r>
          </w:p>
        </w:tc>
      </w:tr>
      <w:tr>
        <w:tc>
          <w:tcPr>
            <w:tcW w:type="dxa" w:w="3120"/>
          </w:tcPr>
          <w:p>
            <w:r>
              <w:t>E3</w:t>
            </w:r>
          </w:p>
        </w:tc>
        <w:tc>
          <w:tcPr>
            <w:tcW w:type="dxa" w:w="3120"/>
          </w:tcPr>
          <w:p>
            <w:r>
              <w:t>Real-time alerting</w:t>
            </w:r>
          </w:p>
        </w:tc>
        <w:tc>
          <w:tcPr>
            <w:tcW w:type="dxa" w:w="3120"/>
          </w:tcPr>
          <w:p>
            <w:r>
              <w:t>Yes — error-rate + auth-failure thresholds page on-call</w:t>
            </w:r>
          </w:p>
        </w:tc>
      </w:tr>
      <w:tr>
        <w:tc>
          <w:tcPr>
            <w:tcW w:type="dxa" w:w="3120"/>
          </w:tcPr>
          <w:p>
            <w:r>
              <w:t>E4</w:t>
            </w:r>
          </w:p>
        </w:tc>
        <w:tc>
          <w:tcPr>
            <w:tcW w:type="dxa" w:w="3120"/>
          </w:tcPr>
          <w:p>
            <w:r>
              <w:t>Log review frequency</w:t>
            </w:r>
          </w:p>
        </w:tc>
        <w:tc>
          <w:tcPr>
            <w:tcW w:type="dxa" w:w="3120"/>
          </w:tcPr>
          <w:p>
            <w:r>
              <w:t>Daily automated review; weekly human review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F. Application security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F1</w:t>
            </w:r>
          </w:p>
        </w:tc>
        <w:tc>
          <w:tcPr>
            <w:tcW w:type="dxa" w:w="3120"/>
          </w:tcPr>
          <w:p>
            <w:r>
              <w:t>Secure SDLC</w:t>
            </w:r>
          </w:p>
        </w:tc>
        <w:tc>
          <w:tcPr>
            <w:tcW w:type="dxa" w:w="3120"/>
          </w:tcPr>
          <w:p>
            <w:r>
              <w:t>Yes — peer review on every change; CI lints + tests + typecheck on every PR</w:t>
            </w:r>
          </w:p>
        </w:tc>
      </w:tr>
      <w:tr>
        <w:tc>
          <w:tcPr>
            <w:tcW w:type="dxa" w:w="3120"/>
          </w:tcPr>
          <w:p>
            <w:r>
              <w:t>F2</w:t>
            </w:r>
          </w:p>
        </w:tc>
        <w:tc>
          <w:tcPr>
            <w:tcW w:type="dxa" w:w="3120"/>
          </w:tcPr>
          <w:p>
            <w:r>
              <w:t>Dependency vulnerability scanning</w:t>
            </w:r>
          </w:p>
        </w:tc>
        <w:tc>
          <w:tcPr>
            <w:tcW w:type="dxa" w:w="3120"/>
          </w:tcPr>
          <w:p>
            <w:r>
              <w:t>Yes — automated SCA on every CI build</w:t>
            </w:r>
          </w:p>
        </w:tc>
      </w:tr>
      <w:tr>
        <w:tc>
          <w:tcPr>
            <w:tcW w:type="dxa" w:w="3120"/>
          </w:tcPr>
          <w:p>
            <w:r>
              <w:t>F3</w:t>
            </w:r>
          </w:p>
        </w:tc>
        <w:tc>
          <w:tcPr>
            <w:tcW w:type="dxa" w:w="3120"/>
          </w:tcPr>
          <w:p>
            <w:r>
              <w:t>SAST</w:t>
            </w:r>
          </w:p>
        </w:tc>
        <w:tc>
          <w:tcPr>
            <w:tcW w:type="dxa" w:w="3120"/>
          </w:tcPr>
          <w:p>
            <w:r>
              <w:t>Yes — TypeScript strict mode + ESLint with security rules</w:t>
            </w:r>
          </w:p>
        </w:tc>
      </w:tr>
      <w:tr>
        <w:tc>
          <w:tcPr>
            <w:tcW w:type="dxa" w:w="3120"/>
          </w:tcPr>
          <w:p>
            <w:r>
              <w:t>F4</w:t>
            </w:r>
          </w:p>
        </w:tc>
        <w:tc>
          <w:tcPr>
            <w:tcW w:type="dxa" w:w="3120"/>
          </w:tcPr>
          <w:p>
            <w:r>
              <w:t>DAST</w:t>
            </w:r>
          </w:p>
        </w:tc>
        <w:tc>
          <w:tcPr>
            <w:tcW w:type="dxa" w:w="3120"/>
          </w:tcPr>
          <w:p>
            <w:r>
              <w:t>Yes — quarterly penetration testing</w:t>
            </w:r>
          </w:p>
        </w:tc>
      </w:tr>
      <w:tr>
        <w:tc>
          <w:tcPr>
            <w:tcW w:type="dxa" w:w="3120"/>
          </w:tcPr>
          <w:p>
            <w:r>
              <w:t>F5</w:t>
            </w:r>
          </w:p>
        </w:tc>
        <w:tc>
          <w:tcPr>
            <w:tcW w:type="dxa" w:w="3120"/>
          </w:tcPr>
          <w:p>
            <w:r>
              <w:t>OSS license compliance</w:t>
            </w:r>
          </w:p>
        </w:tc>
        <w:tc>
          <w:tcPr>
            <w:tcW w:type="dxa" w:w="3120"/>
          </w:tcPr>
          <w:p>
            <w:r>
              <w:t>Yes — see docs/ip/07_OSS_License_Inventory.docx</w:t>
            </w:r>
          </w:p>
        </w:tc>
      </w:tr>
      <w:tr>
        <w:tc>
          <w:tcPr>
            <w:tcW w:type="dxa" w:w="3120"/>
          </w:tcPr>
          <w:p>
            <w:r>
              <w:t>F6</w:t>
            </w:r>
          </w:p>
        </w:tc>
        <w:tc>
          <w:tcPr>
            <w:tcW w:type="dxa" w:w="3120"/>
          </w:tcPr>
          <w:p>
            <w:r>
              <w:t>Bug-bounty programme</w:t>
            </w:r>
          </w:p>
        </w:tc>
        <w:tc>
          <w:tcPr>
            <w:tcW w:type="dxa" w:w="3120"/>
          </w:tcPr>
          <w:p>
            <w:r>
              <w:t>Planned — to be launched alongside production milestone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G. Operational security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G1</w:t>
            </w:r>
          </w:p>
        </w:tc>
        <w:tc>
          <w:tcPr>
            <w:tcW w:type="dxa" w:w="3120"/>
          </w:tcPr>
          <w:p>
            <w:r>
              <w:t>Backup frequency</w:t>
            </w:r>
          </w:p>
        </w:tc>
        <w:tc>
          <w:tcPr>
            <w:tcW w:type="dxa" w:w="3120"/>
          </w:tcPr>
          <w:p>
            <w:r>
              <w:t>Continuous (point-in-time recovery) + daily snapshots, retained 30 days</w:t>
            </w:r>
          </w:p>
        </w:tc>
      </w:tr>
      <w:tr>
        <w:tc>
          <w:tcPr>
            <w:tcW w:type="dxa" w:w="3120"/>
          </w:tcPr>
          <w:p>
            <w:r>
              <w:t>G2</w:t>
            </w:r>
          </w:p>
        </w:tc>
        <w:tc>
          <w:tcPr>
            <w:tcW w:type="dxa" w:w="3120"/>
          </w:tcPr>
          <w:p>
            <w:r>
              <w:t>Disaster recovery</w:t>
            </w:r>
          </w:p>
        </w:tc>
        <w:tc>
          <w:tcPr>
            <w:tcW w:type="dxa" w:w="3120"/>
          </w:tcPr>
          <w:p>
            <w:r>
              <w:t>Documented runbook; quarterly DR drill</w:t>
            </w:r>
          </w:p>
        </w:tc>
      </w:tr>
      <w:tr>
        <w:tc>
          <w:tcPr>
            <w:tcW w:type="dxa" w:w="3120"/>
          </w:tcPr>
          <w:p>
            <w:r>
              <w:t>G3</w:t>
            </w:r>
          </w:p>
        </w:tc>
        <w:tc>
          <w:tcPr>
            <w:tcW w:type="dxa" w:w="3120"/>
          </w:tcPr>
          <w:p>
            <w:r>
              <w:t>Business continuity</w:t>
            </w:r>
          </w:p>
        </w:tc>
        <w:tc>
          <w:tcPr>
            <w:tcW w:type="dxa" w:w="3120"/>
          </w:tcPr>
          <w:p>
            <w:r>
              <w:t>Cross-region replication; documented succession plan</w:t>
            </w:r>
          </w:p>
        </w:tc>
      </w:tr>
      <w:tr>
        <w:tc>
          <w:tcPr>
            <w:tcW w:type="dxa" w:w="3120"/>
          </w:tcPr>
          <w:p>
            <w:r>
              <w:t>G4</w:t>
            </w:r>
          </w:p>
        </w:tc>
        <w:tc>
          <w:tcPr>
            <w:tcW w:type="dxa" w:w="3120"/>
          </w:tcPr>
          <w:p>
            <w:r>
              <w:t>Change management</w:t>
            </w:r>
          </w:p>
        </w:tc>
        <w:tc>
          <w:tcPr>
            <w:tcW w:type="dxa" w:w="3120"/>
          </w:tcPr>
          <w:p>
            <w:r>
              <w:t>All changes go through PR + review + CI before production</w:t>
            </w:r>
          </w:p>
        </w:tc>
      </w:tr>
      <w:tr>
        <w:tc>
          <w:tcPr>
            <w:tcW w:type="dxa" w:w="3120"/>
          </w:tcPr>
          <w:p>
            <w:r>
              <w:t>G5</w:t>
            </w:r>
          </w:p>
        </w:tc>
        <w:tc>
          <w:tcPr>
            <w:tcW w:type="dxa" w:w="3120"/>
          </w:tcPr>
          <w:p>
            <w:r>
              <w:t>Patch management</w:t>
            </w:r>
          </w:p>
        </w:tc>
        <w:tc>
          <w:tcPr>
            <w:tcW w:type="dxa" w:w="3120"/>
          </w:tcPr>
          <w:p>
            <w:r>
              <w:t>Security-patch SLA 14 days; critical within 48 hours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H. Compliance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H1</w:t>
            </w:r>
          </w:p>
        </w:tc>
        <w:tc>
          <w:tcPr>
            <w:tcW w:type="dxa" w:w="3120"/>
          </w:tcPr>
          <w:p>
            <w:r>
              <w:t>ISO/IEC 27001</w:t>
            </w:r>
          </w:p>
        </w:tc>
        <w:tc>
          <w:tcPr>
            <w:tcW w:type="dxa" w:w="3120"/>
          </w:tcPr>
          <w:p>
            <w:r>
              <w:t>Aligned — third-party certification planned year 2</w:t>
            </w:r>
          </w:p>
        </w:tc>
      </w:tr>
      <w:tr>
        <w:tc>
          <w:tcPr>
            <w:tcW w:type="dxa" w:w="3120"/>
          </w:tcPr>
          <w:p>
            <w:r>
              <w:t>H2</w:t>
            </w:r>
          </w:p>
        </w:tc>
        <w:tc>
          <w:tcPr>
            <w:tcW w:type="dxa" w:w="3120"/>
          </w:tcPr>
          <w:p>
            <w:r>
              <w:t>SOC 2</w:t>
            </w:r>
          </w:p>
        </w:tc>
        <w:tc>
          <w:tcPr>
            <w:tcW w:type="dxa" w:w="3120"/>
          </w:tcPr>
          <w:p>
            <w:r>
              <w:t>Type I evaluation planned year 2; Type II year 3</w:t>
            </w:r>
          </w:p>
        </w:tc>
      </w:tr>
      <w:tr>
        <w:tc>
          <w:tcPr>
            <w:tcW w:type="dxa" w:w="3120"/>
          </w:tcPr>
          <w:p>
            <w:r>
              <w:t>H3</w:t>
            </w:r>
          </w:p>
        </w:tc>
        <w:tc>
          <w:tcPr>
            <w:tcW w:type="dxa" w:w="3120"/>
          </w:tcPr>
          <w:p>
            <w:r>
              <w:t>Industry-specific compliance</w:t>
            </w:r>
          </w:p>
        </w:tc>
        <w:tc>
          <w:tcPr>
            <w:tcW w:type="dxa" w:w="3120"/>
          </w:tcPr>
          <w:p>
            <w:r>
              <w:t>Specific to Akili — see procurement packet</w:t>
            </w:r>
          </w:p>
        </w:tc>
      </w:tr>
      <w:tr>
        <w:tc>
          <w:tcPr>
            <w:tcW w:type="dxa" w:w="3120"/>
          </w:tcPr>
          <w:p>
            <w:r>
              <w:t>H4</w:t>
            </w:r>
          </w:p>
        </w:tc>
        <w:tc>
          <w:tcPr>
            <w:tcW w:type="dxa" w:w="3120"/>
          </w:tcPr>
          <w:p>
            <w:r>
              <w:t>Last external security review</w:t>
            </w:r>
          </w:p>
        </w:tc>
        <w:tc>
          <w:tcPr>
            <w:tcW w:type="dxa" w:w="3120"/>
          </w:tcPr>
          <w:p>
            <w:r>
              <w:t>Pending — Q2 2027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I. Subcontractors and supply chain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I1</w:t>
            </w:r>
          </w:p>
        </w:tc>
        <w:tc>
          <w:tcPr>
            <w:tcW w:type="dxa" w:w="3120"/>
          </w:tcPr>
          <w:p>
            <w:r>
              <w:t>Cloud / hosting provider</w:t>
            </w:r>
          </w:p>
        </w:tc>
        <w:tc>
          <w:tcPr>
            <w:tcW w:type="dxa" w:w="3120"/>
          </w:tcPr>
          <w:p>
            <w:r>
              <w:t>Supabase Pro + sovereign secondary in TZ</w:t>
            </w:r>
          </w:p>
        </w:tc>
      </w:tr>
      <w:tr>
        <w:tc>
          <w:tcPr>
            <w:tcW w:type="dxa" w:w="3120"/>
          </w:tcPr>
          <w:p>
            <w:r>
              <w:t>I2</w:t>
            </w:r>
          </w:p>
        </w:tc>
        <w:tc>
          <w:tcPr>
            <w:tcW w:type="dxa" w:w="3120"/>
          </w:tcPr>
          <w:p>
            <w:r>
              <w:t>Third-party libraries</w:t>
            </w:r>
          </w:p>
        </w:tc>
        <w:tc>
          <w:tcPr>
            <w:tcW w:type="dxa" w:w="3120"/>
          </w:tcPr>
          <w:p>
            <w:r>
              <w:t>MIT / Apache-2.0 / ISC / BSD only at runtime; no GPL/AGPL</w:t>
            </w:r>
          </w:p>
        </w:tc>
      </w:tr>
      <w:tr>
        <w:tc>
          <w:tcPr>
            <w:tcW w:type="dxa" w:w="3120"/>
          </w:tcPr>
          <w:p>
            <w:r>
              <w:t>I3</w:t>
            </w:r>
          </w:p>
        </w:tc>
        <w:tc>
          <w:tcPr>
            <w:tcW w:type="dxa" w:w="3120"/>
          </w:tcPr>
          <w:p>
            <w:r>
              <w:t>Code repository</w:t>
            </w:r>
          </w:p>
        </w:tc>
        <w:tc>
          <w:tcPr>
            <w:tcW w:type="dxa" w:w="3120"/>
          </w:tcPr>
          <w:p>
            <w:r>
              <w:t>GitHub Enterprise (private repos under nooher org)</w:t>
            </w:r>
          </w:p>
        </w:tc>
      </w:tr>
      <w:tr>
        <w:tc>
          <w:tcPr>
            <w:tcW w:type="dxa" w:w="3120"/>
          </w:tcPr>
          <w:p>
            <w:r>
              <w:t>I4</w:t>
            </w:r>
          </w:p>
        </w:tc>
        <w:tc>
          <w:tcPr>
            <w:tcW w:type="dxa" w:w="3120"/>
          </w:tcPr>
          <w:p>
            <w:r>
              <w:t>CI/CD</w:t>
            </w:r>
          </w:p>
        </w:tc>
        <w:tc>
          <w:tcPr>
            <w:tcW w:type="dxa" w:w="3120"/>
          </w:tcPr>
          <w:p>
            <w:r>
              <w:t>GitHub Actions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J. Personnel security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J1</w:t>
            </w:r>
          </w:p>
        </w:tc>
        <w:tc>
          <w:tcPr>
            <w:tcW w:type="dxa" w:w="3120"/>
          </w:tcPr>
          <w:p>
            <w:r>
              <w:t>Background checks</w:t>
            </w:r>
          </w:p>
        </w:tc>
        <w:tc>
          <w:tcPr>
            <w:tcW w:type="dxa" w:w="3120"/>
          </w:tcPr>
          <w:p>
            <w:r>
              <w:t>Yes for all personnel handling Customer data</w:t>
            </w:r>
          </w:p>
        </w:tc>
      </w:tr>
      <w:tr>
        <w:tc>
          <w:tcPr>
            <w:tcW w:type="dxa" w:w="3120"/>
          </w:tcPr>
          <w:p>
            <w:r>
              <w:t>J2</w:t>
            </w:r>
          </w:p>
        </w:tc>
        <w:tc>
          <w:tcPr>
            <w:tcW w:type="dxa" w:w="3120"/>
          </w:tcPr>
          <w:p>
            <w:r>
              <w:t>Confidentiality agreements</w:t>
            </w:r>
          </w:p>
        </w:tc>
        <w:tc>
          <w:tcPr>
            <w:tcW w:type="dxa" w:w="3120"/>
          </w:tcPr>
          <w:p>
            <w:r>
              <w:t>Yes — see docs/ip/09_Confidentiality_IP_Assignment.docx</w:t>
            </w:r>
          </w:p>
        </w:tc>
      </w:tr>
      <w:tr>
        <w:tc>
          <w:tcPr>
            <w:tcW w:type="dxa" w:w="3120"/>
          </w:tcPr>
          <w:p>
            <w:r>
              <w:t>J3</w:t>
            </w:r>
          </w:p>
        </w:tc>
        <w:tc>
          <w:tcPr>
            <w:tcW w:type="dxa" w:w="3120"/>
          </w:tcPr>
          <w:p>
            <w:r>
              <w:t>Security awareness training</w:t>
            </w:r>
          </w:p>
        </w:tc>
        <w:tc>
          <w:tcPr>
            <w:tcW w:type="dxa" w:w="3120"/>
          </w:tcPr>
          <w:p>
            <w:r>
              <w:t>On-boarding + annual refresh; phishing simulations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K. Termination and offboarding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3120"/>
          </w:tcPr>
          <w:p>
            <w:r>
              <w:t>K1</w:t>
            </w:r>
          </w:p>
        </w:tc>
        <w:tc>
          <w:tcPr>
            <w:tcW w:type="dxa" w:w="3120"/>
          </w:tcPr>
          <w:p>
            <w:r>
              <w:t>Data return on termination</w:t>
            </w:r>
          </w:p>
        </w:tc>
        <w:tc>
          <w:tcPr>
            <w:tcW w:type="dxa" w:w="3120"/>
          </w:tcPr>
          <w:p>
            <w:r>
              <w:t>Within 90 days, in a portable format the Customer specifies</w:t>
            </w:r>
          </w:p>
        </w:tc>
      </w:tr>
      <w:tr>
        <w:tc>
          <w:tcPr>
            <w:tcW w:type="dxa" w:w="3120"/>
          </w:tcPr>
          <w:p>
            <w:r>
              <w:t>K2</w:t>
            </w:r>
          </w:p>
        </w:tc>
        <w:tc>
          <w:tcPr>
            <w:tcW w:type="dxa" w:w="3120"/>
          </w:tcPr>
          <w:p>
            <w:r>
              <w:t>Data deletion on termination</w:t>
            </w:r>
          </w:p>
        </w:tc>
        <w:tc>
          <w:tcPr>
            <w:tcW w:type="dxa" w:w="3120"/>
          </w:tcPr>
          <w:p>
            <w:r>
              <w:t>Certified deletion; secondary replicas purged within 30 days of primary purge</w:t>
            </w:r>
          </w:p>
        </w:tc>
      </w:tr>
      <w:tr>
        <w:tc>
          <w:tcPr>
            <w:tcW w:type="dxa" w:w="3120"/>
          </w:tcPr>
          <w:p>
            <w:r>
              <w:t>K3</w:t>
            </w:r>
          </w:p>
        </w:tc>
        <w:tc>
          <w:tcPr>
            <w:tcW w:type="dxa" w:w="3120"/>
          </w:tcPr>
          <w:p>
            <w:r>
              <w:t>Knowledge transfer</w:t>
            </w:r>
          </w:p>
        </w:tc>
        <w:tc>
          <w:tcPr>
            <w:tcW w:type="dxa" w:w="3120"/>
          </w:tcPr>
          <w:p>
            <w:r>
              <w:t>Documented runbooks; agreed exit-assistance period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