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4"/>
        </w:rPr>
        <w:t>Akili — Theory of Change</w:t>
      </w:r>
    </w:p>
    <w:p>
      <w:r>
        <w:rPr>
          <w:i/>
          <w:color w:val="6A6760"/>
        </w:rPr>
        <w:t>Inputs → activities → outputs → outcomes → impact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rPr>
          <w:color w:val="0F0D09"/>
          <w:sz w:val="30"/>
        </w:rPr>
        <w:t>1. Mission</w:t>
      </w:r>
    </w:p>
    <w:p>
      <w:r>
        <w:rPr>
          <w:b w:val="0"/>
        </w:rPr>
        <w:t>African languages no longer second-class on AI infrastructure; Tanzanian and African public-sector + private-sector clients can adopt AI without ceding data sovereignty, control, or pricing leverage to a foreign incumbent — establishing a defensible AI sovereignty position before the Tanzania AI Bill mandates one.</w:t>
      </w:r>
    </w:p>
    <w:p>
      <w:pPr>
        <w:pStyle w:val="Heading1"/>
      </w:pPr>
      <w:r>
        <w:rPr>
          <w:color w:val="0F0D09"/>
          <w:sz w:val="30"/>
        </w:rPr>
        <w:t>2. The Theory of Change at a glance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Inputs</w:t>
            </w:r>
          </w:p>
        </w:tc>
        <w:tc>
          <w:tcPr>
            <w:tcW w:type="dxa" w:w="4680"/>
          </w:tcPr>
          <w:p>
            <w:r>
              <w:t>Founder, engineers, partners, funders, regulators, content sources</w:t>
            </w:r>
          </w:p>
        </w:tc>
      </w:tr>
      <w:tr>
        <w:tc>
          <w:tcPr>
            <w:tcW w:type="dxa" w:w="4680"/>
          </w:tcPr>
          <w:p>
            <w:r>
              <w:t>Activities</w:t>
            </w:r>
          </w:p>
        </w:tc>
        <w:tc>
          <w:tcPr>
            <w:tcW w:type="dxa" w:w="4680"/>
          </w:tcPr>
          <w:p>
            <w:r>
              <w:t>Build, integrate, deploy, train, audit, evaluate</w:t>
            </w:r>
          </w:p>
        </w:tc>
      </w:tr>
      <w:tr>
        <w:tc>
          <w:tcPr>
            <w:tcW w:type="dxa" w:w="4680"/>
          </w:tcPr>
          <w:p>
            <w:r>
              <w:t>Outputs</w:t>
            </w:r>
          </w:p>
        </w:tc>
        <w:tc>
          <w:tcPr>
            <w:tcW w:type="dxa" w:w="4680"/>
          </w:tcPr>
          <w:p>
            <w:r>
              <w:t>One sovereign Swahili AI router federating domain experts (TibaAI, Kasuku, SNIL, Msikia); An SDK that partners can embed without sending user data to Western LLMs; Pi-edge builds that run fully offline with no external dependency …</w:t>
            </w:r>
          </w:p>
        </w:tc>
      </w:tr>
      <w:tr>
        <w:tc>
          <w:tcPr>
            <w:tcW w:type="dxa" w:w="4680"/>
          </w:tcPr>
          <w:p>
            <w:r>
              <w:t>Outcomes</w:t>
            </w:r>
          </w:p>
        </w:tc>
        <w:tc>
          <w:tcPr>
            <w:tcW w:type="dxa" w:w="4680"/>
          </w:tcPr>
          <w:p>
            <w:r>
              <w:t>Sovereign AI option available to Tanzanian government procurement by year 1; Swahili AI quality measurably higher than Western LLMs on African-language benchmarks; Per-query cost in target languages 10–100× lower than Western LLM API rates …</w:t>
            </w:r>
          </w:p>
        </w:tc>
      </w:tr>
      <w:tr>
        <w:tc>
          <w:tcPr>
            <w:tcW w:type="dxa" w:w="4680"/>
          </w:tcPr>
          <w:p>
            <w:r>
              <w:t>Impact</w:t>
            </w:r>
          </w:p>
        </w:tc>
        <w:tc>
          <w:tcPr>
            <w:tcW w:type="dxa" w:w="4680"/>
          </w:tcPr>
          <w:p>
            <w:r>
              <w:t>African languages no longer second-class on AI infrastructure; Tanzanian and African public-sector + private-sector clients can adopt AI without ceding data sovereignty, control, or pricing leverage to a foreign incumbent — establishing a defensible AI sovereignty position before the Tanzania AI Bill mandates one.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3. Inputs</w:t>
      </w:r>
    </w:p>
    <w:p>
      <w:pPr>
        <w:pStyle w:val="ListBullet"/>
      </w:pPr>
      <w:r>
        <w:t>Founder: Dr. Ally A. Nooher, MD, MPS-HIT</w:t>
      </w:r>
    </w:p>
    <w:p>
      <w:pPr>
        <w:pStyle w:val="ListBullet"/>
      </w:pPr>
      <w:r>
        <w:t>Engineering team — hire plan in docs/investor/financials.xlsx</w:t>
      </w:r>
    </w:p>
    <w:p>
      <w:pPr>
        <w:pStyle w:val="ListBullet"/>
      </w:pPr>
      <w:r>
        <w:t>Lead agency partner: MoIC — Ministry of Information, Communications and Information Technology</w:t>
      </w:r>
    </w:p>
    <w:p>
      <w:pPr>
        <w:pStyle w:val="ListBullet"/>
      </w:pPr>
      <w:r>
        <w:t>Secondary partners: TCRA — Tanzania Communications Regulatory Authority, Office of the Government Chief Statistician, Anticipated: Tanzania AI Bill enforcement body (TBD when bill lands)</w:t>
      </w:r>
    </w:p>
    <w:p>
      <w:pPr>
        <w:pStyle w:val="ListBullet"/>
      </w:pPr>
      <w:r>
        <w:t>Donor / grant funding to bridge the gap between MoU signature and revenue-positive scale</w:t>
      </w:r>
    </w:p>
    <w:p>
      <w:pPr>
        <w:pStyle w:val="Heading1"/>
      </w:pPr>
      <w:r>
        <w:rPr>
          <w:color w:val="0F0D09"/>
          <w:sz w:val="30"/>
        </w:rPr>
        <w:t>4. Activities</w:t>
      </w:r>
    </w:p>
    <w:p>
      <w:pPr>
        <w:pStyle w:val="ListBullet"/>
      </w:pPr>
      <w:r>
        <w:t>Build the platform end-to-end (see investor deck for build status)</w:t>
      </w:r>
    </w:p>
    <w:p>
      <w:pPr>
        <w:pStyle w:val="ListBullet"/>
      </w:pPr>
      <w:r>
        <w:t>Land the MoU with the lead agency</w:t>
      </w:r>
    </w:p>
    <w:p>
      <w:pPr>
        <w:pStyle w:val="ListBullet"/>
      </w:pPr>
      <w:r>
        <w:t>Stand up integrations with secondary partners on the published roadmap</w:t>
      </w:r>
    </w:p>
    <w:p>
      <w:pPr>
        <w:pStyle w:val="ListBullet"/>
      </w:pPr>
      <w:r>
        <w:t>Train end-users + counterparts at the partner agencies</w:t>
      </w:r>
    </w:p>
    <w:p>
      <w:pPr>
        <w:pStyle w:val="ListBullet"/>
      </w:pPr>
      <w:r>
        <w:t>Audit, evaluate, and adjust on a quarterly review cadence</w:t>
      </w:r>
    </w:p>
    <w:p>
      <w:pPr>
        <w:pStyle w:val="ListBullet"/>
      </w:pPr>
      <w:r>
        <w:t>Publish open data and learning back to the wider ecosystem</w:t>
      </w:r>
    </w:p>
    <w:p>
      <w:pPr>
        <w:pStyle w:val="Heading1"/>
      </w:pPr>
      <w:r>
        <w:rPr>
          <w:color w:val="0F0D09"/>
          <w:sz w:val="30"/>
        </w:rPr>
        <w:t>5. Outputs</w:t>
      </w:r>
    </w:p>
    <w:p>
      <w:pPr>
        <w:pStyle w:val="ListBullet"/>
      </w:pPr>
      <w:r>
        <w:t>One sovereign Swahili AI router federating domain experts (TibaAI, Kasuku, SNIL, Msikia)</w:t>
      </w:r>
    </w:p>
    <w:p>
      <w:pPr>
        <w:pStyle w:val="ListBullet"/>
      </w:pPr>
      <w:r>
        <w:t>An SDK that partners can embed without sending user data to Western LLMs</w:t>
      </w:r>
    </w:p>
    <w:p>
      <w:pPr>
        <w:pStyle w:val="ListBullet"/>
      </w:pPr>
      <w:r>
        <w:t>Pi-edge builds that run fully offline with no external dependency</w:t>
      </w:r>
    </w:p>
    <w:p>
      <w:pPr>
        <w:pStyle w:val="ListBullet"/>
      </w:pPr>
      <w:r>
        <w:t>A published edge-inference benchmark suite as a public deliverable</w:t>
      </w:r>
    </w:p>
    <w:p>
      <w:pPr>
        <w:pStyle w:val="ListBullet"/>
      </w:pPr>
      <w:r>
        <w:t>Reference adapters for the four Laetoli products that already federate it</w:t>
      </w:r>
    </w:p>
    <w:p>
      <w:pPr>
        <w:pStyle w:val="Heading1"/>
      </w:pPr>
      <w:r>
        <w:rPr>
          <w:color w:val="0F0D09"/>
          <w:sz w:val="30"/>
        </w:rPr>
        <w:t>6. Outcomes</w:t>
      </w:r>
    </w:p>
    <w:p>
      <w:pPr>
        <w:pStyle w:val="ListBullet"/>
      </w:pPr>
      <w:r>
        <w:t>Sovereign AI option available to Tanzanian government procurement by year 1</w:t>
      </w:r>
    </w:p>
    <w:p>
      <w:pPr>
        <w:pStyle w:val="ListBullet"/>
      </w:pPr>
      <w:r>
        <w:t>Swahili AI quality measurably higher than Western LLMs on African-language benchmarks</w:t>
      </w:r>
    </w:p>
    <w:p>
      <w:pPr>
        <w:pStyle w:val="ListBullet"/>
      </w:pPr>
      <w:r>
        <w:t>Per-query cost in target languages 10–100× lower than Western LLM API rates</w:t>
      </w:r>
    </w:p>
    <w:p>
      <w:pPr>
        <w:pStyle w:val="ListBullet"/>
      </w:pPr>
      <w:r>
        <w:t>Pan-African sovereign-AI ecosystem catalysed via the published benchmark and SDK</w:t>
      </w:r>
    </w:p>
    <w:p>
      <w:pPr>
        <w:pStyle w:val="Heading1"/>
      </w:pPr>
      <w:r>
        <w:rPr>
          <w:color w:val="0F0D09"/>
          <w:sz w:val="30"/>
        </w:rPr>
        <w:t>7. Impact</w:t>
      </w:r>
    </w:p>
    <w:p>
      <w:r>
        <w:rPr>
          <w:b w:val="0"/>
        </w:rPr>
        <w:t>African languages no longer second-class on AI infrastructure; Tanzanian and African public-sector + private-sector clients can adopt AI without ceding data sovereignty, control, or pricing leverage to a foreign incumbent — establishing a defensible AI sovereignty position before the Tanzania AI Bill mandates one.</w:t>
      </w:r>
    </w:p>
    <w:p>
      <w:pPr>
        <w:pStyle w:val="Heading1"/>
      </w:pPr>
      <w:r>
        <w:rPr>
          <w:color w:val="0F0D09"/>
          <w:sz w:val="30"/>
        </w:rPr>
        <w:t>8. Assumptions</w:t>
      </w:r>
    </w:p>
    <w:p>
      <w:pPr>
        <w:pStyle w:val="ListBullet"/>
      </w:pPr>
      <w:r>
        <w:t>Edge inference performance continues to improve (HuggingFace Transformers, llama.cpp etc.)</w:t>
      </w:r>
    </w:p>
    <w:p>
      <w:pPr>
        <w:pStyle w:val="ListBullet"/>
      </w:pPr>
      <w:r>
        <w:t>Tanzania AI Bill, when it lands, broadly tracks the sovereignty + data-residency expectations Akili anticipates</w:t>
      </w:r>
    </w:p>
    <w:p>
      <w:pPr>
        <w:pStyle w:val="ListBullet"/>
      </w:pPr>
      <w:r>
        <w:t>Vendored engine quality (TibaAI clinical, Kasuku language) stays current with expert review</w:t>
      </w:r>
    </w:p>
    <w:p>
      <w:pPr>
        <w:pStyle w:val="Heading1"/>
      </w:pPr>
      <w:r>
        <w:rPr>
          <w:color w:val="0F0D09"/>
          <w:sz w:val="30"/>
        </w:rPr>
        <w:t>9. Risks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120"/>
          </w:tcPr>
          <w:p>
            <w:r>
              <w:t>Regulatory</w:t>
            </w:r>
          </w:p>
        </w:tc>
        <w:tc>
          <w:tcPr>
            <w:tcW w:type="dxa" w:w="3120"/>
          </w:tcPr>
          <w:p>
            <w:r>
              <w:t>AI Bill lands with unexpected requirements that don't match Akili's posture</w:t>
            </w:r>
          </w:p>
        </w:tc>
        <w:tc>
          <w:tcPr>
            <w:tcW w:type="dxa" w:w="3120"/>
          </w:tcPr>
          <w:p>
            <w:r>
              <w:t>Active engagement during the bill's policy phase; pluggable engine architecture</w:t>
            </w:r>
          </w:p>
        </w:tc>
      </w:tr>
      <w:tr>
        <w:tc>
          <w:tcPr>
            <w:tcW w:type="dxa" w:w="3120"/>
          </w:tcPr>
          <w:p>
            <w:r>
              <w:t>Technical</w:t>
            </w:r>
          </w:p>
        </w:tc>
        <w:tc>
          <w:tcPr>
            <w:tcW w:type="dxa" w:w="3120"/>
          </w:tcPr>
          <w:p>
            <w:r>
              <w:t>Edge inference performance plateaus at insufficient quality for clinical use</w:t>
            </w:r>
          </w:p>
        </w:tc>
        <w:tc>
          <w:tcPr>
            <w:tcW w:type="dxa" w:w="3120"/>
          </w:tcPr>
          <w:p>
            <w:r>
              <w:t>Hybrid edge + cloud option; clear quality tier matched to surface</w:t>
            </w:r>
          </w:p>
        </w:tc>
      </w:tr>
      <w:tr>
        <w:tc>
          <w:tcPr>
            <w:tcW w:type="dxa" w:w="3120"/>
          </w:tcPr>
          <w:p>
            <w:r>
              <w:t>Competitive</w:t>
            </w:r>
          </w:p>
        </w:tc>
        <w:tc>
          <w:tcPr>
            <w:tcW w:type="dxa" w:w="3120"/>
          </w:tcPr>
          <w:p>
            <w:r>
              <w:t>A Western incumbent open-sources a comparable sovereign offering</w:t>
            </w:r>
          </w:p>
        </w:tc>
        <w:tc>
          <w:tcPr>
            <w:tcW w:type="dxa" w:w="3120"/>
          </w:tcPr>
          <w:p>
            <w:r>
              <w:t>Vendored engine moat is in TZ-specific domain depth, not raw scale</w:t>
            </w:r>
          </w:p>
        </w:tc>
      </w:tr>
      <w:tr>
        <w:tc>
          <w:tcPr>
            <w:tcW w:type="dxa" w:w="3120"/>
          </w:tcPr>
          <w:p>
            <w:r>
              <w:t>Ecosystem</w:t>
            </w:r>
          </w:p>
        </w:tc>
        <w:tc>
          <w:tcPr>
            <w:tcW w:type="dxa" w:w="3120"/>
          </w:tcPr>
          <w:p>
            <w:r>
              <w:t>External SDK partners slow to adopt</w:t>
            </w:r>
          </w:p>
        </w:tc>
        <w:tc>
          <w:tcPr>
            <w:tcW w:type="dxa" w:w="3120"/>
          </w:tcPr>
          <w:p>
            <w:r>
              <w:t>Anchor partner programme with 3 Tanzanian product partners in year 1; pricing leverage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10. Beneficiaries</w:t>
      </w:r>
    </w:p>
    <w:p>
      <w:r>
        <w:rPr>
          <w:b w:val="0"/>
        </w:rPr>
        <w:t>Every end-user of every Laetoli product (federation across THOS, TABHOS, IRMP, Kasuku); external partner products via SDK; Tanzanian government clients requiring sovereign AI; pan-African builders wanting a sovereign-AI option.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