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Akili — ISMS Overview</w:t>
      </w:r>
    </w:p>
    <w:p>
      <w:r>
        <w:rPr>
          <w:i/>
          <w:color w:val="6A6760"/>
        </w:rPr>
        <w:t>Information Security Management System scope, assets, roles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Scope of the ISMS</w:t>
      </w:r>
    </w:p>
    <w:p>
      <w:r>
        <w:rPr>
          <w:b w:val="0"/>
        </w:rPr>
        <w:t>The Information Security Management System (ISMS) covers all systems, processes, people and information that support the operation of Akili — Laetoli's sovereign Swahili AI.</w:t>
      </w:r>
    </w:p>
    <w:p>
      <w:r>
        <w:rPr>
          <w:b w:val="0"/>
        </w:rPr>
        <w:t>Inclusive of:</w:t>
      </w:r>
    </w:p>
    <w:p>
      <w:pPr>
        <w:pStyle w:val="ListBullet"/>
      </w:pPr>
      <w:r>
        <w:t>All source code repositories of Akili and its shared dependencies (@laetoli/core, @laetoli/admin)</w:t>
      </w:r>
    </w:p>
    <w:p>
      <w:pPr>
        <w:pStyle w:val="ListBullet"/>
      </w:pPr>
      <w:r>
        <w:t>All production environments hosting Akili — Supabase (where applicable), Vercel, and any sovereign secondary</w:t>
      </w:r>
    </w:p>
    <w:p>
      <w:pPr>
        <w:pStyle w:val="ListBullet"/>
      </w:pPr>
      <w:r>
        <w:t>All test, staging and CI environments</w:t>
      </w:r>
    </w:p>
    <w:p>
      <w:pPr>
        <w:pStyle w:val="ListBullet"/>
      </w:pPr>
      <w:r>
        <w:t>All workstations of personnel with access to Akili systems</w:t>
      </w:r>
    </w:p>
    <w:p>
      <w:pPr>
        <w:pStyle w:val="ListBullet"/>
      </w:pPr>
      <w:r>
        <w:t>All third-party services that process Akili data (sub-processors registry)</w:t>
      </w:r>
    </w:p>
    <w:p>
      <w:pPr>
        <w:pStyle w:val="ListBullet"/>
      </w:pPr>
      <w:r>
        <w:t>All printed or other physical records that contain Akili information</w:t>
      </w:r>
    </w:p>
    <w:p>
      <w:r>
        <w:rPr>
          <w:b w:val="0"/>
        </w:rPr>
        <w:t>Exclusive of:</w:t>
      </w:r>
    </w:p>
    <w:p>
      <w:pPr>
        <w:pStyle w:val="ListBullet"/>
      </w:pPr>
      <w:r>
        <w:t>End-customer / end-user devices and networks — these are out of scope of our ISMS but are addressed via product-side guidance</w:t>
      </w:r>
    </w:p>
    <w:p>
      <w:pPr>
        <w:pStyle w:val="Heading1"/>
      </w:pPr>
      <w:r>
        <w:rPr>
          <w:color w:val="0F0D09"/>
          <w:sz w:val="30"/>
        </w:rPr>
        <w:t>2. Information classification</w:t>
      </w:r>
    </w:p>
    <w:p>
      <w:r>
        <w:rPr>
          <w:b w:val="0"/>
        </w:rPr>
        <w:t>This product handles: user queries (in transit; not persisted by Akili itself), SDK consumer API keys, vendored-engine module signatures.</w:t>
      </w:r>
    </w:p>
    <w:p>
      <w:r>
        <w:rPr>
          <w:b w:val="0"/>
        </w:rPr>
        <w:t>Overall classification tier: Internal — Akili itself stores no end-user data; sensitivity inherits from host product.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Handling rules</w:t>
            </w:r>
          </w:p>
        </w:tc>
      </w:tr>
      <w:tr>
        <w:tc>
          <w:tcPr>
            <w:tcW w:type="dxa" w:w="3120"/>
          </w:tcPr>
          <w:p>
            <w:r>
              <w:t>Highly Confidential</w:t>
            </w:r>
          </w:p>
        </w:tc>
        <w:tc>
          <w:tcPr>
            <w:tcW w:type="dxa" w:w="3120"/>
          </w:tcPr>
          <w:p>
            <w:r>
              <w:t>Patient data, mental-health flags, child records, financial records of identifiable individuals</w:t>
            </w:r>
          </w:p>
        </w:tc>
        <w:tc>
          <w:tcPr>
            <w:tcW w:type="dxa" w:w="3120"/>
          </w:tcPr>
          <w:p>
            <w:r>
              <w:t>Encryption at rest + in transit; access logged; need-to-know basis; export requires sign-off</w:t>
            </w:r>
          </w:p>
        </w:tc>
      </w:tr>
      <w:tr>
        <w:tc>
          <w:tcPr>
            <w:tcW w:type="dxa" w:w="3120"/>
          </w:tcPr>
          <w:p>
            <w:r>
              <w:t>Confidential</w:t>
            </w:r>
          </w:p>
        </w:tc>
        <w:tc>
          <w:tcPr>
            <w:tcW w:type="dxa" w:w="3120"/>
          </w:tcPr>
          <w:p>
            <w:r>
              <w:t>Internal architecture, security configs, sub-processor contracts, business plans</w:t>
            </w:r>
          </w:p>
        </w:tc>
        <w:tc>
          <w:tcPr>
            <w:tcW w:type="dxa" w:w="3120"/>
          </w:tcPr>
          <w:p>
            <w:r>
              <w:t>Encryption at rest + in transit; access by role; export requires sign-off</w:t>
            </w:r>
          </w:p>
        </w:tc>
      </w:tr>
      <w:tr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r>
              <w:t>Engineering documentation, runbooks, dashboards</w:t>
            </w:r>
          </w:p>
        </w:tc>
        <w:tc>
          <w:tcPr>
            <w:tcW w:type="dxa" w:w="3120"/>
          </w:tcPr>
          <w:p>
            <w:r>
              <w:t>Access by employee status; not for external distribution</w:t>
            </w:r>
          </w:p>
        </w:tc>
      </w:tr>
      <w:tr>
        <w:tc>
          <w:tcPr>
            <w:tcW w:type="dxa" w:w="3120"/>
          </w:tcPr>
          <w:p>
            <w:r>
              <w:t>Public</w:t>
            </w:r>
          </w:p>
        </w:tc>
        <w:tc>
          <w:tcPr>
            <w:tcW w:type="dxa" w:w="3120"/>
          </w:tcPr>
          <w:p>
            <w:r>
              <w:t>Marketing site, public catalogue (Kasuku), open-source code excerpts under our licence</w:t>
            </w:r>
          </w:p>
        </w:tc>
        <w:tc>
          <w:tcPr>
            <w:tcW w:type="dxa" w:w="3120"/>
          </w:tcPr>
          <w:p>
            <w:r>
              <w:t>No restriction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3. ISMS roles and responsibilities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 holder</w:t>
            </w:r>
          </w:p>
        </w:tc>
      </w:tr>
      <w:tr>
        <w:tc>
          <w:tcPr>
            <w:tcW w:type="dxa" w:w="3120"/>
          </w:tcPr>
          <w:p>
            <w:r>
              <w:t>Information Security Officer (ISO)</w:t>
            </w:r>
          </w:p>
        </w:tc>
        <w:tc>
          <w:tcPr>
            <w:tcW w:type="dxa" w:w="3120"/>
          </w:tcPr>
          <w:p>
            <w:r>
              <w:t>Overall accountability for ISMS, signs off SOA, owns incident response</w:t>
            </w:r>
          </w:p>
        </w:tc>
        <w:tc>
          <w:tcPr>
            <w:tcW w:type="dxa" w:w="3120"/>
          </w:tcPr>
          <w:p>
            <w:r>
              <w:t>Dr. Ally A. Nooher, MD, MPS-HIT</w:t>
            </w:r>
          </w:p>
        </w:tc>
      </w:tr>
      <w:tr>
        <w:tc>
          <w:tcPr>
            <w:tcW w:type="dxa" w:w="3120"/>
          </w:tcPr>
          <w:p>
            <w:r>
              <w:t>Data Protection Officer (DPO)</w:t>
            </w:r>
          </w:p>
        </w:tc>
        <w:tc>
          <w:tcPr>
            <w:tcW w:type="dxa" w:w="3120"/>
          </w:tcPr>
          <w:p>
            <w:r>
              <w:t>PDPA + GDPR compliance, data subject rights, breach notifications</w:t>
            </w:r>
          </w:p>
        </w:tc>
        <w:tc>
          <w:tcPr>
            <w:tcW w:type="dxa" w:w="3120"/>
          </w:tcPr>
          <w:p>
            <w:r>
              <w:t>dpo@laetoli.tz</w:t>
            </w:r>
          </w:p>
        </w:tc>
      </w:tr>
      <w:tr>
        <w:tc>
          <w:tcPr>
            <w:tcW w:type="dxa" w:w="3120"/>
          </w:tcPr>
          <w:p>
            <w:r>
              <w:t>Engineering lead</w:t>
            </w:r>
          </w:p>
        </w:tc>
        <w:tc>
          <w:tcPr>
            <w:tcW w:type="dxa" w:w="3120"/>
          </w:tcPr>
          <w:p>
            <w:r>
              <w:t>Implements security controls in code + infrastructure</w:t>
            </w:r>
          </w:p>
        </w:tc>
        <w:tc>
          <w:tcPr>
            <w:tcW w:type="dxa" w:w="3120"/>
          </w:tcPr>
          <w:p>
            <w:r>
              <w:t>To hire — see investor packet hire plan</w:t>
            </w:r>
          </w:p>
        </w:tc>
      </w:tr>
      <w:tr>
        <w:tc>
          <w:tcPr>
            <w:tcW w:type="dxa" w:w="3120"/>
          </w:tcPr>
          <w:p>
            <w:r>
              <w:t>Operations lead</w:t>
            </w:r>
          </w:p>
        </w:tc>
        <w:tc>
          <w:tcPr>
            <w:tcW w:type="dxa" w:w="3120"/>
          </w:tcPr>
          <w:p>
            <w:r>
              <w:t>Runs the daily security operations (logs, alerts, backups)</w:t>
            </w:r>
          </w:p>
        </w:tc>
        <w:tc>
          <w:tcPr>
            <w:tcW w:type="dxa" w:w="3120"/>
          </w:tcPr>
          <w:p>
            <w:r>
              <w:t>To hire</w:t>
            </w:r>
          </w:p>
        </w:tc>
      </w:tr>
      <w:tr>
        <w:tc>
          <w:tcPr>
            <w:tcW w:type="dxa" w:w="3120"/>
          </w:tcPr>
          <w:p>
            <w:r>
              <w:t>Incident commander (per incident)</w:t>
            </w:r>
          </w:p>
        </w:tc>
        <w:tc>
          <w:tcPr>
            <w:tcW w:type="dxa" w:w="3120"/>
          </w:tcPr>
          <w:p>
            <w:r>
              <w:t>Coordinates response for a specific incident</w:t>
            </w:r>
          </w:p>
        </w:tc>
        <w:tc>
          <w:tcPr>
            <w:tcW w:type="dxa" w:w="3120"/>
          </w:tcPr>
          <w:p>
            <w:r>
              <w:t>On-call rotation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ISMS objectives</w:t>
      </w:r>
    </w:p>
    <w:p>
      <w:pPr>
        <w:pStyle w:val="ListBullet"/>
      </w:pPr>
      <w:r>
        <w:t>Maintain TZ data residency for all Customer data; no transfers without explicit Customer consent</w:t>
      </w:r>
    </w:p>
    <w:p>
      <w:pPr>
        <w:pStyle w:val="ListBullet"/>
      </w:pPr>
      <w:r>
        <w:t>Maintain 99.9%+ uptime measured monthly</w:t>
      </w:r>
    </w:p>
    <w:p>
      <w:pPr>
        <w:pStyle w:val="ListBullet"/>
      </w:pPr>
      <w:r>
        <w:t>Maintain audit log retention of 7 years</w:t>
      </w:r>
    </w:p>
    <w:p>
      <w:pPr>
        <w:pStyle w:val="ListBullet"/>
      </w:pPr>
      <w:r>
        <w:t>Respond to confirmed security incidents within 24 hours; notify Customer within 72 hours of personal-data breach</w:t>
      </w:r>
    </w:p>
    <w:p>
      <w:pPr>
        <w:pStyle w:val="ListBullet"/>
      </w:pPr>
      <w:r>
        <w:t>Pass annual third-party security review</w:t>
      </w:r>
    </w:p>
    <w:p>
      <w:pPr>
        <w:pStyle w:val="ListBullet"/>
      </w:pPr>
      <w:r>
        <w:t>Pass ISO 27001 certification by Year 3 (Type I) and maintain it (Type II) from Year 4 onwards</w:t>
      </w:r>
    </w:p>
    <w:p>
      <w:pPr>
        <w:pStyle w:val="Heading1"/>
      </w:pPr>
      <w:r>
        <w:rPr>
          <w:color w:val="0F0D09"/>
          <w:sz w:val="30"/>
        </w:rPr>
        <w:t>5. Review cadence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120"/>
          </w:tcPr>
          <w:p>
            <w:r>
              <w:t>ISMS scope + this document</w:t>
            </w:r>
          </w:p>
        </w:tc>
        <w:tc>
          <w:tcPr>
            <w:tcW w:type="dxa" w:w="3120"/>
          </w:tcPr>
          <w:p>
            <w:r>
              <w:t>Annually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Statement of Applicability (SOA)</w:t>
            </w:r>
          </w:p>
        </w:tc>
        <w:tc>
          <w:tcPr>
            <w:tcW w:type="dxa" w:w="3120"/>
          </w:tcPr>
          <w:p>
            <w:r>
              <w:t>Annually + on material change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Risk register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Internal audit</w:t>
            </w:r>
          </w:p>
        </w:tc>
        <w:tc>
          <w:tcPr>
            <w:tcW w:type="dxa" w:w="3120"/>
          </w:tcPr>
          <w:p>
            <w:r>
              <w:t>Semi-annually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External audit / penetration test</w:t>
            </w:r>
          </w:p>
        </w:tc>
        <w:tc>
          <w:tcPr>
            <w:tcW w:type="dxa" w:w="3120"/>
          </w:tcPr>
          <w:p>
            <w:r>
              <w:t>Annually</w:t>
            </w:r>
          </w:p>
        </w:tc>
        <w:tc>
          <w:tcPr>
            <w:tcW w:type="dxa" w:w="3120"/>
          </w:tcPr>
          <w:p>
            <w:r>
              <w:t>External vendor</w:t>
            </w:r>
          </w:p>
        </w:tc>
      </w:tr>
      <w:tr>
        <w:tc>
          <w:tcPr>
            <w:tcW w:type="dxa" w:w="3120"/>
          </w:tcPr>
          <w:p>
            <w:r>
              <w:t>Management review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  <w:tc>
          <w:tcPr>
            <w:tcW w:type="dxa" w:w="3120"/>
          </w:tcPr>
          <w:p>
            <w:r>
              <w:t>Director</w:t>
            </w:r>
          </w:p>
        </w:tc>
      </w:tr>
      <w:tr>
        <w:tc>
          <w:tcPr>
            <w:tcW w:type="dxa" w:w="3120"/>
          </w:tcPr>
          <w:p>
            <w:r>
              <w:t>Disaster recovery tabletop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  <w:tc>
          <w:tcPr>
            <w:tcW w:type="dxa" w:w="3120"/>
          </w:tcPr>
          <w:p>
            <w:r>
              <w:t>Operations lead</w:t>
            </w:r>
          </w:p>
        </w:tc>
      </w:tr>
      <w:tr>
        <w:tc>
          <w:tcPr>
            <w:tcW w:type="dxa" w:w="3120"/>
          </w:tcPr>
          <w:p>
            <w:r>
              <w:t>Incident-response tabletop</w:t>
            </w:r>
          </w:p>
        </w:tc>
        <w:tc>
          <w:tcPr>
            <w:tcW w:type="dxa" w:w="3120"/>
          </w:tcPr>
          <w:p>
            <w:r>
              <w:t>Semi-annually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6. Approval</w:t>
      </w:r>
    </w:p>
    <w:p>
      <w:r>
        <w:rPr>
          <w:b w:val="0"/>
        </w:rPr>
      </w:r>
    </w:p>
    <w:p>
      <w:r>
        <w:rPr>
          <w:b w:val="0"/>
        </w:rPr>
        <w:t>Approved by: Dr. Ally A. Nooher, MD, MPS-HIT, Director and Information Security Officer.</w:t>
      </w:r>
    </w:p>
    <w:p>
      <w:r>
        <w:rPr>
          <w:b w:val="0"/>
        </w:rPr>
      </w:r>
    </w:p>
    <w:p>
      <w:r>
        <w:rPr>
          <w:b w:val="0"/>
        </w:rPr>
        <w:t>Signature: _____________________________________     Date: 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