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Incident Response Runbook</w:t>
      </w:r>
    </w:p>
    <w:p>
      <w:r>
        <w:rPr>
          <w:i/>
          <w:color w:val="6A6760"/>
        </w:rPr>
        <w:t>What we do when something goes wrong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Severity matrix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Sev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Initial response SLA</w:t>
            </w:r>
          </w:p>
        </w:tc>
      </w:tr>
      <w:tr>
        <w:tc>
          <w:tcPr>
            <w:tcW w:type="dxa" w:w="2340"/>
          </w:tcPr>
          <w:p>
            <w:r>
              <w:t>Sev-1</w:t>
            </w:r>
          </w:p>
        </w:tc>
        <w:tc>
          <w:tcPr>
            <w:tcW w:type="dxa" w:w="2340"/>
          </w:tcPr>
          <w:p>
            <w:r>
              <w:t>Catastrophic — confidentiality, integrity or availability breach with customer-visible impact</w:t>
            </w:r>
          </w:p>
        </w:tc>
        <w:tc>
          <w:tcPr>
            <w:tcW w:type="dxa" w:w="2340"/>
          </w:tcPr>
          <w:p>
            <w:r>
              <w:t>Confirmed data breach; full platform outage; production data loss</w:t>
            </w:r>
          </w:p>
        </w:tc>
        <w:tc>
          <w:tcPr>
            <w:tcW w:type="dxa" w:w="2340"/>
          </w:tcPr>
          <w:p>
            <w:r>
              <w:t>Page within 5 minutes, incident commander assigned within 15 minutes</w:t>
            </w:r>
          </w:p>
        </w:tc>
      </w:tr>
      <w:tr>
        <w:tc>
          <w:tcPr>
            <w:tcW w:type="dxa" w:w="2340"/>
          </w:tcPr>
          <w:p>
            <w:r>
              <w:t>Sev-2</w:t>
            </w:r>
          </w:p>
        </w:tc>
        <w:tc>
          <w:tcPr>
            <w:tcW w:type="dxa" w:w="2340"/>
          </w:tcPr>
          <w:p>
            <w:r>
              <w:t>Major — significant degradation or partial breach</w:t>
            </w:r>
          </w:p>
        </w:tc>
        <w:tc>
          <w:tcPr>
            <w:tcW w:type="dxa" w:w="2340"/>
          </w:tcPr>
          <w:p>
            <w:r>
              <w:t>Auth subsystem down for one tenant; suspected breach under investigation; &gt;5% error rate for &gt;15 min</w:t>
            </w:r>
          </w:p>
        </w:tc>
        <w:tc>
          <w:tcPr>
            <w:tcW w:type="dxa" w:w="2340"/>
          </w:tcPr>
          <w:p>
            <w:r>
              <w:t>Page within 15 minutes, IC assigned within 30 minutes</w:t>
            </w:r>
          </w:p>
        </w:tc>
      </w:tr>
      <w:tr>
        <w:tc>
          <w:tcPr>
            <w:tcW w:type="dxa" w:w="2340"/>
          </w:tcPr>
          <w:p>
            <w:r>
              <w:t>Sev-3</w:t>
            </w:r>
          </w:p>
        </w:tc>
        <w:tc>
          <w:tcPr>
            <w:tcW w:type="dxa" w:w="2340"/>
          </w:tcPr>
          <w:p>
            <w:r>
              <w:t>Moderate — limited impact or contained risk</w:t>
            </w:r>
          </w:p>
        </w:tc>
        <w:tc>
          <w:tcPr>
            <w:tcW w:type="dxa" w:w="2340"/>
          </w:tcPr>
          <w:p>
            <w:r>
              <w:t>Single feature broken; minor PII exposure with confirmed limited scope</w:t>
            </w:r>
          </w:p>
        </w:tc>
        <w:tc>
          <w:tcPr>
            <w:tcW w:type="dxa" w:w="2340"/>
          </w:tcPr>
          <w:p>
            <w:r>
              <w:t>Acknowledged within 1 hour, response plan within 4 hours</w:t>
            </w:r>
          </w:p>
        </w:tc>
      </w:tr>
      <w:tr>
        <w:tc>
          <w:tcPr>
            <w:tcW w:type="dxa" w:w="2340"/>
          </w:tcPr>
          <w:p>
            <w:r>
              <w:t>Sev-4</w:t>
            </w:r>
          </w:p>
        </w:tc>
        <w:tc>
          <w:tcPr>
            <w:tcW w:type="dxa" w:w="2340"/>
          </w:tcPr>
          <w:p>
            <w:r>
              <w:t>Minor — cosmetic or no user impact</w:t>
            </w:r>
          </w:p>
        </w:tc>
        <w:tc>
          <w:tcPr>
            <w:tcW w:type="dxa" w:w="2340"/>
          </w:tcPr>
          <w:p>
            <w:r>
              <w:t>Spelling error in production; minor styling regression</w:t>
            </w:r>
          </w:p>
        </w:tc>
        <w:tc>
          <w:tcPr>
            <w:tcW w:type="dxa" w:w="2340"/>
          </w:tcPr>
          <w:p>
            <w:r>
              <w:t>Routed to standard backlog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Roles during an incident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t>Incident commander (IC)</w:t>
            </w:r>
          </w:p>
        </w:tc>
        <w:tc>
          <w:tcPr>
            <w:tcW w:type="dxa" w:w="4680"/>
          </w:tcPr>
          <w:p>
            <w:r>
              <w:t>Owns the response. Single source of truth for status. Makes go/no-go calls.</w:t>
            </w:r>
          </w:p>
        </w:tc>
      </w:tr>
      <w:tr>
        <w:tc>
          <w:tcPr>
            <w:tcW w:type="dxa" w:w="4680"/>
          </w:tcPr>
          <w:p>
            <w:r>
              <w:t>Communications lead</w:t>
            </w:r>
          </w:p>
        </w:tc>
        <w:tc>
          <w:tcPr>
            <w:tcW w:type="dxa" w:w="4680"/>
          </w:tcPr>
          <w:p>
            <w:r>
              <w:t>Updates customer + internal stakeholders. Drafts status-page entries + breach notifications.</w:t>
            </w:r>
          </w:p>
        </w:tc>
      </w:tr>
      <w:tr>
        <w:tc>
          <w:tcPr>
            <w:tcW w:type="dxa" w:w="4680"/>
          </w:tcPr>
          <w:p>
            <w:r>
              <w:t>Technical lead</w:t>
            </w:r>
          </w:p>
        </w:tc>
        <w:tc>
          <w:tcPr>
            <w:tcW w:type="dxa" w:w="4680"/>
          </w:tcPr>
          <w:p>
            <w:r>
              <w:t>Drives technical mitigation. Pairs IC for technical decisions.</w:t>
            </w:r>
          </w:p>
        </w:tc>
      </w:tr>
      <w:tr>
        <w:tc>
          <w:tcPr>
            <w:tcW w:type="dxa" w:w="4680"/>
          </w:tcPr>
          <w:p>
            <w:r>
              <w:t>Scribe</w:t>
            </w:r>
          </w:p>
        </w:tc>
        <w:tc>
          <w:tcPr>
            <w:tcW w:type="dxa" w:w="4680"/>
          </w:tcPr>
          <w:p>
            <w:r>
              <w:t>Records the timeline. All decisions, actions, observations get timestamped.</w:t>
            </w:r>
          </w:p>
        </w:tc>
      </w:tr>
      <w:tr>
        <w:tc>
          <w:tcPr>
            <w:tcW w:type="dxa" w:w="4680"/>
          </w:tcPr>
          <w:p>
            <w:r>
              <w:t>Liaison (regulator/legal)</w:t>
            </w:r>
          </w:p>
        </w:tc>
        <w:tc>
          <w:tcPr>
            <w:tcW w:type="dxa" w:w="4680"/>
          </w:tcPr>
          <w:p>
            <w:r>
              <w:t>Activated for Sev-1 or any incident involving personal data. Manages PDPA notification timeline.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Response phases</w:t>
      </w:r>
    </w:p>
    <w:p>
      <w:pPr>
        <w:pStyle w:val="Heading2"/>
      </w:pPr>
      <w:r>
        <w:rPr>
          <w:sz w:val="25"/>
        </w:rPr>
        <w:t>1. Detect</w:t>
      </w:r>
    </w:p>
    <w:p>
      <w:pPr>
        <w:pStyle w:val="ListBullet"/>
      </w:pPr>
      <w:r>
        <w:t>Automated: alerts from monitoring (error rate, auth failures, anomalous queries)</w:t>
      </w:r>
    </w:p>
    <w:p>
      <w:pPr>
        <w:pStyle w:val="ListBullet"/>
      </w:pPr>
      <w:r>
        <w:t>Manual: customer report; internal report; security researcher report (bug-bounty channel)</w:t>
      </w:r>
    </w:p>
    <w:p>
      <w:pPr>
        <w:pStyle w:val="ListBullet"/>
      </w:pPr>
      <w:r>
        <w:t>Every reported event gets a tracking ID within 15 minutes</w:t>
      </w:r>
    </w:p>
    <w:p>
      <w:pPr>
        <w:pStyle w:val="Heading2"/>
      </w:pPr>
      <w:r>
        <w:rPr>
          <w:sz w:val="25"/>
        </w:rPr>
        <w:t>2. Triage</w:t>
      </w:r>
    </w:p>
    <w:p>
      <w:pPr>
        <w:pStyle w:val="ListBullet"/>
      </w:pPr>
      <w:r>
        <w:t>IC reviews initial signal + applies severity matrix</w:t>
      </w:r>
    </w:p>
    <w:p>
      <w:pPr>
        <w:pStyle w:val="ListBullet"/>
      </w:pPr>
      <w:r>
        <w:t>Initial impact assessment: who is affected, what data, what window</w:t>
      </w:r>
    </w:p>
    <w:p>
      <w:pPr>
        <w:pStyle w:val="ListBullet"/>
      </w:pPr>
      <w:r>
        <w:t>Decision: full incident response OR routed to standard backlog</w:t>
      </w:r>
    </w:p>
    <w:p>
      <w:pPr>
        <w:pStyle w:val="Heading2"/>
      </w:pPr>
      <w:r>
        <w:rPr>
          <w:sz w:val="25"/>
        </w:rPr>
        <w:t>3. Contain</w:t>
      </w:r>
    </w:p>
    <w:p>
      <w:pPr>
        <w:pStyle w:val="ListBullet"/>
      </w:pPr>
      <w:r>
        <w:t>Stop the bleed first: cut off the attack vector, revoke compromised credentials, isolate the affected service</w:t>
      </w:r>
    </w:p>
    <w:p>
      <w:pPr>
        <w:pStyle w:val="ListBullet"/>
      </w:pPr>
      <w:r>
        <w:t>Preserve evidence: snapshot logs, capture system state, do not destroy artefacts</w:t>
      </w:r>
    </w:p>
    <w:p>
      <w:pPr>
        <w:pStyle w:val="ListBullet"/>
      </w:pPr>
      <w:r>
        <w:t>Containment decisions logged with timestamp + rationale</w:t>
      </w:r>
    </w:p>
    <w:p>
      <w:pPr>
        <w:pStyle w:val="Heading2"/>
      </w:pPr>
      <w:r>
        <w:rPr>
          <w:sz w:val="25"/>
        </w:rPr>
        <w:t>4. Eradicate</w:t>
      </w:r>
    </w:p>
    <w:p>
      <w:pPr>
        <w:pStyle w:val="ListBullet"/>
      </w:pPr>
      <w:r>
        <w:t>Identify root cause; not just the symptom</w:t>
      </w:r>
    </w:p>
    <w:p>
      <w:pPr>
        <w:pStyle w:val="ListBullet"/>
      </w:pPr>
      <w:r>
        <w:t>Remove the cause from all environments</w:t>
      </w:r>
    </w:p>
    <w:p>
      <w:pPr>
        <w:pStyle w:val="ListBullet"/>
      </w:pPr>
      <w:r>
        <w:t>Validate the eradication before moving on</w:t>
      </w:r>
    </w:p>
    <w:p>
      <w:pPr>
        <w:pStyle w:val="Heading2"/>
      </w:pPr>
      <w:r>
        <w:rPr>
          <w:sz w:val="25"/>
        </w:rPr>
        <w:t>5. Recover</w:t>
      </w:r>
    </w:p>
    <w:p>
      <w:pPr>
        <w:pStyle w:val="ListBullet"/>
      </w:pPr>
      <w:r>
        <w:t>Restore service from clean state</w:t>
      </w:r>
    </w:p>
    <w:p>
      <w:pPr>
        <w:pStyle w:val="ListBullet"/>
      </w:pPr>
      <w:r>
        <w:t>Monitor for recurrence with elevated sensitivity for 72 hours</w:t>
      </w:r>
    </w:p>
    <w:p>
      <w:pPr>
        <w:pStyle w:val="ListBullet"/>
      </w:pPr>
      <w:r>
        <w:t>Customer communication confirms restoration</w:t>
      </w:r>
    </w:p>
    <w:p>
      <w:pPr>
        <w:pStyle w:val="Heading2"/>
      </w:pPr>
      <w:r>
        <w:rPr>
          <w:sz w:val="25"/>
        </w:rPr>
        <w:t>6. Learn</w:t>
      </w:r>
    </w:p>
    <w:p>
      <w:pPr>
        <w:pStyle w:val="ListBullet"/>
      </w:pPr>
      <w:r>
        <w:t>Post-mortem within 7 days of resolution</w:t>
      </w:r>
    </w:p>
    <w:p>
      <w:pPr>
        <w:pStyle w:val="ListBullet"/>
      </w:pPr>
      <w:r>
        <w:t>Blameless format; root cause + contributing factors + action items</w:t>
      </w:r>
    </w:p>
    <w:p>
      <w:pPr>
        <w:pStyle w:val="ListBullet"/>
      </w:pPr>
      <w:r>
        <w:t>Action items tracked; assigned owner + due date</w:t>
      </w:r>
    </w:p>
    <w:p>
      <w:pPr>
        <w:pStyle w:val="ListBullet"/>
      </w:pPr>
      <w:r>
        <w:t>Lessons fed back into runbooks, alerting thresholds, training</w:t>
      </w:r>
    </w:p>
    <w:p>
      <w:pPr>
        <w:pStyle w:val="Heading1"/>
      </w:pPr>
      <w:r>
        <w:rPr>
          <w:color w:val="0F0D09"/>
          <w:sz w:val="30"/>
        </w:rPr>
        <w:t>Personal-data breach — PDPA timeline</w:t>
      </w:r>
    </w:p>
    <w:p>
      <w:pPr>
        <w:pStyle w:val="ListBullet"/>
      </w:pPr>
      <w:r>
        <w:t>T+0h: confirmed incident with personal data potentially affected</w:t>
      </w:r>
    </w:p>
    <w:p>
      <w:pPr>
        <w:pStyle w:val="ListBullet"/>
      </w:pPr>
      <w:r>
        <w:t>T+24h: ISO + DPO assess scope and notify Customer (controller)</w:t>
      </w:r>
    </w:p>
    <w:p>
      <w:pPr>
        <w:pStyle w:val="ListBullet"/>
      </w:pPr>
      <w:r>
        <w:t>T+72h: regulator notification if a notifiable breach (PDPA s. 28)</w:t>
      </w:r>
    </w:p>
    <w:p>
      <w:pPr>
        <w:pStyle w:val="ListBullet"/>
      </w:pPr>
      <w:r>
        <w:t>T+? — data subject notification if high risk to rights and freedoms</w:t>
      </w:r>
    </w:p>
    <w:p>
      <w:pPr>
        <w:pStyle w:val="ListBullet"/>
      </w:pPr>
      <w:r>
        <w:t>T+30d: written confirmation to Customer of containment + remediation</w:t>
      </w:r>
    </w:p>
    <w:p>
      <w:pPr>
        <w:pStyle w:val="Heading1"/>
      </w:pPr>
      <w:r>
        <w:rPr>
          <w:color w:val="0F0D09"/>
          <w:sz w:val="30"/>
        </w:rPr>
        <w:t>Communication templates</w:t>
      </w:r>
    </w:p>
    <w:p>
      <w:r>
        <w:rPr>
          <w:b w:val="0"/>
        </w:rPr>
        <w:t>Status-page entry, customer email and regulator notification templates are stored at /docs/security/templates/ in the repo. Each template is reviewed annually.</w:t>
      </w:r>
    </w:p>
    <w:p>
      <w:pPr>
        <w:pStyle w:val="Heading1"/>
      </w:pPr>
      <w:r>
        <w:rPr>
          <w:color w:val="0F0D09"/>
          <w:sz w:val="30"/>
        </w:rPr>
        <w:t>Tabletop exercises</w:t>
      </w:r>
    </w:p>
    <w:p>
      <w:r>
        <w:rPr>
          <w:b w:val="0"/>
        </w:rPr>
        <w:t>Tabletop exercises are run semi-annually. Each tabletop simulates a Sev-1 or Sev-2 incident, with all roles played by current personnel. Outputs feed runbook and policy revisions.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