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B53A"/>
          <w:sz w:val="22"/>
        </w:rPr>
        <w:t>Akili</w:t>
      </w:r>
    </w:p>
    <w:p>
      <w:pPr>
        <w:pStyle w:val="Title"/>
      </w:pPr>
      <w:r>
        <w:rPr>
          <w:color w:val="0F0D09"/>
          <w:sz w:val="44"/>
        </w:rPr>
        <w:t>Akili — Business Continuity and Disaster Recovery</w:t>
      </w:r>
    </w:p>
    <w:p>
      <w:r>
        <w:rPr>
          <w:i/>
          <w:color w:val="6A6760"/>
        </w:rPr>
        <w:t>RPO, RTO, runbooks, tabletop schedule</w:t>
      </w:r>
    </w:p>
    <w:p>
      <w:r>
        <w:rPr>
          <w:b/>
        </w:rPr>
        <w:t xml:space="preserve">Author: </w:t>
      </w:r>
      <w:r>
        <w:t xml:space="preserve">Dr. Ally A. Nooher, MD, MPS-HIT · </w:t>
      </w:r>
      <w:r>
        <w:rPr>
          <w:b/>
        </w:rPr>
        <w:t xml:space="preserve">Owner: </w:t>
      </w:r>
      <w:r>
        <w:t xml:space="preserve">Laetoli (T) Ltd · </w:t>
      </w:r>
      <w:r>
        <w:rPr>
          <w:b/>
        </w:rPr>
        <w:t xml:space="preserve">Date: </w:t>
      </w:r>
      <w:r>
        <w:t>22 June 2026</w:t>
      </w:r>
    </w:p>
    <w:p>
      <w:pPr>
        <w:pStyle w:val="Heading1"/>
      </w:pPr>
      <w:r>
        <w:rPr>
          <w:color w:val="0F0D09"/>
          <w:sz w:val="30"/>
        </w:rPr>
        <w:t>1. Recovery objectives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Service tier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RPO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RTO</w:t>
            </w:r>
          </w:p>
        </w:tc>
        <w:tc>
          <w:tcPr>
            <w:tcW w:type="dxa" w:w="2340"/>
          </w:tcPr>
          <w:p>
            <w:r>
              <w:rPr>
                <w:b/>
              </w:rPr>
              <w:t>Note</w:t>
            </w:r>
          </w:p>
        </w:tc>
      </w:tr>
      <w:tr>
        <w:tc>
          <w:tcPr>
            <w:tcW w:type="dxa" w:w="2340"/>
          </w:tcPr>
          <w:p>
            <w:r>
              <w:t>Critical (auth, primary read+write paths)</w:t>
            </w:r>
          </w:p>
        </w:tc>
        <w:tc>
          <w:tcPr>
            <w:tcW w:type="dxa" w:w="2340"/>
          </w:tcPr>
          <w:p>
            <w:r>
              <w:t>5 minutes</w:t>
            </w:r>
          </w:p>
        </w:tc>
        <w:tc>
          <w:tcPr>
            <w:tcW w:type="dxa" w:w="2340"/>
          </w:tcPr>
          <w:p>
            <w:r>
              <w:t>1 hour</w:t>
            </w:r>
          </w:p>
        </w:tc>
        <w:tc>
          <w:tcPr>
            <w:tcW w:type="dxa" w:w="2340"/>
          </w:tcPr>
          <w:p>
            <w:r>
              <w:t>Continuous replication; runbook auto-failover</w:t>
            </w:r>
          </w:p>
        </w:tc>
      </w:tr>
      <w:tr>
        <w:tc>
          <w:tcPr>
            <w:tcW w:type="dxa" w:w="2340"/>
          </w:tcPr>
          <w:p>
            <w:r>
              <w:t>Important (admin v2, integrations)</w:t>
            </w:r>
          </w:p>
        </w:tc>
        <w:tc>
          <w:tcPr>
            <w:tcW w:type="dxa" w:w="2340"/>
          </w:tcPr>
          <w:p>
            <w:r>
              <w:t>1 hour</w:t>
            </w:r>
          </w:p>
        </w:tc>
        <w:tc>
          <w:tcPr>
            <w:tcW w:type="dxa" w:w="2340"/>
          </w:tcPr>
          <w:p>
            <w:r>
              <w:t>4 hours</w:t>
            </w:r>
          </w:p>
        </w:tc>
        <w:tc>
          <w:tcPr>
            <w:tcW w:type="dxa" w:w="2340"/>
          </w:tcPr>
          <w:p>
            <w:r>
              <w:t>Hourly backups</w:t>
            </w:r>
          </w:p>
        </w:tc>
      </w:tr>
      <w:tr>
        <w:tc>
          <w:tcPr>
            <w:tcW w:type="dxa" w:w="2340"/>
          </w:tcPr>
          <w:p>
            <w:r>
              <w:t>Non-critical (analytics, reporting)</w:t>
            </w:r>
          </w:p>
        </w:tc>
        <w:tc>
          <w:tcPr>
            <w:tcW w:type="dxa" w:w="2340"/>
          </w:tcPr>
          <w:p>
            <w:r>
              <w:t>24 hours</w:t>
            </w:r>
          </w:p>
        </w:tc>
        <w:tc>
          <w:tcPr>
            <w:tcW w:type="dxa" w:w="2340"/>
          </w:tcPr>
          <w:p>
            <w:r>
              <w:t>24 hours</w:t>
            </w:r>
          </w:p>
        </w:tc>
        <w:tc>
          <w:tcPr>
            <w:tcW w:type="dxa" w:w="2340"/>
          </w:tcPr>
          <w:p>
            <w:r>
              <w:t>Daily backups</w:t>
            </w:r>
          </w:p>
        </w:tc>
      </w:tr>
    </w:tbl>
    <w:p>
      <w:pPr>
        <w:pStyle w:val="Heading1"/>
      </w:pPr>
      <w:r>
        <w:rPr>
          <w:color w:val="0F0D09"/>
          <w:sz w:val="30"/>
        </w:rPr>
        <w:t>2. Backup strategy</w:t>
      </w:r>
    </w:p>
    <w:p>
      <w:pPr>
        <w:pStyle w:val="ListBullet"/>
      </w:pPr>
      <w:r>
        <w:t>Continuous point-in-time recovery (PITR) across the production database</w:t>
      </w:r>
    </w:p>
    <w:p>
      <w:pPr>
        <w:pStyle w:val="ListBullet"/>
      </w:pPr>
      <w:r>
        <w:t>Daily snapshots retained 30 days</w:t>
      </w:r>
    </w:p>
    <w:p>
      <w:pPr>
        <w:pStyle w:val="ListBullet"/>
      </w:pPr>
      <w:r>
        <w:t>Weekly snapshots retained 6 months</w:t>
      </w:r>
    </w:p>
    <w:p>
      <w:pPr>
        <w:pStyle w:val="ListBullet"/>
      </w:pPr>
      <w:r>
        <w:t>Monthly snapshots retained 7 years (Tanzania revenue-rule retention)</w:t>
      </w:r>
    </w:p>
    <w:p>
      <w:pPr>
        <w:pStyle w:val="ListBullet"/>
      </w:pPr>
      <w:r>
        <w:t>Backups encrypted at rest with a key separate from the production key</w:t>
      </w:r>
    </w:p>
    <w:p>
      <w:pPr>
        <w:pStyle w:val="ListBullet"/>
      </w:pPr>
      <w:r>
        <w:t>Cross-region replication to a secondary TZ-resident facility</w:t>
      </w:r>
    </w:p>
    <w:p>
      <w:pPr>
        <w:pStyle w:val="ListBullet"/>
      </w:pPr>
      <w:r>
        <w:t>Backup restoration tested monthly</w:t>
      </w:r>
    </w:p>
    <w:p>
      <w:pPr>
        <w:pStyle w:val="Heading1"/>
      </w:pPr>
      <w:r>
        <w:rPr>
          <w:color w:val="0F0D09"/>
          <w:sz w:val="30"/>
        </w:rPr>
        <w:t>3. Disaster scenarios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4680"/>
          </w:tcPr>
          <w:p>
            <w:r>
              <w:rPr>
                <w:b/>
              </w:rPr>
              <w:t>Plan</w:t>
            </w:r>
          </w:p>
        </w:tc>
      </w:tr>
      <w:tr>
        <w:tc>
          <w:tcPr>
            <w:tcW w:type="dxa" w:w="4680"/>
          </w:tcPr>
          <w:p>
            <w:r>
              <w:t>Region-level cloud outage</w:t>
            </w:r>
          </w:p>
        </w:tc>
        <w:tc>
          <w:tcPr>
            <w:tcW w:type="dxa" w:w="4680"/>
          </w:tcPr>
          <w:p>
            <w:r>
              <w:t>Failover to secondary TZ region; documented runbook</w:t>
            </w:r>
          </w:p>
        </w:tc>
      </w:tr>
      <w:tr>
        <w:tc>
          <w:tcPr>
            <w:tcW w:type="dxa" w:w="4680"/>
          </w:tcPr>
          <w:p>
            <w:r>
              <w:t>Database corruption</w:t>
            </w:r>
          </w:p>
        </w:tc>
        <w:tc>
          <w:tcPr>
            <w:tcW w:type="dxa" w:w="4680"/>
          </w:tcPr>
          <w:p>
            <w:r>
              <w:t>PITR to last-known-good moment; communication template ready</w:t>
            </w:r>
          </w:p>
        </w:tc>
      </w:tr>
      <w:tr>
        <w:tc>
          <w:tcPr>
            <w:tcW w:type="dxa" w:w="4680"/>
          </w:tcPr>
          <w:p>
            <w:r>
              <w:t>Ransomware on workstation</w:t>
            </w:r>
          </w:p>
        </w:tc>
        <w:tc>
          <w:tcPr>
            <w:tcW w:type="dxa" w:w="4680"/>
          </w:tcPr>
          <w:p>
            <w:r>
              <w:t>Workstation isolation + reimage from known-good; no impact on production</w:t>
            </w:r>
          </w:p>
        </w:tc>
      </w:tr>
      <w:tr>
        <w:tc>
          <w:tcPr>
            <w:tcW w:type="dxa" w:w="4680"/>
          </w:tcPr>
          <w:p>
            <w:r>
              <w:t>Personnel loss (key person)</w:t>
            </w:r>
          </w:p>
        </w:tc>
        <w:tc>
          <w:tcPr>
            <w:tcW w:type="dxa" w:w="4680"/>
          </w:tcPr>
          <w:p>
            <w:r>
              <w:t>Documented runbooks; backup contact list; succession plan</w:t>
            </w:r>
          </w:p>
        </w:tc>
      </w:tr>
      <w:tr>
        <w:tc>
          <w:tcPr>
            <w:tcW w:type="dxa" w:w="4680"/>
          </w:tcPr>
          <w:p>
            <w:r>
              <w:t>Physical-DC compromise</w:t>
            </w:r>
          </w:p>
        </w:tc>
        <w:tc>
          <w:tcPr>
            <w:tcW w:type="dxa" w:w="4680"/>
          </w:tcPr>
          <w:p>
            <w:r>
              <w:t>Sovereign secondary DC; replication ensures continuity</w:t>
            </w:r>
          </w:p>
        </w:tc>
      </w:tr>
      <w:tr>
        <w:tc>
          <w:tcPr>
            <w:tcW w:type="dxa" w:w="4680"/>
          </w:tcPr>
          <w:p>
            <w:r>
              <w:t>Sovereign-provider failure</w:t>
            </w:r>
          </w:p>
        </w:tc>
        <w:tc>
          <w:tcPr>
            <w:tcW w:type="dxa" w:w="4680"/>
          </w:tcPr>
          <w:p>
            <w:r>
              <w:t>Documented exit plan to alternate sovereign provider</w:t>
            </w:r>
          </w:p>
        </w:tc>
      </w:tr>
    </w:tbl>
    <w:p>
      <w:pPr>
        <w:pStyle w:val="Heading1"/>
      </w:pPr>
      <w:r>
        <w:rPr>
          <w:color w:val="0F0D09"/>
          <w:sz w:val="30"/>
        </w:rPr>
        <w:t>4. Runbooks</w:t>
      </w:r>
    </w:p>
    <w:p>
      <w:r>
        <w:rPr>
          <w:b w:val="0"/>
        </w:rPr>
        <w:t>Detailed runbooks are stored at /docs/security/runbooks/ in the repo. Each runbook is reviewed annually and tested quarterly.</w:t>
      </w:r>
    </w:p>
    <w:p>
      <w:pPr>
        <w:pStyle w:val="Heading1"/>
      </w:pPr>
      <w:r>
        <w:rPr>
          <w:color w:val="0F0D09"/>
          <w:sz w:val="30"/>
        </w:rPr>
        <w:t>5. Tabletop schedule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Quarter</w:t>
            </w:r>
          </w:p>
        </w:tc>
        <w:tc>
          <w:tcPr>
            <w:tcW w:type="dxa" w:w="4680"/>
          </w:tcPr>
          <w:p>
            <w:r>
              <w:rPr>
                <w:b/>
              </w:rPr>
              <w:t>Scenario</w:t>
            </w:r>
          </w:p>
        </w:tc>
      </w:tr>
      <w:tr>
        <w:tc>
          <w:tcPr>
            <w:tcW w:type="dxa" w:w="4680"/>
          </w:tcPr>
          <w:p>
            <w:r>
              <w:t>Q1</w:t>
            </w:r>
          </w:p>
        </w:tc>
        <w:tc>
          <w:tcPr>
            <w:tcW w:type="dxa" w:w="4680"/>
          </w:tcPr>
          <w:p>
            <w:r>
              <w:t>Region-level cloud outage</w:t>
            </w:r>
          </w:p>
        </w:tc>
      </w:tr>
      <w:tr>
        <w:tc>
          <w:tcPr>
            <w:tcW w:type="dxa" w:w="4680"/>
          </w:tcPr>
          <w:p>
            <w:r>
              <w:t>Q2</w:t>
            </w:r>
          </w:p>
        </w:tc>
        <w:tc>
          <w:tcPr>
            <w:tcW w:type="dxa" w:w="4680"/>
          </w:tcPr>
          <w:p>
            <w:r>
              <w:t>Confirmed data breach (Sev-1)</w:t>
            </w:r>
          </w:p>
        </w:tc>
      </w:tr>
      <w:tr>
        <w:tc>
          <w:tcPr>
            <w:tcW w:type="dxa" w:w="4680"/>
          </w:tcPr>
          <w:p>
            <w:r>
              <w:t>Q3</w:t>
            </w:r>
          </w:p>
        </w:tc>
        <w:tc>
          <w:tcPr>
            <w:tcW w:type="dxa" w:w="4680"/>
          </w:tcPr>
          <w:p>
            <w:r>
              <w:t>Ransomware on operations workstation</w:t>
            </w:r>
          </w:p>
        </w:tc>
      </w:tr>
      <w:tr>
        <w:tc>
          <w:tcPr>
            <w:tcW w:type="dxa" w:w="4680"/>
          </w:tcPr>
          <w:p>
            <w:r>
              <w:t>Q4</w:t>
            </w:r>
          </w:p>
        </w:tc>
        <w:tc>
          <w:tcPr>
            <w:tcW w:type="dxa" w:w="4680"/>
          </w:tcPr>
          <w:p>
            <w:r>
              <w:t>Personnel-loss exercise (succession)</w:t>
            </w:r>
          </w:p>
        </w:tc>
      </w:tr>
    </w:tbl>
    <w:p>
      <w:pPr>
        <w:pStyle w:val="Heading1"/>
      </w:pPr>
      <w:r>
        <w:rPr>
          <w:color w:val="0F0D09"/>
          <w:sz w:val="30"/>
        </w:rPr>
        <w:t>6. Communication during disruption</w:t>
      </w:r>
    </w:p>
    <w:p>
      <w:pPr>
        <w:pStyle w:val="ListBullet"/>
      </w:pPr>
      <w:r>
        <w:t>Status page updated within 15 minutes of confirmed Sev-1/2 incident</w:t>
      </w:r>
    </w:p>
    <w:p>
      <w:pPr>
        <w:pStyle w:val="ListBullet"/>
      </w:pPr>
      <w:r>
        <w:t>Customer communication within 1 hour for Sev-1; within 4 hours for Sev-2</w:t>
      </w:r>
    </w:p>
    <w:p>
      <w:pPr>
        <w:pStyle w:val="ListBullet"/>
      </w:pPr>
      <w:r>
        <w:t>Regulator notification per PDPA timeline (see IR runbook)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