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3E44"/>
          <w:sz w:val="22"/>
        </w:rPr>
        <w:t>TABHOS</w:t>
      </w:r>
    </w:p>
    <w:p>
      <w:pPr>
        <w:pStyle w:val="Title"/>
      </w:pPr>
      <w:r>
        <w:rPr>
          <w:color w:val="0F0D09"/>
          <w:sz w:val="44"/>
        </w:rPr>
        <w:t>Memorandum of Understanding — TABHOS</w:t>
      </w:r>
    </w:p>
    <w:p>
      <w:r>
        <w:rPr>
          <w:i/>
          <w:color w:val="6A6760"/>
        </w:rPr>
        <w:t>Between Laetoli (T) Ltd and Ministry of Health — Mental Health Unit</w:t>
      </w:r>
    </w:p>
    <w:p>
      <w:r>
        <w:rPr>
          <w:b/>
        </w:rPr>
        <w:t xml:space="preserve">Author: </w:t>
      </w:r>
      <w:r>
        <w:t xml:space="preserve">Dr. Ally A. Nooher, MD, MPS-HIT · </w:t>
      </w:r>
      <w:r>
        <w:rPr>
          <w:b/>
        </w:rPr>
        <w:t xml:space="preserve">Owner: </w:t>
      </w:r>
      <w:r>
        <w:t xml:space="preserve">Laetoli (T) Ltd · </w:t>
      </w:r>
      <w:r>
        <w:rPr>
          <w:b/>
        </w:rPr>
        <w:t xml:space="preserve">Date: </w:t>
      </w:r>
      <w:r>
        <w:t>22 June 2026</w:t>
      </w:r>
    </w:p>
    <w:p>
      <w:pPr>
        <w:pStyle w:val="Heading1"/>
      </w:pPr>
      <w:r>
        <w:rPr>
          <w:color w:val="0F0D09"/>
          <w:sz w:val="30"/>
        </w:rPr>
        <w:t>1. Parties</w:t>
      </w:r>
    </w:p>
    <w:p>
      <w:r>
        <w:rPr>
          <w:b w:val="0"/>
        </w:rPr>
        <w:t>This Memorandum of Understanding (this 'MoU') is entered into between:</w:t>
      </w:r>
    </w:p>
    <w:p>
      <w:pPr>
        <w:pStyle w:val="ListBullet"/>
      </w:pPr>
      <w:r>
        <w:t>Laetoli (T) Ltd, a company incorporated in Tanzania, of P.O. Box [to fill], Dar es Salaam ('Laetoli'), and</w:t>
      </w:r>
    </w:p>
    <w:p>
      <w:pPr>
        <w:pStyle w:val="ListBullet"/>
      </w:pPr>
      <w:r>
        <w:t>Ministry of Health — Mental Health Unit, of P.O. Box 9083, Dodoma, Tanzania (the 'Agency'),</w:t>
      </w:r>
    </w:p>
    <w:p>
      <w:pPr>
        <w:pStyle w:val="ListBullet"/>
      </w:pPr>
      <w:r>
        <w:t>together referred to as the Parties.</w:t>
      </w:r>
    </w:p>
    <w:p>
      <w:pPr>
        <w:pStyle w:val="Heading1"/>
      </w:pPr>
      <w:r>
        <w:rPr>
          <w:color w:val="0F0D09"/>
          <w:sz w:val="30"/>
        </w:rPr>
        <w:t>2. Purpose</w:t>
      </w:r>
    </w:p>
    <w:p>
      <w:r>
        <w:rPr>
          <w:b w:val="0"/>
        </w:rPr>
        <w:t>The Parties wish to cooperate in the deployment and operation of TABHOS — Tanzania Behavioral Health Operating System for the benefit of the people of the United Republic of Tanzania. This MoU records the principles and intentions of that cooperation; it does not create a binding contract between the Parties beyond the specific obligations set out in clauses 4, 5 and 6.</w:t>
      </w:r>
    </w:p>
    <w:p>
      <w:pPr>
        <w:pStyle w:val="Heading1"/>
      </w:pPr>
      <w:r>
        <w:rPr>
          <w:color w:val="0F0D09"/>
          <w:sz w:val="30"/>
        </w:rPr>
        <w:t>3. Scope</w:t>
      </w:r>
    </w:p>
    <w:p>
      <w:r>
        <w:rPr>
          <w:b w:val="0"/>
        </w:rPr>
        <w:t>The Parties intend to cooperate across the following areas:</w:t>
      </w:r>
    </w:p>
    <w:p>
      <w:pPr>
        <w:pStyle w:val="ListBullet"/>
      </w:pPr>
      <w:r>
        <w:t>Deployment of TABHOS for use by the Agency's officers and (where applicable) members of the public</w:t>
      </w:r>
    </w:p>
    <w:p>
      <w:pPr>
        <w:pStyle w:val="ListBullet"/>
      </w:pPr>
      <w:r>
        <w:t>Integration with the data sources and digital infrastructure the Agency operates</w:t>
      </w:r>
    </w:p>
    <w:p>
      <w:pPr>
        <w:pStyle w:val="ListBullet"/>
      </w:pPr>
      <w:r>
        <w:t>Joint operational governance, including service levels, escalation pathways, and incident review</w:t>
      </w:r>
    </w:p>
    <w:p>
      <w:pPr>
        <w:pStyle w:val="ListBullet"/>
      </w:pPr>
      <w:r>
        <w:t>Joint communications, where the Parties agree the message and channel in advance</w:t>
      </w:r>
    </w:p>
    <w:p>
      <w:pPr>
        <w:pStyle w:val="ListBullet"/>
      </w:pPr>
      <w:r>
        <w:t>Capacity-building: training of Agency staff in the use of the platform</w:t>
      </w:r>
    </w:p>
    <w:p>
      <w:pPr>
        <w:pStyle w:val="Heading1"/>
      </w:pPr>
      <w:r>
        <w:rPr>
          <w:color w:val="0F0D09"/>
          <w:sz w:val="30"/>
        </w:rPr>
        <w:t>4. Laetoli's obligations</w:t>
      </w:r>
    </w:p>
    <w:p>
      <w:r>
        <w:rPr>
          <w:b w:val="0"/>
        </w:rPr>
        <w:t>Laetoli shall:</w:t>
      </w:r>
    </w:p>
    <w:p>
      <w:pPr>
        <w:pStyle w:val="ListBullet"/>
      </w:pPr>
      <w:r>
        <w:t>Make TABHOS available to the Agency at no cost during the initial 24-month cooperation period, subject to the use limits in Schedule A</w:t>
      </w:r>
    </w:p>
    <w:p>
      <w:pPr>
        <w:pStyle w:val="ListBullet"/>
      </w:pPr>
      <w:r>
        <w:t>Maintain Tanzania data residency for all Agency data, with a secondary in-country replica</w:t>
      </w:r>
    </w:p>
    <w:p>
      <w:pPr>
        <w:pStyle w:val="ListBullet"/>
      </w:pPr>
      <w:r>
        <w:t>Apply the data-protection safeguards required by the Personal Data Protection Act, 2022 ('PDPA')</w:t>
      </w:r>
    </w:p>
    <w:p>
      <w:pPr>
        <w:pStyle w:val="ListBullet"/>
      </w:pPr>
      <w:r>
        <w:t>Provide a named operational lead for the Agency's account</w:t>
      </w:r>
    </w:p>
    <w:p>
      <w:pPr>
        <w:pStyle w:val="ListBullet"/>
      </w:pPr>
      <w:r>
        <w:t>Notify the Agency of any incident affecting Agency data within 24 hours</w:t>
      </w:r>
    </w:p>
    <w:p>
      <w:pPr>
        <w:pStyle w:val="ListBullet"/>
      </w:pPr>
      <w:r>
        <w:t>Make documented progress against the integration roadmap in Schedule B</w:t>
      </w:r>
    </w:p>
    <w:p>
      <w:pPr>
        <w:pStyle w:val="ListBullet"/>
      </w:pPr>
      <w:r>
        <w:t>Provide training to up to 20 Agency staff during the first 6 months</w:t>
      </w:r>
    </w:p>
    <w:p>
      <w:pPr>
        <w:pStyle w:val="Heading1"/>
      </w:pPr>
      <w:r>
        <w:rPr>
          <w:color w:val="0F0D09"/>
          <w:sz w:val="30"/>
        </w:rPr>
        <w:t>5. Agency obligations</w:t>
      </w:r>
    </w:p>
    <w:p>
      <w:r>
        <w:rPr>
          <w:b w:val="0"/>
        </w:rPr>
        <w:t>The Agency shall:</w:t>
      </w:r>
    </w:p>
    <w:p>
      <w:pPr>
        <w:pStyle w:val="ListBullet"/>
      </w:pPr>
      <w:r>
        <w:t>Designate a named operational counterpart for the Laetoli relationship</w:t>
      </w:r>
    </w:p>
    <w:p>
      <w:pPr>
        <w:pStyle w:val="ListBullet"/>
      </w:pPr>
      <w:r>
        <w:t>Make available the data and operational access required to deliver the agreed integrations</w:t>
      </w:r>
    </w:p>
    <w:p>
      <w:pPr>
        <w:pStyle w:val="ListBullet"/>
      </w:pPr>
      <w:r>
        <w:t>Provide reasonable feedback on platform performance and feature priorities</w:t>
      </w:r>
    </w:p>
    <w:p>
      <w:pPr>
        <w:pStyle w:val="ListBullet"/>
      </w:pPr>
      <w:r>
        <w:t>Promote the platform to its eligible user base in accordance with the joint communications principle</w:t>
      </w:r>
    </w:p>
    <w:p>
      <w:pPr>
        <w:pStyle w:val="ListBullet"/>
      </w:pPr>
      <w:r>
        <w:t>Treat Laetoli's intellectual property as confidential to the extent disclosed in this cooperation</w:t>
      </w:r>
    </w:p>
    <w:p>
      <w:pPr>
        <w:pStyle w:val="Heading1"/>
      </w:pPr>
      <w:r>
        <w:rPr>
          <w:color w:val="0F0D09"/>
          <w:sz w:val="30"/>
        </w:rPr>
        <w:t>6. Data protection</w:t>
      </w:r>
    </w:p>
    <w:p>
      <w:r>
        <w:rPr>
          <w:b w:val="0"/>
        </w:rPr>
        <w:t>The Parties acknowledge that personal data processed under this MoU is subject to PDPA. A separate Data Processing Agreement (the DPA template at docs/ip/05_DPA_Template.docx) is signed alongside this MoU and governs the processing of personal data in detail.</w:t>
      </w:r>
    </w:p>
    <w:p>
      <w:pPr>
        <w:pStyle w:val="Heading1"/>
      </w:pPr>
      <w:r>
        <w:rPr>
          <w:color w:val="0F0D09"/>
          <w:sz w:val="30"/>
        </w:rPr>
        <w:t>7. Intellectual property</w:t>
      </w:r>
    </w:p>
    <w:p>
      <w:r>
        <w:rPr>
          <w:b w:val="0"/>
        </w:rPr>
        <w:t>All intellectual property in TABHOS remains the property of Laetoli. The Agency retains all intellectual property in Agency data and Agency content. Nothing in this MoU transfers any IP between the Parties.</w:t>
      </w:r>
    </w:p>
    <w:p>
      <w:pPr>
        <w:pStyle w:val="Heading1"/>
      </w:pPr>
      <w:r>
        <w:rPr>
          <w:color w:val="0F0D09"/>
          <w:sz w:val="30"/>
        </w:rPr>
        <w:t>8. Term</w:t>
      </w:r>
    </w:p>
    <w:p>
      <w:r>
        <w:rPr>
          <w:b w:val="0"/>
        </w:rPr>
        <w:t>This MoU begins on the date of the last signature below and continues for 24 months. The Parties may extend the cooperation by mutual written agreement before expiry. Either Party may terminate the cooperation with 90 days' written notice; in that event the data return and deletion provisions of the DPA apply.</w:t>
      </w:r>
    </w:p>
    <w:p>
      <w:pPr>
        <w:pStyle w:val="Heading1"/>
      </w:pPr>
      <w:r>
        <w:rPr>
          <w:color w:val="0F0D09"/>
          <w:sz w:val="30"/>
        </w:rPr>
        <w:t>9. Costs</w:t>
      </w:r>
    </w:p>
    <w:p>
      <w:r>
        <w:rPr>
          <w:b w:val="0"/>
        </w:rPr>
        <w:t>Each Party bears its own costs of cooperation. There is no obligation on either Party to make payments to the other under this MoU. Future commercial arrangements (e.g. a paid licence beyond the initial 24-month period) will be negotiated separately if required.</w:t>
      </w:r>
    </w:p>
    <w:p>
      <w:pPr>
        <w:pStyle w:val="Heading1"/>
      </w:pPr>
      <w:r>
        <w:rPr>
          <w:color w:val="0F0D09"/>
          <w:sz w:val="30"/>
        </w:rPr>
        <w:t>10. Confidentiality</w:t>
      </w:r>
    </w:p>
    <w:p>
      <w:r>
        <w:rPr>
          <w:b w:val="0"/>
        </w:rPr>
        <w:t>Each Party shall protect the confidential information of the other using at least the same standard of care it uses for its own confidential information of like importance.</w:t>
      </w:r>
    </w:p>
    <w:p>
      <w:pPr>
        <w:pStyle w:val="Heading1"/>
      </w:pPr>
      <w:r>
        <w:rPr>
          <w:color w:val="0F0D09"/>
          <w:sz w:val="30"/>
        </w:rPr>
        <w:t>11. Dispute resolution</w:t>
      </w:r>
    </w:p>
    <w:p>
      <w:r>
        <w:rPr>
          <w:b w:val="0"/>
        </w:rPr>
        <w:t>Any dispute arising under this MoU shall first be raised by the operational leads and, if unresolved within 30 days, escalated to the heads of the Parties for resolution. If still unresolved, the dispute shall be referred to mediation under the rules of the Tanzania Institute of Arbitrators before any court action.</w:t>
      </w:r>
    </w:p>
    <w:p>
      <w:pPr>
        <w:pStyle w:val="Heading1"/>
      </w:pPr>
      <w:r>
        <w:rPr>
          <w:color w:val="0F0D09"/>
          <w:sz w:val="30"/>
        </w:rPr>
        <w:t>12. Governing law</w:t>
      </w:r>
    </w:p>
    <w:p>
      <w:r>
        <w:rPr>
          <w:b w:val="0"/>
        </w:rPr>
        <w:t>This MoU is governed by the laws of the United Republic of Tanzania.</w:t>
      </w:r>
    </w:p>
    <w:p>
      <w:pPr>
        <w:pStyle w:val="Heading1"/>
      </w:pPr>
      <w:r>
        <w:rPr>
          <w:color w:val="0F0D09"/>
          <w:sz w:val="30"/>
        </w:rPr>
        <w:t>Signatures</w:t>
      </w:r>
    </w:p>
    <w:p>
      <w:r>
        <w:rPr>
          <w:b w:val="0"/>
        </w:rPr>
      </w:r>
    </w:p>
    <w:p>
      <w:r>
        <w:rPr>
          <w:b w:val="0"/>
        </w:rPr>
        <w:t>For Laetoli (T) Ltd:</w:t>
      </w:r>
    </w:p>
    <w:p>
      <w:r>
        <w:rPr>
          <w:b w:val="0"/>
        </w:rPr>
        <w:t>_____________________________________     Date: __________________</w:t>
      </w:r>
    </w:p>
    <w:p>
      <w:r>
        <w:rPr>
          <w:b w:val="0"/>
        </w:rPr>
        <w:t>Name: Dr. Ally A. Nooher, MD, MPS-HIT, Director</w:t>
      </w:r>
    </w:p>
    <w:p>
      <w:r>
        <w:rPr>
          <w:b w:val="0"/>
        </w:rPr>
      </w:r>
    </w:p>
    <w:p>
      <w:r>
        <w:rPr>
          <w:b w:val="0"/>
        </w:rPr>
        <w:t>For Ministry of Health — Mental Health Unit:</w:t>
      </w:r>
    </w:p>
    <w:p>
      <w:r>
        <w:rPr>
          <w:b w:val="0"/>
        </w:rPr>
        <w:t>_____________________________________     Date: __________________</w:t>
      </w:r>
    </w:p>
    <w:p>
      <w:r>
        <w:rPr>
          <w:b w:val="0"/>
        </w:rPr>
        <w:t>Name / Title:</w:t>
      </w:r>
    </w:p>
    <w:p>
      <w:pPr>
        <w:pStyle w:val="Heading1"/>
      </w:pPr>
      <w:r>
        <w:rPr>
          <w:color w:val="0F0D09"/>
          <w:sz w:val="30"/>
        </w:rPr>
        <w:t>Schedule A — Use limits during the initial cooperation period</w:t>
      </w:r>
    </w:p>
    <w:p>
      <w:pPr>
        <w:pStyle w:val="ListBullet"/>
      </w:pPr>
      <w:r>
        <w:t>Active named users: up to 500</w:t>
      </w:r>
    </w:p>
    <w:p>
      <w:pPr>
        <w:pStyle w:val="ListBullet"/>
      </w:pPr>
      <w:r>
        <w:t>Storage: up to 100 GB of Agency data</w:t>
      </w:r>
    </w:p>
    <w:p>
      <w:pPr>
        <w:pStyle w:val="ListBullet"/>
      </w:pPr>
      <w:r>
        <w:t>Outbound API calls: up to 5 million / month</w:t>
      </w:r>
    </w:p>
    <w:p>
      <w:pPr>
        <w:pStyle w:val="ListBullet"/>
      </w:pPr>
      <w:r>
        <w:t>Other limits: as set out in the published service-tier table</w:t>
      </w:r>
    </w:p>
    <w:p>
      <w:pPr>
        <w:pStyle w:val="Heading1"/>
      </w:pPr>
      <w:r>
        <w:rPr>
          <w:color w:val="0F0D09"/>
          <w:sz w:val="30"/>
        </w:rPr>
        <w:t>Schedule B — Integration roadmap</w:t>
      </w:r>
    </w:p>
    <w:p>
      <w:r>
        <w:rPr>
          <w:b w:val="0"/>
        </w:rPr>
        <w:t>See docs/gov/02_Integrations_brief.docx for the full integration scope and milestone plan.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