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E44"/>
          <w:sz w:val="22"/>
        </w:rPr>
        <w:t>TABHOS</w:t>
      </w:r>
    </w:p>
    <w:p>
      <w:pPr>
        <w:pStyle w:val="Title"/>
      </w:pPr>
      <w:r>
        <w:rPr>
          <w:color w:val="0F0D09"/>
          <w:sz w:val="44"/>
        </w:rPr>
        <w:t>TABHOS — Integrations brief</w:t>
      </w:r>
    </w:p>
    <w:p>
      <w:r>
        <w:rPr>
          <w:i/>
          <w:color w:val="6A6760"/>
        </w:rPr>
        <w:t>Government + multi-agency integration scope, scaffold and milestones</w:t>
      </w:r>
    </w:p>
    <w:p>
      <w:r>
        <w:rPr>
          <w:b/>
        </w:rPr>
        <w:t xml:space="preserve">Author: </w:t>
      </w:r>
      <w:r>
        <w:t xml:space="preserve">Dr. Ally A. Nooher, MD, MPS-HIT · </w:t>
      </w:r>
      <w:r>
        <w:rPr>
          <w:b/>
        </w:rPr>
        <w:t xml:space="preserve">Owner: </w:t>
      </w:r>
      <w:r>
        <w:t xml:space="preserve">Laetoli (T) Ltd · </w:t>
      </w:r>
      <w:r>
        <w:rPr>
          <w:b/>
        </w:rPr>
        <w:t xml:space="preserve">Date: </w:t>
      </w:r>
      <w:r>
        <w:t>22 June 2026</w:t>
      </w:r>
    </w:p>
    <w:p>
      <w:pPr>
        <w:pStyle w:val="Heading1"/>
      </w:pPr>
      <w:r>
        <w:rPr>
          <w:color w:val="0F0D09"/>
          <w:sz w:val="30"/>
        </w:rPr>
        <w:t>1. Lead agency</w:t>
      </w:r>
    </w:p>
    <w:p>
      <w:r>
        <w:rPr>
          <w:b w:val="0"/>
        </w:rPr>
        <w:t>Ministry of Health — Mental Health Unit — P.O. Box 9083, Dodoma, Tanzania.</w:t>
      </w:r>
    </w:p>
    <w:p>
      <w:pPr>
        <w:pStyle w:val="Heading1"/>
      </w:pPr>
      <w:r>
        <w:rPr>
          <w:color w:val="0F0D09"/>
          <w:sz w:val="30"/>
        </w:rPr>
        <w:t>2. Secondary agencies</w:t>
      </w:r>
    </w:p>
    <w:p>
      <w:pPr>
        <w:pStyle w:val="ListBullet"/>
      </w:pPr>
      <w:r>
        <w:t>MCT — Mental Health Council of Tanzania (where applicable)</w:t>
      </w:r>
    </w:p>
    <w:p>
      <w:pPr>
        <w:pStyle w:val="ListBullet"/>
      </w:pPr>
      <w:r>
        <w:t>TMC — Tanzania Medical Council</w:t>
      </w:r>
    </w:p>
    <w:p>
      <w:pPr>
        <w:pStyle w:val="ListBullet"/>
      </w:pPr>
      <w:r>
        <w:t>MoEST — Ministry of Education, Science and Technology (for school surface)</w:t>
      </w:r>
    </w:p>
    <w:p>
      <w:pPr>
        <w:pStyle w:val="ListBullet"/>
      </w:pPr>
      <w:r>
        <w:t>PORALG — President's Office, Regional Administration and Local Government</w:t>
      </w:r>
    </w:p>
    <w:p>
      <w:pPr>
        <w:pStyle w:val="Heading1"/>
      </w:pPr>
      <w:r>
        <w:rPr>
          <w:color w:val="0F0D09"/>
          <w:sz w:val="30"/>
        </w:rPr>
        <w:t>3. Integration scope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Partner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Technical surface</w:t>
            </w:r>
          </w:p>
        </w:tc>
      </w:tr>
      <w:tr>
        <w:tc>
          <w:tcPr>
            <w:tcW w:type="dxa" w:w="3120"/>
          </w:tcPr>
          <w:p>
            <w:r>
              <w:t>THOS bridge</w:t>
            </w:r>
          </w:p>
        </w:tc>
        <w:tc>
          <w:tcPr>
            <w:tcW w:type="dxa" w:w="3120"/>
          </w:tcPr>
          <w:p>
            <w:r>
              <w:t>SMART-on-FHIR bridge for behavioral-health records ↔ general health record</w:t>
            </w:r>
          </w:p>
        </w:tc>
        <w:tc>
          <w:tcPr>
            <w:tcW w:type="dxa" w:w="3120"/>
          </w:tcPr>
          <w:p>
            <w:r>
              <w:t>FHIR R4 cross-domain reference + consent escalation flow</w:t>
            </w:r>
          </w:p>
        </w:tc>
      </w:tr>
      <w:tr>
        <w:tc>
          <w:tcPr>
            <w:tcW w:type="dxa" w:w="3120"/>
          </w:tcPr>
          <w:p>
            <w:r>
              <w:t>NHIF</w:t>
            </w:r>
          </w:p>
        </w:tc>
        <w:tc>
          <w:tcPr>
            <w:tcW w:type="dxa" w:w="3120"/>
          </w:tcPr>
          <w:p>
            <w:r>
              <w:t>Coverage of clinical-tier behavioral-health services</w:t>
            </w:r>
          </w:p>
        </w:tc>
        <w:tc>
          <w:tcPr>
            <w:tcW w:type="dxa" w:w="3120"/>
          </w:tcPr>
          <w:p>
            <w:r>
              <w:t>NHIF claims API with MH-specific coding</w:t>
            </w:r>
          </w:p>
        </w:tc>
      </w:tr>
      <w:tr>
        <w:tc>
          <w:tcPr>
            <w:tcW w:type="dxa" w:w="3120"/>
          </w:tcPr>
          <w:p>
            <w:r>
              <w:t>NIDA</w:t>
            </w:r>
          </w:p>
        </w:tc>
        <w:tc>
          <w:tcPr>
            <w:tcW w:type="dxa" w:w="3120"/>
          </w:tcPr>
          <w:p>
            <w:r>
              <w:t>Patient + provider identity verification</w:t>
            </w:r>
          </w:p>
        </w:tc>
        <w:tc>
          <w:tcPr>
            <w:tcW w:type="dxa" w:w="3120"/>
          </w:tcPr>
          <w:p>
            <w:r>
              <w:t>NIDA Verify API</w:t>
            </w:r>
          </w:p>
        </w:tc>
      </w:tr>
      <w:tr>
        <w:tc>
          <w:tcPr>
            <w:tcW w:type="dxa" w:w="3120"/>
          </w:tcPr>
          <w:p>
            <w:r>
              <w:t>Crisis lines</w:t>
            </w:r>
          </w:p>
        </w:tc>
        <w:tc>
          <w:tcPr>
            <w:tcW w:type="dxa" w:w="3120"/>
          </w:tcPr>
          <w:p>
            <w:r>
              <w:t>Routing of high-risk users (PHQ-9 score 20+, C-SSRS positive) to crisis support</w:t>
            </w:r>
          </w:p>
        </w:tc>
        <w:tc>
          <w:tcPr>
            <w:tcW w:type="dxa" w:w="3120"/>
          </w:tcPr>
          <w:p>
            <w:r>
              <w:t>TZ national MH hotline integration; consent-bound emergency contact</w:t>
            </w:r>
          </w:p>
        </w:tc>
      </w:tr>
      <w:tr>
        <w:tc>
          <w:tcPr>
            <w:tcW w:type="dxa" w:w="3120"/>
          </w:tcPr>
          <w:p>
            <w:r>
              <w:t>Schools</w:t>
            </w:r>
          </w:p>
        </w:tc>
        <w:tc>
          <w:tcPr>
            <w:tcW w:type="dxa" w:w="3120"/>
          </w:tcPr>
          <w:p>
            <w:r>
              <w:t>Bulk onboarding of school counselling services</w:t>
            </w:r>
          </w:p>
        </w:tc>
        <w:tc>
          <w:tcPr>
            <w:tcW w:type="dxa" w:w="3120"/>
          </w:tcPr>
          <w:p>
            <w:r>
              <w:t>School-roster import + per-student consent flow</w:t>
            </w:r>
          </w:p>
        </w:tc>
      </w:tr>
      <w:tr>
        <w:tc>
          <w:tcPr>
            <w:tcW w:type="dxa" w:w="3120"/>
          </w:tcPr>
          <w:p>
            <w:r>
              <w:t>EAP</w:t>
            </w:r>
          </w:p>
        </w:tc>
        <w:tc>
          <w:tcPr>
            <w:tcW w:type="dxa" w:w="3120"/>
          </w:tcPr>
          <w:p>
            <w:r>
              <w:t>Employer Assistance Programme onboarding for the workforce surface</w:t>
            </w:r>
          </w:p>
        </w:tc>
        <w:tc>
          <w:tcPr>
            <w:tcW w:type="dxa" w:w="3120"/>
          </w:tcPr>
          <w:p>
            <w:r>
              <w:t>Employer-administered tenant model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4. Milestone plan (per integration)</w:t>
      </w:r>
    </w:p>
    <w:p>
      <w:r>
        <w:rPr>
          <w:b w:val="0"/>
        </w:rPr>
        <w:t>Each integration follows the same five-stage milestone plan: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Typical duration</w:t>
            </w:r>
          </w:p>
        </w:tc>
      </w:tr>
      <w:tr>
        <w:tc>
          <w:tcPr>
            <w:tcW w:type="dxa" w:w="3120"/>
          </w:tcPr>
          <w:p>
            <w:r>
              <w:t>Stage 1</w:t>
            </w:r>
          </w:p>
        </w:tc>
        <w:tc>
          <w:tcPr>
            <w:tcW w:type="dxa" w:w="3120"/>
          </w:tcPr>
          <w:p>
            <w:r>
              <w:t>MoU signed + scope confirmed</w:t>
            </w:r>
          </w:p>
        </w:tc>
        <w:tc>
          <w:tcPr>
            <w:tcW w:type="dxa" w:w="3120"/>
          </w:tcPr>
          <w:p>
            <w:r>
              <w:t>Weeks 1–4</w:t>
            </w:r>
          </w:p>
        </w:tc>
      </w:tr>
      <w:tr>
        <w:tc>
          <w:tcPr>
            <w:tcW w:type="dxa" w:w="3120"/>
          </w:tcPr>
          <w:p>
            <w:r>
              <w:t>Stage 2</w:t>
            </w:r>
          </w:p>
        </w:tc>
        <w:tc>
          <w:tcPr>
            <w:tcW w:type="dxa" w:w="3120"/>
          </w:tcPr>
          <w:p>
            <w:r>
              <w:t>Test environment access + sandbox credentials issued</w:t>
            </w:r>
          </w:p>
        </w:tc>
        <w:tc>
          <w:tcPr>
            <w:tcW w:type="dxa" w:w="3120"/>
          </w:tcPr>
          <w:p>
            <w:r>
              <w:t>Weeks 5–8</w:t>
            </w:r>
          </w:p>
        </w:tc>
      </w:tr>
      <w:tr>
        <w:tc>
          <w:tcPr>
            <w:tcW w:type="dxa" w:w="3120"/>
          </w:tcPr>
          <w:p>
            <w:r>
              <w:t>Stage 3</w:t>
            </w:r>
          </w:p>
        </w:tc>
        <w:tc>
          <w:tcPr>
            <w:tcW w:type="dxa" w:w="3120"/>
          </w:tcPr>
          <w:p>
            <w:r>
              <w:t>Integration built and passing partner-side conformance</w:t>
            </w:r>
          </w:p>
        </w:tc>
        <w:tc>
          <w:tcPr>
            <w:tcW w:type="dxa" w:w="3120"/>
          </w:tcPr>
          <w:p>
            <w:r>
              <w:t>Weeks 9–16</w:t>
            </w:r>
          </w:p>
        </w:tc>
      </w:tr>
      <w:tr>
        <w:tc>
          <w:tcPr>
            <w:tcW w:type="dxa" w:w="3120"/>
          </w:tcPr>
          <w:p>
            <w:r>
              <w:t>Stage 4</w:t>
            </w:r>
          </w:p>
        </w:tc>
        <w:tc>
          <w:tcPr>
            <w:tcW w:type="dxa" w:w="3120"/>
          </w:tcPr>
          <w:p>
            <w:r>
              <w:t>Pilot with 1–3 anchor users + signed sign-off</w:t>
            </w:r>
          </w:p>
        </w:tc>
        <w:tc>
          <w:tcPr>
            <w:tcW w:type="dxa" w:w="3120"/>
          </w:tcPr>
          <w:p>
            <w:r>
              <w:t>Weeks 17–24</w:t>
            </w:r>
          </w:p>
        </w:tc>
      </w:tr>
      <w:tr>
        <w:tc>
          <w:tcPr>
            <w:tcW w:type="dxa" w:w="3120"/>
          </w:tcPr>
          <w:p>
            <w:r>
              <w:t>Stage 5</w:t>
            </w:r>
          </w:p>
        </w:tc>
        <w:tc>
          <w:tcPr>
            <w:tcW w:type="dxa" w:w="3120"/>
          </w:tcPr>
          <w:p>
            <w:r>
              <w:t>Production rollout + operational SLA established</w:t>
            </w:r>
          </w:p>
        </w:tc>
        <w:tc>
          <w:tcPr>
            <w:tcW w:type="dxa" w:w="3120"/>
          </w:tcPr>
          <w:p>
            <w:r>
              <w:t>Weeks 25–36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5. Cross-cutting technical baseline</w:t>
      </w:r>
    </w:p>
    <w:p>
      <w:pPr>
        <w:pStyle w:val="ListBullet"/>
      </w:pPr>
      <w:r>
        <w:t>Authentication: OAuth2 + signed JWT for inter-agency federation; mTLS for backend-to-backend</w:t>
      </w:r>
    </w:p>
    <w:p>
      <w:pPr>
        <w:pStyle w:val="ListBullet"/>
      </w:pPr>
      <w:r>
        <w:t>Data residency: Tanzania (TIB Dar es Salaam DC primary, TZ secondary replica)</w:t>
      </w:r>
    </w:p>
    <w:p>
      <w:pPr>
        <w:pStyle w:val="ListBullet"/>
      </w:pPr>
      <w:r>
        <w:t>Encryption: AES-256 at rest, TLS 1.2+ in transit</w:t>
      </w:r>
    </w:p>
    <w:p>
      <w:pPr>
        <w:pStyle w:val="ListBullet"/>
      </w:pPr>
      <w:r>
        <w:t>Audit logging: every inter-agency exchange logged with sender, recipient, payload hash, and outcome — retained 7 years</w:t>
      </w:r>
    </w:p>
    <w:p>
      <w:pPr>
        <w:pStyle w:val="ListBullet"/>
      </w:pPr>
      <w:r>
        <w:t>Failover: each integration has a documented manual fallback (signed CSV / PDF) when the API is unavailable</w:t>
      </w:r>
    </w:p>
    <w:p>
      <w:pPr>
        <w:pStyle w:val="ListBullet"/>
      </w:pPr>
      <w:r>
        <w:t>Versioning: every API surface is versioned; deprecation gives ≥ 6 months notice</w:t>
      </w:r>
    </w:p>
    <w:p>
      <w:pPr>
        <w:pStyle w:val="Heading1"/>
      </w:pPr>
      <w:r>
        <w:rPr>
          <w:color w:val="0F0D09"/>
          <w:sz w:val="30"/>
        </w:rPr>
        <w:t>6. Status by partner</w:t>
      </w:r>
    </w:p>
    <w:p>
      <w:r>
        <w:rPr>
          <w:b w:val="0"/>
        </w:rPr>
        <w:t>(To be updated quarterly. Initial status: pre-MoU for all partners except where noted below.)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Partner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680"/>
          </w:tcPr>
          <w:p>
            <w:r>
              <w:t>THOS bridge</w:t>
            </w:r>
          </w:p>
        </w:tc>
        <w:tc>
          <w:tcPr>
            <w:tcW w:type="dxa" w:w="4680"/>
          </w:tcPr>
          <w:p>
            <w:r>
              <w:t>Pre-MoU</w:t>
            </w:r>
          </w:p>
        </w:tc>
      </w:tr>
      <w:tr>
        <w:tc>
          <w:tcPr>
            <w:tcW w:type="dxa" w:w="4680"/>
          </w:tcPr>
          <w:p>
            <w:r>
              <w:t>NHIF</w:t>
            </w:r>
          </w:p>
        </w:tc>
        <w:tc>
          <w:tcPr>
            <w:tcW w:type="dxa" w:w="4680"/>
          </w:tcPr>
          <w:p>
            <w:r>
              <w:t>Pre-MoU</w:t>
            </w:r>
          </w:p>
        </w:tc>
      </w:tr>
      <w:tr>
        <w:tc>
          <w:tcPr>
            <w:tcW w:type="dxa" w:w="4680"/>
          </w:tcPr>
          <w:p>
            <w:r>
              <w:t>NIDA</w:t>
            </w:r>
          </w:p>
        </w:tc>
        <w:tc>
          <w:tcPr>
            <w:tcW w:type="dxa" w:w="4680"/>
          </w:tcPr>
          <w:p>
            <w:r>
              <w:t>Pre-MoU</w:t>
            </w:r>
          </w:p>
        </w:tc>
      </w:tr>
      <w:tr>
        <w:tc>
          <w:tcPr>
            <w:tcW w:type="dxa" w:w="4680"/>
          </w:tcPr>
          <w:p>
            <w:r>
              <w:t>Crisis lines</w:t>
            </w:r>
          </w:p>
        </w:tc>
        <w:tc>
          <w:tcPr>
            <w:tcW w:type="dxa" w:w="4680"/>
          </w:tcPr>
          <w:p>
            <w:r>
              <w:t>Pre-MoU</w:t>
            </w:r>
          </w:p>
        </w:tc>
      </w:tr>
      <w:tr>
        <w:tc>
          <w:tcPr>
            <w:tcW w:type="dxa" w:w="4680"/>
          </w:tcPr>
          <w:p>
            <w:r>
              <w:t>Schools</w:t>
            </w:r>
          </w:p>
        </w:tc>
        <w:tc>
          <w:tcPr>
            <w:tcW w:type="dxa" w:w="4680"/>
          </w:tcPr>
          <w:p>
            <w:r>
              <w:t>Pre-MoU</w:t>
            </w:r>
          </w:p>
        </w:tc>
      </w:tr>
      <w:tr>
        <w:tc>
          <w:tcPr>
            <w:tcW w:type="dxa" w:w="4680"/>
          </w:tcPr>
          <w:p>
            <w:r>
              <w:t>EAP</w:t>
            </w:r>
          </w:p>
        </w:tc>
        <w:tc>
          <w:tcPr>
            <w:tcW w:type="dxa" w:w="4680"/>
          </w:tcPr>
          <w:p>
            <w:r>
              <w:t>Pre-MoU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