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4"/>
        </w:rPr>
        <w:t>TABHOS — Government Procurement Packet</w:t>
      </w:r>
    </w:p>
    <w:p>
      <w:r>
        <w:rPr>
          <w:i/>
          <w:color w:val="6A6760"/>
        </w:rPr>
        <w:t>Read by buyer's procurement reviewer — answers the questions you didn't know to ask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Executive summary</w:t>
      </w:r>
    </w:p>
    <w:p>
      <w:r>
        <w:rPr>
          <w:b w:val="0"/>
        </w:rPr>
        <w:t>TABHOS — Tanzania Behavioral Health Operating System is a Laetoli (T) Ltd platform built in Tanzania, by Tanzanians, for Tanzanian users — designed from day one to meet government procurement standards, data sovereignty requirements, and the Personal Data Protection Act, 2022.</w:t>
      </w:r>
    </w:p>
    <w:p>
      <w:r>
        <w:rPr>
          <w:b w:val="0"/>
        </w:rPr>
        <w:t>This packet is the standard set of answers Tanzanian government procurement reviewers ask. It is updated quarterly. For specific responses to a specific RFP, contact procurement@laetoli.tz.</w:t>
      </w:r>
    </w:p>
    <w:p>
      <w:pPr>
        <w:pStyle w:val="Heading1"/>
      </w:pPr>
      <w:r>
        <w:rPr>
          <w:color w:val="0F0D09"/>
          <w:sz w:val="30"/>
        </w:rPr>
        <w:t>1. Who we are</w:t>
      </w:r>
    </w:p>
    <w:p>
      <w:pPr>
        <w:pStyle w:val="ListBullet"/>
      </w:pPr>
      <w:r>
        <w:t>Vendor: Laetoli (T) Ltd</w:t>
      </w:r>
    </w:p>
    <w:p>
      <w:pPr>
        <w:pStyle w:val="ListBullet"/>
      </w:pPr>
      <w:r>
        <w:t>Country of incorporation: Tanzania</w:t>
      </w:r>
    </w:p>
    <w:p>
      <w:pPr>
        <w:pStyle w:val="ListBullet"/>
      </w:pPr>
      <w:r>
        <w:t>Founder + Director: Dr. Ally A. Nooher, MD, MPS-HIT</w:t>
      </w:r>
    </w:p>
    <w:p>
      <w:pPr>
        <w:pStyle w:val="ListBullet"/>
      </w:pPr>
      <w:r>
        <w:t>Domain: laetoli.tz</w:t>
      </w:r>
    </w:p>
    <w:p>
      <w:pPr>
        <w:pStyle w:val="ListBullet"/>
      </w:pPr>
      <w:r>
        <w:t>Tax compliance: TIN registration, VAT-registered when revenue triggers it</w:t>
      </w:r>
    </w:p>
    <w:p>
      <w:pPr>
        <w:pStyle w:val="Heading1"/>
      </w:pPr>
      <w:r>
        <w:rPr>
          <w:color w:val="0F0D09"/>
          <w:sz w:val="30"/>
        </w:rPr>
        <w:t>2. What we offer</w:t>
      </w:r>
    </w:p>
    <w:p>
      <w:r>
        <w:rPr>
          <w:b w:val="0"/>
        </w:rPr>
        <w:t>TABHOS — Tanzania Behavioral Health Operating System provides:</w:t>
      </w:r>
    </w:p>
    <w:p>
      <w:pPr>
        <w:pStyle w:val="ListBullet"/>
      </w:pPr>
      <w:r>
        <w:t>Twelve self-screening assessment instruments accessible to anyone with a phone</w:t>
      </w:r>
    </w:p>
    <w:p>
      <w:pPr>
        <w:pStyle w:val="ListBullet"/>
      </w:pPr>
      <w:r>
        <w:t>Fourteen evidence-based programmes deliverable by lay counsellors under supervision</w:t>
      </w:r>
    </w:p>
    <w:p>
      <w:pPr>
        <w:pStyle w:val="ListBullet"/>
      </w:pPr>
      <w:r>
        <w:t>Ten special-population tracks covering the highest-risk groups</w:t>
      </w:r>
    </w:p>
    <w:p>
      <w:pPr>
        <w:pStyle w:val="ListBullet"/>
      </w:pPr>
      <w:r>
        <w:t>A sovereign Swahili AI companion (Rafiki) with grounded knowledge, no external LLM</w:t>
      </w:r>
    </w:p>
    <w:p>
      <w:pPr>
        <w:pStyle w:val="ListBullet"/>
      </w:pPr>
      <w:r>
        <w:t>Provider workspace covering intake, ICD-11, telehealth, NHIF claims, supervision</w:t>
      </w:r>
    </w:p>
    <w:p>
      <w:pPr>
        <w:pStyle w:val="Heading1"/>
      </w:pPr>
      <w:r>
        <w:rPr>
          <w:color w:val="0F0D09"/>
          <w:sz w:val="30"/>
        </w:rPr>
        <w:t>3. Why Laetoli over alternatives</w:t>
      </w:r>
    </w:p>
    <w:p>
      <w:pPr>
        <w:pStyle w:val="ListBullet"/>
      </w:pPr>
      <w:r>
        <w:t>Sovereign infrastructure — data residency in Tanzania, no foreign-jurisdiction risk</w:t>
      </w:r>
    </w:p>
    <w:p>
      <w:pPr>
        <w:pStyle w:val="ListBullet"/>
      </w:pPr>
      <w:r>
        <w:t>Founder-led by a Tanzanian clinician-engineer with deep domain expertise</w:t>
      </w:r>
    </w:p>
    <w:p>
      <w:pPr>
        <w:pStyle w:val="ListBullet"/>
      </w:pPr>
      <w:r>
        <w:t>PDPA-compliant from day one, not retrofitted</w:t>
      </w:r>
    </w:p>
    <w:p>
      <w:pPr>
        <w:pStyle w:val="ListBullet"/>
      </w:pPr>
      <w:r>
        <w:t>Cross-product federation — buyers using one Laetoli product gain leverage across the portfolio</w:t>
      </w:r>
    </w:p>
    <w:p>
      <w:pPr>
        <w:pStyle w:val="ListBullet"/>
      </w:pPr>
      <w:r>
        <w:t>Lead agency cooperation: Ministry of Health — Mental Health Unit (in MoU)</w:t>
      </w:r>
    </w:p>
    <w:p>
      <w:pPr>
        <w:pStyle w:val="ListBullet"/>
      </w:pPr>
      <w:r>
        <w:t>Total IP package (10 docs) and total investor packet (5 deliverables) on file — see docs/ip and docs/investor</w:t>
      </w:r>
    </w:p>
    <w:p>
      <w:pPr>
        <w:pStyle w:val="Heading1"/>
      </w:pPr>
      <w:r>
        <w:rPr>
          <w:color w:val="0F0D09"/>
          <w:sz w:val="30"/>
        </w:rPr>
        <w:t>4. Pricing model</w:t>
      </w:r>
    </w:p>
    <w:p>
      <w:pPr>
        <w:pStyle w:val="ListBullet"/>
      </w:pPr>
      <w:r>
        <w:t>Initial 24-month government cooperation: free, subject to use limits (see MoU Schedule A)</w:t>
      </w:r>
    </w:p>
    <w:p>
      <w:pPr>
        <w:pStyle w:val="ListBullet"/>
      </w:pPr>
      <w:r>
        <w:t>Beyond the initial period: subscription tiers documented in the standard pricing table</w:t>
      </w:r>
    </w:p>
    <w:p>
      <w:pPr>
        <w:pStyle w:val="ListBullet"/>
      </w:pPr>
      <w:r>
        <w:t>Government tier pricing: subject to Treasury and procurement-policy review</w:t>
      </w:r>
    </w:p>
    <w:p>
      <w:pPr>
        <w:pStyle w:val="ListBullet"/>
      </w:pPr>
      <w:r>
        <w:t>All pricing in Tanzanian shillings (TSh)</w:t>
      </w:r>
    </w:p>
    <w:p>
      <w:pPr>
        <w:pStyle w:val="Heading1"/>
      </w:pPr>
      <w:r>
        <w:rPr>
          <w:color w:val="0F0D09"/>
          <w:sz w:val="30"/>
        </w:rPr>
        <w:t>5. Implementation timeline</w:t>
      </w:r>
    </w:p>
    <w:p>
      <w:r>
        <w:rPr>
          <w:b w:val="0"/>
        </w:rPr>
        <w:t>Standard government implementation timeline: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3120"/>
          </w:tcPr>
          <w:p>
            <w:r>
              <w:t>Phase 0</w:t>
            </w:r>
          </w:p>
        </w:tc>
        <w:tc>
          <w:tcPr>
            <w:tcW w:type="dxa" w:w="3120"/>
          </w:tcPr>
          <w:p>
            <w:r>
              <w:t>MoU signature + DPA execution</w:t>
            </w:r>
          </w:p>
        </w:tc>
        <w:tc>
          <w:tcPr>
            <w:tcW w:type="dxa" w:w="3120"/>
          </w:tcPr>
          <w:p>
            <w:r>
              <w:t>Weeks 1–4</w:t>
            </w:r>
          </w:p>
        </w:tc>
      </w:tr>
      <w:tr>
        <w:tc>
          <w:tcPr>
            <w:tcW w:type="dxa" w:w="3120"/>
          </w:tcPr>
          <w:p>
            <w:r>
              <w:t>Phase 1</w:t>
            </w:r>
          </w:p>
        </w:tc>
        <w:tc>
          <w:tcPr>
            <w:tcW w:type="dxa" w:w="3120"/>
          </w:tcPr>
          <w:p>
            <w:r>
              <w:t>Sandbox + integration kickoff</w:t>
            </w:r>
          </w:p>
        </w:tc>
        <w:tc>
          <w:tcPr>
            <w:tcW w:type="dxa" w:w="3120"/>
          </w:tcPr>
          <w:p>
            <w:r>
              <w:t>Weeks 5–8</w:t>
            </w:r>
          </w:p>
        </w:tc>
      </w:tr>
      <w:tr>
        <w:tc>
          <w:tcPr>
            <w:tcW w:type="dxa" w:w="3120"/>
          </w:tcPr>
          <w:p>
            <w:r>
              <w:t>Phase 2</w:t>
            </w:r>
          </w:p>
        </w:tc>
        <w:tc>
          <w:tcPr>
            <w:tcW w:type="dxa" w:w="3120"/>
          </w:tcPr>
          <w:p>
            <w:r>
              <w:t>Pilot deployment (1–3 sites)</w:t>
            </w:r>
          </w:p>
        </w:tc>
        <w:tc>
          <w:tcPr>
            <w:tcW w:type="dxa" w:w="3120"/>
          </w:tcPr>
          <w:p>
            <w:r>
              <w:t>Weeks 9–16</w:t>
            </w:r>
          </w:p>
        </w:tc>
      </w:tr>
      <w:tr>
        <w:tc>
          <w:tcPr>
            <w:tcW w:type="dxa" w:w="3120"/>
          </w:tcPr>
          <w:p>
            <w:r>
              <w:t>Phase 3</w:t>
            </w:r>
          </w:p>
        </w:tc>
        <w:tc>
          <w:tcPr>
            <w:tcW w:type="dxa" w:w="3120"/>
          </w:tcPr>
          <w:p>
            <w:r>
              <w:t>Pilot evaluation + adjust</w:t>
            </w:r>
          </w:p>
        </w:tc>
        <w:tc>
          <w:tcPr>
            <w:tcW w:type="dxa" w:w="3120"/>
          </w:tcPr>
          <w:p>
            <w:r>
              <w:t>Weeks 17–20</w:t>
            </w:r>
          </w:p>
        </w:tc>
      </w:tr>
      <w:tr>
        <w:tc>
          <w:tcPr>
            <w:tcW w:type="dxa" w:w="3120"/>
          </w:tcPr>
          <w:p>
            <w:r>
              <w:t>Phase 4</w:t>
            </w:r>
          </w:p>
        </w:tc>
        <w:tc>
          <w:tcPr>
            <w:tcW w:type="dxa" w:w="3120"/>
          </w:tcPr>
          <w:p>
            <w:r>
              <w:t>Production rollout</w:t>
            </w:r>
          </w:p>
        </w:tc>
        <w:tc>
          <w:tcPr>
            <w:tcW w:type="dxa" w:w="3120"/>
          </w:tcPr>
          <w:p>
            <w:r>
              <w:t>Weeks 21–36</w:t>
            </w:r>
          </w:p>
        </w:tc>
      </w:tr>
      <w:tr>
        <w:tc>
          <w:tcPr>
            <w:tcW w:type="dxa" w:w="3120"/>
          </w:tcPr>
          <w:p>
            <w:r>
              <w:t>Phase 5</w:t>
            </w:r>
          </w:p>
        </w:tc>
        <w:tc>
          <w:tcPr>
            <w:tcW w:type="dxa" w:w="3120"/>
          </w:tcPr>
          <w:p>
            <w:r>
              <w:t>Steady-state operations + quarterly review</w:t>
            </w:r>
          </w:p>
        </w:tc>
        <w:tc>
          <w:tcPr>
            <w:tcW w:type="dxa" w:w="3120"/>
          </w:tcPr>
          <w:p>
            <w:r>
              <w:t>Weeks 37+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6. Security baseline</w:t>
      </w:r>
    </w:p>
    <w:p>
      <w:r>
        <w:rPr>
          <w:b w:val="0"/>
        </w:rPr>
        <w:t>See docs/gov/03_Security_questionnaire.docx for the full vendor security questionnaire. Highlights:</w:t>
      </w:r>
    </w:p>
    <w:p>
      <w:pPr>
        <w:pStyle w:val="ListBullet"/>
      </w:pPr>
      <w:r>
        <w:t>TZ data residency with TZ secondary replica</w:t>
      </w:r>
    </w:p>
    <w:p>
      <w:pPr>
        <w:pStyle w:val="ListBullet"/>
      </w:pPr>
      <w:r>
        <w:t>AES-256 at rest, TLS 1.2+ in transit</w:t>
      </w:r>
    </w:p>
    <w:p>
      <w:pPr>
        <w:pStyle w:val="ListBullet"/>
      </w:pPr>
      <w:r>
        <w:t>MFA mandatory for all admin + staff</w:t>
      </w:r>
    </w:p>
    <w:p>
      <w:pPr>
        <w:pStyle w:val="ListBullet"/>
      </w:pPr>
      <w:r>
        <w:t>7-year tamper-evident audit log</w:t>
      </w:r>
    </w:p>
    <w:p>
      <w:pPr>
        <w:pStyle w:val="ListBullet"/>
      </w:pPr>
      <w:r>
        <w:t>Quarterly penetration testing</w:t>
      </w:r>
    </w:p>
    <w:p>
      <w:pPr>
        <w:pStyle w:val="ListBullet"/>
      </w:pPr>
      <w:r>
        <w:t>Documented incident response + DR runbooks</w:t>
      </w:r>
    </w:p>
    <w:p>
      <w:pPr>
        <w:pStyle w:val="Heading1"/>
      </w:pPr>
      <w:r>
        <w:rPr>
          <w:color w:val="0F0D09"/>
          <w:sz w:val="30"/>
        </w:rPr>
        <w:t>7. Reference documents</w:t>
      </w:r>
    </w:p>
    <w:p>
      <w:pPr>
        <w:pStyle w:val="ListBullet"/>
      </w:pPr>
      <w:r>
        <w:t>MoU template — docs/gov/01_MoU_template.docx</w:t>
      </w:r>
    </w:p>
    <w:p>
      <w:pPr>
        <w:pStyle w:val="ListBullet"/>
      </w:pPr>
      <w:r>
        <w:t>Integrations brief — docs/gov/02_Integrations_brief.docx</w:t>
      </w:r>
    </w:p>
    <w:p>
      <w:pPr>
        <w:pStyle w:val="ListBullet"/>
      </w:pPr>
      <w:r>
        <w:t>Vendor security questionnaire — docs/gov/03_Security_questionnaire.docx</w:t>
      </w:r>
    </w:p>
    <w:p>
      <w:pPr>
        <w:pStyle w:val="ListBullet"/>
      </w:pPr>
      <w:r>
        <w:t>EULA / MSA / DPA — docs/ip/03–05</w:t>
      </w:r>
    </w:p>
    <w:p>
      <w:pPr>
        <w:pStyle w:val="ListBullet"/>
      </w:pPr>
      <w:r>
        <w:t>Confidentiality + IP assignment — docs/ip/09</w:t>
      </w:r>
    </w:p>
    <w:p>
      <w:pPr>
        <w:pStyle w:val="ListBullet"/>
      </w:pPr>
      <w:r>
        <w:t>Funder one-pager — docs/ip/10</w:t>
      </w:r>
    </w:p>
    <w:p>
      <w:pPr>
        <w:pStyle w:val="ListBullet"/>
      </w:pPr>
      <w:r>
        <w:t>Investor deck + financials — docs/investor/</w:t>
      </w:r>
    </w:p>
    <w:p>
      <w:pPr>
        <w:pStyle w:val="Heading1"/>
      </w:pPr>
      <w:r>
        <w:rPr>
          <w:color w:val="0F0D09"/>
          <w:sz w:val="30"/>
        </w:rPr>
        <w:t>8. Contacts</w:t>
      </w:r>
    </w:p>
    <w:p>
      <w:pPr>
        <w:pStyle w:val="ListBullet"/>
      </w:pPr>
      <w:r>
        <w:t>Procurement: procurement@laetoli.tz</w:t>
      </w:r>
    </w:p>
    <w:p>
      <w:pPr>
        <w:pStyle w:val="ListBullet"/>
      </w:pPr>
      <w:r>
        <w:t>Security: security@laetoli.tz</w:t>
      </w:r>
    </w:p>
    <w:p>
      <w:pPr>
        <w:pStyle w:val="ListBullet"/>
      </w:pPr>
      <w:r>
        <w:t>Legal: legal@laetoli.tz</w:t>
      </w:r>
    </w:p>
    <w:p>
      <w:pPr>
        <w:pStyle w:val="ListBullet"/>
      </w:pPr>
      <w:r>
        <w:t>General: founder@laetoli.tz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