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Theory of Change</w:t>
      </w:r>
    </w:p>
    <w:p>
      <w:r>
        <w:rPr>
          <w:i/>
          <w:color w:val="6A6760"/>
        </w:rPr>
        <w:t>Inputs → activities → outputs → outcomes → impact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Mission</w:t>
      </w:r>
    </w:p>
    <w:p>
      <w:r>
        <w:rPr>
          <w:b w:val="0"/>
        </w:rPr>
        <w:t>A scalable, culturally-grounded mental-health system that recognises Tanzania's psychiatrist shortage as a structural reality and works with lay counsellors + clinical supervision + sovereign AI — closing the largest single neglected disease burden in the country and unlocking productivity gains across the workforce.</w:t>
      </w:r>
    </w:p>
    <w:p>
      <w:pPr>
        <w:pStyle w:val="Heading1"/>
      </w:pPr>
      <w:r>
        <w:rPr>
          <w:color w:val="0F0D09"/>
          <w:sz w:val="30"/>
        </w:rPr>
        <w:t>2. The Theory of Change at a glance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Inputs</w:t>
            </w:r>
          </w:p>
        </w:tc>
        <w:tc>
          <w:tcPr>
            <w:tcW w:type="dxa" w:w="4680"/>
          </w:tcPr>
          <w:p>
            <w:r>
              <w:t>Founder, engineers, partners, funders, regulators, content sources</w:t>
            </w:r>
          </w:p>
        </w:tc>
      </w:tr>
      <w:tr>
        <w:tc>
          <w:tcPr>
            <w:tcW w:type="dxa" w:w="4680"/>
          </w:tcPr>
          <w:p>
            <w:r>
              <w:t>Activities</w:t>
            </w:r>
          </w:p>
        </w:tc>
        <w:tc>
          <w:tcPr>
            <w:tcW w:type="dxa" w:w="4680"/>
          </w:tcPr>
          <w:p>
            <w:r>
              <w:t>Build, integrate, deploy, train, audit, evaluate</w:t>
            </w:r>
          </w:p>
        </w:tc>
      </w:tr>
      <w:tr>
        <w:tc>
          <w:tcPr>
            <w:tcW w:type="dxa" w:w="4680"/>
          </w:tcPr>
          <w:p>
            <w:r>
              <w:t>Outputs</w:t>
            </w:r>
          </w:p>
        </w:tc>
        <w:tc>
          <w:tcPr>
            <w:tcW w:type="dxa" w:w="4680"/>
          </w:tcPr>
          <w:p>
            <w:r>
              <w:t>Twelve self-screening assessment instruments accessible to anyone with a phone; Fourteen evidence-based programmes deliverable by lay counsellors under supervision; Ten special-population tracks covering the highest-risk groups …</w:t>
            </w:r>
          </w:p>
        </w:tc>
      </w:tr>
      <w:tr>
        <w:tc>
          <w:tcPr>
            <w:tcW w:type="dxa" w:w="4680"/>
          </w:tcPr>
          <w:p>
            <w:r>
              <w:t>Outcomes</w:t>
            </w:r>
          </w:p>
        </w:tc>
        <w:tc>
          <w:tcPr>
            <w:tcW w:type="dxa" w:w="4680"/>
          </w:tcPr>
          <w:p>
            <w:r>
              <w:t>Closing the mental-health treatment gap from ~85% untreated to under 50% over five years; Reduction in suicide attempts among the school-aged cohort in pilot regions; Increased rate of first-episode psychosis identified and routed within 30 days …</w:t>
            </w:r>
          </w:p>
        </w:tc>
      </w:tr>
      <w:tr>
        <w:tc>
          <w:tcPr>
            <w:tcW w:type="dxa" w:w="4680"/>
          </w:tcPr>
          <w:p>
            <w:r>
              <w:t>Impact</w:t>
            </w:r>
          </w:p>
        </w:tc>
        <w:tc>
          <w:tcPr>
            <w:tcW w:type="dxa" w:w="4680"/>
          </w:tcPr>
          <w:p>
            <w:r>
              <w:t>A scalable, culturally-grounded mental-health system that recognises Tanzania's psychiatrist shortage as a structural reality and works with lay counsellors + clinical supervision + sovereign AI — closing the largest single neglected disease burden in the country and unlocking productivity gains across the workforce.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Inputs</w:t>
      </w:r>
    </w:p>
    <w:p>
      <w:pPr>
        <w:pStyle w:val="ListBullet"/>
      </w:pPr>
      <w:r>
        <w:t>Founder: Dr. Ally A. Nooher, MD, MPS-HIT</w:t>
      </w:r>
    </w:p>
    <w:p>
      <w:pPr>
        <w:pStyle w:val="ListBullet"/>
      </w:pPr>
      <w:r>
        <w:t>Engineering team — hire plan in docs/investor/financials.xlsx</w:t>
      </w:r>
    </w:p>
    <w:p>
      <w:pPr>
        <w:pStyle w:val="ListBullet"/>
      </w:pPr>
      <w:r>
        <w:t>Lead agency partner: Ministry of Health — Mental Health Unit</w:t>
      </w:r>
    </w:p>
    <w:p>
      <w:pPr>
        <w:pStyle w:val="ListBullet"/>
      </w:pPr>
      <w:r>
        <w:t>Secondary partners: MCT — Mental Health Council of Tanzania (where applicable), TMC — Tanzania Medical Council, MoEST — Ministry of Education, Science and Technology (for school surface), PORALG — President's Office, Regional Administration and Local Government</w:t>
      </w:r>
    </w:p>
    <w:p>
      <w:pPr>
        <w:pStyle w:val="ListBullet"/>
      </w:pPr>
      <w:r>
        <w:t>Donor / grant funding to bridge the gap between MoU signature and revenue-positive scale</w:t>
      </w:r>
    </w:p>
    <w:p>
      <w:pPr>
        <w:pStyle w:val="Heading1"/>
      </w:pPr>
      <w:r>
        <w:rPr>
          <w:color w:val="0F0D09"/>
          <w:sz w:val="30"/>
        </w:rPr>
        <w:t>4. Activities</w:t>
      </w:r>
    </w:p>
    <w:p>
      <w:pPr>
        <w:pStyle w:val="ListBullet"/>
      </w:pPr>
      <w:r>
        <w:t>Build the platform end-to-end (see investor deck for build status)</w:t>
      </w:r>
    </w:p>
    <w:p>
      <w:pPr>
        <w:pStyle w:val="ListBullet"/>
      </w:pPr>
      <w:r>
        <w:t>Land the MoU with the lead agency</w:t>
      </w:r>
    </w:p>
    <w:p>
      <w:pPr>
        <w:pStyle w:val="ListBullet"/>
      </w:pPr>
      <w:r>
        <w:t>Stand up integrations with secondary partners on the published roadmap</w:t>
      </w:r>
    </w:p>
    <w:p>
      <w:pPr>
        <w:pStyle w:val="ListBullet"/>
      </w:pPr>
      <w:r>
        <w:t>Train end-users + counterparts at the partner agencies</w:t>
      </w:r>
    </w:p>
    <w:p>
      <w:pPr>
        <w:pStyle w:val="ListBullet"/>
      </w:pPr>
      <w:r>
        <w:t>Audit, evaluate, and adjust on a quarterly review cadence</w:t>
      </w:r>
    </w:p>
    <w:p>
      <w:pPr>
        <w:pStyle w:val="ListBullet"/>
      </w:pPr>
      <w:r>
        <w:t>Publish open data and learning back to the wider ecosystem</w:t>
      </w:r>
    </w:p>
    <w:p>
      <w:pPr>
        <w:pStyle w:val="Heading1"/>
      </w:pPr>
      <w:r>
        <w:rPr>
          <w:color w:val="0F0D09"/>
          <w:sz w:val="30"/>
        </w:rPr>
        <w:t>5. Outputs</w:t>
      </w:r>
    </w:p>
    <w:p>
      <w:pPr>
        <w:pStyle w:val="ListBullet"/>
      </w:pPr>
      <w:r>
        <w:t>Twelve self-screening assessment instruments accessible to anyone with a phone</w:t>
      </w:r>
    </w:p>
    <w:p>
      <w:pPr>
        <w:pStyle w:val="ListBullet"/>
      </w:pPr>
      <w:r>
        <w:t>Fourteen evidence-based programmes deliverable by lay counsellors under supervision</w:t>
      </w:r>
    </w:p>
    <w:p>
      <w:pPr>
        <w:pStyle w:val="ListBullet"/>
      </w:pPr>
      <w:r>
        <w:t>Ten special-population tracks covering the highest-risk groups</w:t>
      </w:r>
    </w:p>
    <w:p>
      <w:pPr>
        <w:pStyle w:val="ListBullet"/>
      </w:pPr>
      <w:r>
        <w:t>A sovereign Swahili AI companion (Rafiki) with grounded knowledge, no external LLM</w:t>
      </w:r>
    </w:p>
    <w:p>
      <w:pPr>
        <w:pStyle w:val="ListBullet"/>
      </w:pPr>
      <w:r>
        <w:t>Provider workspace covering intake, ICD-11, telehealth, NHIF claims, supervision</w:t>
      </w:r>
    </w:p>
    <w:p>
      <w:pPr>
        <w:pStyle w:val="Heading1"/>
      </w:pPr>
      <w:r>
        <w:rPr>
          <w:color w:val="0F0D09"/>
          <w:sz w:val="30"/>
        </w:rPr>
        <w:t>6. Outcomes</w:t>
      </w:r>
    </w:p>
    <w:p>
      <w:pPr>
        <w:pStyle w:val="ListBullet"/>
      </w:pPr>
      <w:r>
        <w:t>Closing the mental-health treatment gap from ~85% untreated to under 50% over five years</w:t>
      </w:r>
    </w:p>
    <w:p>
      <w:pPr>
        <w:pStyle w:val="ListBullet"/>
      </w:pPr>
      <w:r>
        <w:t>Reduction in suicide attempts among the school-aged cohort in pilot regions</w:t>
      </w:r>
    </w:p>
    <w:p>
      <w:pPr>
        <w:pStyle w:val="ListBullet"/>
      </w:pPr>
      <w:r>
        <w:t>Increased rate of first-episode psychosis identified and routed within 30 days</w:t>
      </w:r>
    </w:p>
    <w:p>
      <w:pPr>
        <w:pStyle w:val="ListBullet"/>
      </w:pPr>
      <w:r>
        <w:t>Workforce mental-health absenteeism reduced in EAP-participating employers</w:t>
      </w:r>
    </w:p>
    <w:p>
      <w:pPr>
        <w:pStyle w:val="Heading1"/>
      </w:pPr>
      <w:r>
        <w:rPr>
          <w:color w:val="0F0D09"/>
          <w:sz w:val="30"/>
        </w:rPr>
        <w:t>7. Impact</w:t>
      </w:r>
    </w:p>
    <w:p>
      <w:r>
        <w:rPr>
          <w:b w:val="0"/>
        </w:rPr>
        <w:t>A scalable, culturally-grounded mental-health system that recognises Tanzania's psychiatrist shortage as a structural reality and works with lay counsellors + clinical supervision + sovereign AI — closing the largest single neglected disease burden in the country and unlocking productivity gains across the workforce.</w:t>
      </w:r>
    </w:p>
    <w:p>
      <w:pPr>
        <w:pStyle w:val="Heading1"/>
      </w:pPr>
      <w:r>
        <w:rPr>
          <w:color w:val="0F0D09"/>
          <w:sz w:val="30"/>
        </w:rPr>
        <w:t>8. Assumptions</w:t>
      </w:r>
    </w:p>
    <w:p>
      <w:pPr>
        <w:pStyle w:val="ListBullet"/>
      </w:pPr>
      <w:r>
        <w:t>MoH Mental Health Unit recognises lay-counsellor pathways as legitimate (current direction of travel under WHO mhGAP)</w:t>
      </w:r>
    </w:p>
    <w:p>
      <w:pPr>
        <w:pStyle w:val="ListBullet"/>
      </w:pPr>
      <w:r>
        <w:t>MCT remains open to clinical supervision of lay counsellors via telehealth</w:t>
      </w:r>
    </w:p>
    <w:p>
      <w:pPr>
        <w:pStyle w:val="ListBullet"/>
      </w:pPr>
      <w:r>
        <w:t>Cultural + faith framings of distress remain integrable with evidence-based programmes — early evidence positive</w:t>
      </w:r>
    </w:p>
    <w:p>
      <w:pPr>
        <w:pStyle w:val="Heading1"/>
      </w:pPr>
      <w:r>
        <w:rPr>
          <w:color w:val="0F0D09"/>
          <w:sz w:val="30"/>
        </w:rPr>
        <w:t>9. Risks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Regulatory</w:t>
            </w:r>
          </w:p>
        </w:tc>
        <w:tc>
          <w:tcPr>
            <w:tcW w:type="dxa" w:w="3120"/>
          </w:tcPr>
          <w:p>
            <w:r>
              <w:t>Restrictive interpretation of MH Act 2008 forbids lay-counsellor delivery</w:t>
            </w:r>
          </w:p>
        </w:tc>
        <w:tc>
          <w:tcPr>
            <w:tcW w:type="dxa" w:w="3120"/>
          </w:tcPr>
          <w:p>
            <w:r>
              <w:t>Engage MCT early; build supervision audit trail; clinical-safety review before launch</w:t>
            </w:r>
          </w:p>
        </w:tc>
      </w:tr>
      <w:tr>
        <w:tc>
          <w:tcPr>
            <w:tcW w:type="dxa" w:w="3120"/>
          </w:tcPr>
          <w:p>
            <w:r>
              <w:t>Clinical</w:t>
            </w:r>
          </w:p>
        </w:tc>
        <w:tc>
          <w:tcPr>
            <w:tcW w:type="dxa" w:w="3120"/>
          </w:tcPr>
          <w:p>
            <w:r>
              <w:t>Adverse event (suicide / harm) attributed to platform</w:t>
            </w:r>
          </w:p>
        </w:tc>
        <w:tc>
          <w:tcPr>
            <w:tcW w:type="dxa" w:w="3120"/>
          </w:tcPr>
          <w:p>
            <w:r>
              <w:t>Independent clinical-safety review; clear escalation protocol; mandated-reporting flow built in</w:t>
            </w:r>
          </w:p>
        </w:tc>
      </w:tr>
      <w:tr>
        <w:tc>
          <w:tcPr>
            <w:tcW w:type="dxa" w:w="3120"/>
          </w:tcPr>
          <w:p>
            <w:r>
              <w:t>Operational</w:t>
            </w:r>
          </w:p>
        </w:tc>
        <w:tc>
          <w:tcPr>
            <w:tcW w:type="dxa" w:w="3120"/>
          </w:tcPr>
          <w:p>
            <w:r>
              <w:t>Lay-counsellor recruitment + retention insufficient for scale</w:t>
            </w:r>
          </w:p>
        </w:tc>
        <w:tc>
          <w:tcPr>
            <w:tcW w:type="dxa" w:w="3120"/>
          </w:tcPr>
          <w:p>
            <w:r>
              <w:t>Partnership with established NGOs already running lay-counsellor programmes (Friendship Bench model)</w:t>
            </w:r>
          </w:p>
        </w:tc>
      </w:tr>
      <w:tr>
        <w:tc>
          <w:tcPr>
            <w:tcW w:type="dxa" w:w="3120"/>
          </w:tcPr>
          <w:p>
            <w:r>
              <w:t>Stigma</w:t>
            </w:r>
          </w:p>
        </w:tc>
        <w:tc>
          <w:tcPr>
            <w:tcW w:type="dxa" w:w="3120"/>
          </w:tcPr>
          <w:p>
            <w:r>
              <w:t>Patients reluctant to engage with mental-health platform</w:t>
            </w:r>
          </w:p>
        </w:tc>
        <w:tc>
          <w:tcPr>
            <w:tcW w:type="dxa" w:w="3120"/>
          </w:tcPr>
          <w:p>
            <w:r>
              <w:t>Frame entry as wellness / self-screening; co-locate with general-health products (THOS bridge)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10. Beneficiaries</w:t>
      </w:r>
    </w:p>
    <w:p>
      <w:r>
        <w:rPr>
          <w:b w:val="0"/>
        </w:rPr>
        <w:t>Tanzanians experiencing mental-health conditions, especially those who would never reach a psychiatrist under the current 70-psychiatrist-for-65M-population ratio; lay counsellors, peer specialists, faith leaders, clinical supervisors; school counsellors; employer EAP staff.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