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3E44"/>
          <w:sz w:val="22"/>
        </w:rPr>
        <w:t>TABHOS</w:t>
      </w:r>
    </w:p>
    <w:p>
      <w:pPr>
        <w:pStyle w:val="Title"/>
      </w:pPr>
      <w:r>
        <w:rPr>
          <w:color w:val="0F0D09"/>
          <w:sz w:val="44"/>
        </w:rPr>
        <w:t>TABHOS — Information Security Policies</w:t>
      </w:r>
    </w:p>
    <w:p>
      <w:r>
        <w:rPr>
          <w:i/>
          <w:color w:val="6A6760"/>
        </w:rPr>
        <w:t>Information security · Access control · Backup · Change management · Acceptable use · Vendor</w:t>
      </w:r>
    </w:p>
    <w:p>
      <w:r>
        <w:rPr>
          <w:b/>
        </w:rPr>
        <w:t xml:space="preserve">Author: </w:t>
      </w:r>
      <w:r>
        <w:t xml:space="preserve">Dr. Ally A. Nooher, MD, MPS-HIT · </w:t>
      </w:r>
      <w:r>
        <w:rPr>
          <w:b/>
        </w:rPr>
        <w:t xml:space="preserve">Owner: </w:t>
      </w:r>
      <w:r>
        <w:t xml:space="preserve">Laetoli (T) Ltd · </w:t>
      </w:r>
      <w:r>
        <w:rPr>
          <w:b/>
        </w:rPr>
        <w:t xml:space="preserve">Date: </w:t>
      </w:r>
      <w:r>
        <w:t>22 June 2026</w:t>
      </w:r>
    </w:p>
    <w:p>
      <w:pPr>
        <w:pStyle w:val="Heading1"/>
      </w:pPr>
      <w:r>
        <w:rPr>
          <w:color w:val="0F0D09"/>
          <w:sz w:val="30"/>
        </w:rPr>
        <w:t>Information Security Policy</w:t>
      </w:r>
    </w:p>
    <w:p>
      <w:r>
        <w:rPr>
          <w:b w:val="0"/>
        </w:rPr>
        <w:t>Laetoli (T) Ltd ('Laetoli') protects the confidentiality, integrity and availability of the information it holds, processes and transmits as part of operating TABHOS. This policy applies to every employee, contractor, sub-processor and partner with access to TABHOS information.</w:t>
      </w:r>
    </w:p>
    <w:p>
      <w:r>
        <w:rPr>
          <w:b w:val="0"/>
        </w:rPr>
        <w:t>We commit to:</w:t>
      </w:r>
    </w:p>
    <w:p>
      <w:pPr>
        <w:pStyle w:val="ListBullet"/>
      </w:pPr>
      <w:r>
        <w:t>Maintain Tanzania data residency for all Customer data; no transfers without explicit Customer consent</w:t>
      </w:r>
    </w:p>
    <w:p>
      <w:pPr>
        <w:pStyle w:val="ListBullet"/>
      </w:pPr>
      <w:r>
        <w:t>Comply with the Personal Data Protection Act, 2022 and applicable contractual data protection commitments</w:t>
      </w:r>
    </w:p>
    <w:p>
      <w:pPr>
        <w:pStyle w:val="ListBullet"/>
      </w:pPr>
      <w:r>
        <w:t>Maintain an ISMS aligned with ISO/IEC 27001:2022</w:t>
      </w:r>
    </w:p>
    <w:p>
      <w:pPr>
        <w:pStyle w:val="ListBullet"/>
      </w:pPr>
      <w:r>
        <w:t>Train every person with access to be aware of their security obligations</w:t>
      </w:r>
    </w:p>
    <w:p>
      <w:pPr>
        <w:pStyle w:val="ListBullet"/>
      </w:pPr>
      <w:r>
        <w:t>Continuously improve through audit, incident learning and management review</w:t>
      </w:r>
    </w:p>
    <w:p>
      <w:pPr>
        <w:pStyle w:val="Heading1"/>
      </w:pPr>
      <w:r>
        <w:rPr>
          <w:color w:val="0F0D09"/>
          <w:sz w:val="30"/>
        </w:rPr>
        <w:t>Access Control Policy</w:t>
      </w:r>
    </w:p>
    <w:p>
      <w:pPr>
        <w:pStyle w:val="ListBullet"/>
      </w:pPr>
      <w:r>
        <w:t>Access is granted by role, on the principle of least privilege, and only to those who need it for their work</w:t>
      </w:r>
    </w:p>
    <w:p>
      <w:pPr>
        <w:pStyle w:val="ListBullet"/>
      </w:pPr>
      <w:r>
        <w:t>MFA is mandatory for all admin and staff accounts; no exceptions</w:t>
      </w:r>
    </w:p>
    <w:p>
      <w:pPr>
        <w:pStyle w:val="ListBullet"/>
      </w:pPr>
      <w:r>
        <w:t>Service-role keys are held in the environment store, never in source code; rotation every 90 days</w:t>
      </w:r>
    </w:p>
    <w:p>
      <w:pPr>
        <w:pStyle w:val="ListBullet"/>
      </w:pPr>
      <w:r>
        <w:t>Access reviews happen quarterly; departures trigger immediate revocation</w:t>
      </w:r>
    </w:p>
    <w:p>
      <w:pPr>
        <w:pStyle w:val="ListBullet"/>
      </w:pPr>
      <w:r>
        <w:t>Privileged actions are logged; logs are retained 7 years</w:t>
      </w:r>
    </w:p>
    <w:p>
      <w:pPr>
        <w:pStyle w:val="Heading1"/>
      </w:pPr>
      <w:r>
        <w:rPr>
          <w:color w:val="0F0D09"/>
          <w:sz w:val="30"/>
        </w:rPr>
        <w:t>Backup Policy</w:t>
      </w:r>
    </w:p>
    <w:p>
      <w:r>
        <w:rPr>
          <w:b w:val="0"/>
        </w:rPr>
        <w:t>See BCP/DR plan (04). Summary:</w:t>
      </w:r>
    </w:p>
    <w:p>
      <w:pPr>
        <w:pStyle w:val="ListBullet"/>
      </w:pPr>
      <w:r>
        <w:t>Continuous PITR + daily snapshots (30-day retention) + weekly (6-month) + monthly (7-year)</w:t>
      </w:r>
    </w:p>
    <w:p>
      <w:pPr>
        <w:pStyle w:val="ListBullet"/>
      </w:pPr>
      <w:r>
        <w:t>Encrypted at rest with a key separate from production</w:t>
      </w:r>
    </w:p>
    <w:p>
      <w:pPr>
        <w:pStyle w:val="ListBullet"/>
      </w:pPr>
      <w:r>
        <w:t>Cross-region replication to a sovereign TZ secondary</w:t>
      </w:r>
    </w:p>
    <w:p>
      <w:pPr>
        <w:pStyle w:val="ListBullet"/>
      </w:pPr>
      <w:r>
        <w:t>Restoration tested monthly</w:t>
      </w:r>
    </w:p>
    <w:p>
      <w:pPr>
        <w:pStyle w:val="Heading1"/>
      </w:pPr>
      <w:r>
        <w:rPr>
          <w:color w:val="0F0D09"/>
          <w:sz w:val="30"/>
        </w:rPr>
        <w:t>Change Management Policy</w:t>
      </w:r>
    </w:p>
    <w:p>
      <w:pPr>
        <w:pStyle w:val="ListBullet"/>
      </w:pPr>
      <w:r>
        <w:t>Every change to production is a Pull Request with peer review</w:t>
      </w:r>
    </w:p>
    <w:p>
      <w:pPr>
        <w:pStyle w:val="ListBullet"/>
      </w:pPr>
      <w:r>
        <w:t>CI must pass: lint, typecheck, tests, dependency scan, security ESLint</w:t>
      </w:r>
    </w:p>
    <w:p>
      <w:pPr>
        <w:pStyle w:val="ListBullet"/>
      </w:pPr>
      <w:r>
        <w:t>Production deploys are reversible (database migrations are forward + backward compatible)</w:t>
      </w:r>
    </w:p>
    <w:p>
      <w:pPr>
        <w:pStyle w:val="ListBullet"/>
      </w:pPr>
      <w:r>
        <w:t>Out-of-hours emergency changes follow the emergency change procedure with retrospective approval</w:t>
      </w:r>
    </w:p>
    <w:p>
      <w:pPr>
        <w:pStyle w:val="Heading1"/>
      </w:pPr>
      <w:r>
        <w:rPr>
          <w:color w:val="0F0D09"/>
          <w:sz w:val="30"/>
        </w:rPr>
        <w:t>Acceptable Use Policy (AUP)</w:t>
      </w:r>
    </w:p>
    <w:p>
      <w:pPr>
        <w:pStyle w:val="ListBullet"/>
      </w:pPr>
      <w:r>
        <w:t>Use Laetoli systems only for authorised business purposes</w:t>
      </w:r>
    </w:p>
    <w:p>
      <w:pPr>
        <w:pStyle w:val="ListBullet"/>
      </w:pPr>
      <w:r>
        <w:t>Do not store Customer data on personal devices or in personal cloud services</w:t>
      </w:r>
    </w:p>
    <w:p>
      <w:pPr>
        <w:pStyle w:val="ListBullet"/>
      </w:pPr>
      <w:r>
        <w:t>Do not bypass security controls (e.g., MFA, screen lock, encrypted disk)</w:t>
      </w:r>
    </w:p>
    <w:p>
      <w:pPr>
        <w:pStyle w:val="ListBullet"/>
      </w:pPr>
      <w:r>
        <w:t>Report suspected security incidents immediately; do not investigate yourself</w:t>
      </w:r>
    </w:p>
    <w:p>
      <w:pPr>
        <w:pStyle w:val="ListBullet"/>
      </w:pPr>
      <w:r>
        <w:t>Do not share credentials; use a password manager</w:t>
      </w:r>
    </w:p>
    <w:p>
      <w:pPr>
        <w:pStyle w:val="Heading1"/>
      </w:pPr>
      <w:r>
        <w:rPr>
          <w:color w:val="0F0D09"/>
          <w:sz w:val="30"/>
        </w:rPr>
        <w:t>Vendor / Sub-processor Policy</w:t>
      </w:r>
    </w:p>
    <w:p>
      <w:pPr>
        <w:pStyle w:val="ListBullet"/>
      </w:pPr>
      <w:r>
        <w:t>Every sub-processor signs an agreement that flows down our DPA obligations</w:t>
      </w:r>
    </w:p>
    <w:p>
      <w:pPr>
        <w:pStyle w:val="ListBullet"/>
      </w:pPr>
      <w:r>
        <w:t>Sub-processors are listed publicly; changes are notified 30 days in advance</w:t>
      </w:r>
    </w:p>
    <w:p>
      <w:pPr>
        <w:pStyle w:val="ListBullet"/>
      </w:pPr>
      <w:r>
        <w:t>Vendor security review precedes onboarding; annual review thereafter</w:t>
      </w:r>
    </w:p>
    <w:p>
      <w:pPr>
        <w:pStyle w:val="ListBullet"/>
      </w:pPr>
      <w:r>
        <w:t>Vendor access is scoped, logged and revoked when no longer required</w:t>
      </w:r>
    </w:p>
    <w:p>
      <w:pPr>
        <w:pStyle w:val="Heading1"/>
      </w:pPr>
      <w:r>
        <w:rPr>
          <w:color w:val="0F0D09"/>
          <w:sz w:val="30"/>
        </w:rPr>
        <w:t>Acknowledgement</w:t>
      </w:r>
    </w:p>
    <w:p>
      <w:r>
        <w:rPr>
          <w:b w:val="0"/>
        </w:rPr>
      </w:r>
    </w:p>
    <w:p>
      <w:r>
        <w:rPr>
          <w:b w:val="0"/>
        </w:rPr>
        <w:t>I have read, understood, and agree to comply with the Laetoli (T) Ltd information security policies.</w:t>
      </w:r>
    </w:p>
    <w:p>
      <w:r>
        <w:rPr>
          <w:b w:val="0"/>
        </w:rPr>
      </w:r>
    </w:p>
    <w:p>
      <w:r>
        <w:rPr>
          <w:b w:val="0"/>
        </w:rPr>
        <w:t>Name (printed): __________________________________________</w:t>
      </w:r>
    </w:p>
    <w:p>
      <w:r>
        <w:rPr>
          <w:b w:val="0"/>
        </w:rPr>
      </w:r>
    </w:p>
    <w:p>
      <w:r>
        <w:rPr>
          <w:b w:val="0"/>
        </w:rPr>
        <w:t>Signature: _____________________________________     Date: 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