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BRELA Trademark Filing Brief</w:t>
      </w:r>
    </w:p>
    <w:p>
      <w:r>
        <w:rPr>
          <w:i/>
          <w:color w:val="6A6760"/>
        </w:rPr>
        <w:t>Business Registrations and Licensing Agency · Trademark application package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Marks for registration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Classes</w:t>
            </w:r>
          </w:p>
        </w:tc>
      </w:tr>
      <w:tr>
        <w:tc>
          <w:tcPr>
            <w:tcW w:type="dxa" w:w="3120"/>
          </w:tcPr>
          <w:p>
            <w:r>
              <w:t>TABHOS</w:t>
            </w:r>
          </w:p>
        </w:tc>
        <w:tc>
          <w:tcPr>
            <w:tcW w:type="dxa" w:w="3120"/>
          </w:tcPr>
          <w:p>
            <w:r>
              <w:t>Wordmark</w:t>
            </w:r>
          </w:p>
        </w:tc>
        <w:tc>
          <w:tcPr>
            <w:tcW w:type="dxa" w:w="3120"/>
          </w:tcPr>
          <w:p>
            <w:r>
              <w:t>9 (software), 42 (SaaS), 44 (medical/mental-health services), 41 (education)</w:t>
            </w:r>
          </w:p>
        </w:tc>
      </w:tr>
      <w:tr>
        <w:tc>
          <w:tcPr>
            <w:tcW w:type="dxa" w:w="3120"/>
          </w:tcPr>
          <w:p>
            <w:r>
              <w:t>TABHOS wordmark + breathing-brain</w:t>
            </w:r>
          </w:p>
        </w:tc>
        <w:tc>
          <w:tcPr>
            <w:tcW w:type="dxa" w:w="3120"/>
          </w:tcPr>
          <w:p>
            <w:r>
              <w:t>Combined mark</w:t>
            </w:r>
          </w:p>
        </w:tc>
        <w:tc>
          <w:tcPr>
            <w:tcW w:type="dxa" w:w="3120"/>
          </w:tcPr>
          <w:p>
            <w:r>
              <w:t>9, 42, 44, 41</w:t>
            </w:r>
          </w:p>
        </w:tc>
      </w:tr>
      <w:tr>
        <w:tc>
          <w:tcPr>
            <w:tcW w:type="dxa" w:w="3120"/>
          </w:tcPr>
          <w:p>
            <w:r>
              <w:t>Rafiki (in the TABHOS context)</w:t>
            </w:r>
          </w:p>
        </w:tc>
        <w:tc>
          <w:tcPr>
            <w:tcW w:type="dxa" w:w="3120"/>
          </w:tcPr>
          <w:p>
            <w:r>
              <w:t>Wordmark</w:t>
            </w:r>
          </w:p>
        </w:tc>
        <w:tc>
          <w:tcPr>
            <w:tcW w:type="dxa" w:w="3120"/>
          </w:tcPr>
          <w:p>
            <w:r>
              <w:t>9, 42, 44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Applicant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Applicant</w:t>
            </w:r>
          </w:p>
        </w:tc>
        <w:tc>
          <w:tcPr>
            <w:tcW w:type="dxa" w:w="4680"/>
          </w:tcPr>
          <w:p>
            <w:r>
              <w:t>Laetoli (T) Ltd</w:t>
            </w:r>
          </w:p>
        </w:tc>
      </w:tr>
      <w:tr>
        <w:tc>
          <w:tcPr>
            <w:tcW w:type="dxa" w:w="4680"/>
          </w:tcPr>
          <w:p>
            <w:r>
              <w:t>Country of incorporation</w:t>
            </w:r>
          </w:p>
        </w:tc>
        <w:tc>
          <w:tcPr>
            <w:tcW w:type="dxa" w:w="4680"/>
          </w:tcPr>
          <w:p>
            <w:r>
              <w:t>Tanzania</w:t>
            </w:r>
          </w:p>
        </w:tc>
      </w:tr>
      <w:tr>
        <w:tc>
          <w:tcPr>
            <w:tcW w:type="dxa" w:w="4680"/>
          </w:tcPr>
          <w:p>
            <w:r>
              <w:t>Address</w:t>
            </w:r>
          </w:p>
        </w:tc>
        <w:tc>
          <w:tcPr>
            <w:tcW w:type="dxa" w:w="4680"/>
          </w:tcPr>
          <w:p>
            <w:r>
              <w:t>P.O. Box [to fill], Dar es Salaam, Tanzania</w:t>
            </w:r>
          </w:p>
        </w:tc>
      </w:tr>
      <w:tr>
        <w:tc>
          <w:tcPr>
            <w:tcW w:type="dxa" w:w="4680"/>
          </w:tcPr>
          <w:p>
            <w:r>
              <w:t>Contact</w:t>
            </w:r>
          </w:p>
        </w:tc>
        <w:tc>
          <w:tcPr>
            <w:tcW w:type="dxa" w:w="4680"/>
          </w:tcPr>
          <w:p>
            <w:r>
              <w:t>legal@laetoli.tz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3. Use status</w:t>
      </w:r>
    </w:p>
    <w:p>
      <w:r>
        <w:rPr>
          <w:b w:val="0"/>
        </w:rPr>
        <w:t>All marks are in commercial use in Tanzania as of 2026. The TABHOS wordmark has been used continuously since the platform's first production deployment.</w:t>
      </w:r>
    </w:p>
    <w:p>
      <w:pPr>
        <w:pStyle w:val="Heading1"/>
      </w:pPr>
      <w:r>
        <w:rPr>
          <w:color w:val="0F0D09"/>
          <w:sz w:val="30"/>
        </w:rPr>
        <w:t>4. Goods and services — Nice classification</w:t>
      </w:r>
    </w:p>
    <w:p>
      <w:pPr>
        <w:pStyle w:val="Heading2"/>
      </w:pPr>
      <w:r>
        <w:rPr>
          <w:sz w:val="25"/>
        </w:rPr>
        <w:t>Class 9 — software</w:t>
      </w:r>
    </w:p>
    <w:p>
      <w:pPr>
        <w:pStyle w:val="ListBullet"/>
      </w:pPr>
      <w:r>
        <w:t>Downloadable computer software for behavioral and mental-health screening, treatment-tracking and care coordination</w:t>
      </w:r>
    </w:p>
    <w:p>
      <w:pPr>
        <w:pStyle w:val="ListBullet"/>
      </w:pPr>
      <w:r>
        <w:t>Software incorporating standardized assessment instruments (PHQ-9, GAD-7, PCL-5, AUDIT, ASSIST, K10, EPDS, C-SSRS, CRAFFT, SDQ, WHODAS, M.I.N.I.)</w:t>
      </w:r>
    </w:p>
    <w:p>
      <w:pPr>
        <w:pStyle w:val="ListBullet"/>
      </w:pPr>
      <w:r>
        <w:t>Mobile applications for evidence-based programs including PM+, CETA, IPT, t-CBT, MI, PST, MBSR-Lite, DBT and faith-informed care</w:t>
      </w:r>
    </w:p>
    <w:p>
      <w:pPr>
        <w:pStyle w:val="Heading2"/>
      </w:pPr>
      <w:r>
        <w:rPr>
          <w:sz w:val="25"/>
        </w:rPr>
        <w:t>Class 42 — SaaS / scientific &amp; technological services</w:t>
      </w:r>
    </w:p>
    <w:p>
      <w:pPr>
        <w:pStyle w:val="ListBullet"/>
      </w:pPr>
      <w:r>
        <w:t>Software as a service (SaaS) for behavioral health management</w:t>
      </w:r>
    </w:p>
    <w:p>
      <w:pPr>
        <w:pStyle w:val="ListBullet"/>
      </w:pPr>
      <w:r>
        <w:t>Hosting of national behavioral-health infrastructure</w:t>
      </w:r>
    </w:p>
    <w:p>
      <w:pPr>
        <w:pStyle w:val="ListBullet"/>
      </w:pPr>
      <w:r>
        <w:t>Design and development of clinical software for mental-health services</w:t>
      </w:r>
    </w:p>
    <w:p>
      <w:pPr>
        <w:pStyle w:val="Heading2"/>
      </w:pPr>
      <w:r>
        <w:rPr>
          <w:sz w:val="25"/>
        </w:rPr>
        <w:t>Class 44 — medical services</w:t>
      </w:r>
    </w:p>
    <w:p>
      <w:pPr>
        <w:pStyle w:val="ListBullet"/>
      </w:pPr>
      <w:r>
        <w:t>Telehealth services for behavioral and mental health, delivered through software</w:t>
      </w:r>
    </w:p>
    <w:p>
      <w:pPr>
        <w:pStyle w:val="ListBullet"/>
      </w:pPr>
      <w:r>
        <w:t>Behavioral-health information services for patients, providers and supervisors</w:t>
      </w:r>
    </w:p>
    <w:p>
      <w:pPr>
        <w:pStyle w:val="ListBullet"/>
      </w:pPr>
      <w:r>
        <w:t>Triage and stepped-care referral services delivered through software</w:t>
      </w:r>
    </w:p>
    <w:p>
      <w:pPr>
        <w:pStyle w:val="Heading2"/>
      </w:pPr>
      <w:r>
        <w:rPr>
          <w:sz w:val="25"/>
        </w:rPr>
        <w:t>Class 41 — education and entertainment services</w:t>
      </w:r>
    </w:p>
    <w:p>
      <w:pPr>
        <w:pStyle w:val="ListBullet"/>
      </w:pPr>
      <w:r>
        <w:t>Educational and training services for lay counsellors, peer specialists and clinical supervisors</w:t>
      </w:r>
    </w:p>
    <w:p>
      <w:pPr>
        <w:pStyle w:val="ListBullet"/>
      </w:pPr>
      <w:r>
        <w:t>Online publishing of evidence-based behavioral-health training materials</w:t>
      </w:r>
    </w:p>
    <w:p>
      <w:pPr>
        <w:pStyle w:val="Heading1"/>
      </w:pPr>
      <w:r>
        <w:rPr>
          <w:color w:val="0F0D09"/>
          <w:sz w:val="30"/>
        </w:rPr>
        <w:t>5. Power of attorney</w:t>
      </w:r>
    </w:p>
    <w:p>
      <w:r>
        <w:rPr>
          <w:b w:val="0"/>
        </w:rPr>
        <w:t>If the application is filed through an agent, a separate signed and notarised power of attorney is attached. Direct filing by the applicant requires no power of attorney.</w:t>
      </w:r>
    </w:p>
    <w:p>
      <w:pPr>
        <w:pStyle w:val="Heading1"/>
      </w:pPr>
      <w:r>
        <w:rPr>
          <w:color w:val="0F0D09"/>
          <w:sz w:val="30"/>
        </w:rPr>
        <w:t>6. Fees</w:t>
      </w:r>
    </w:p>
    <w:p>
      <w:r>
        <w:rPr>
          <w:b w:val="0"/>
        </w:rPr>
        <w:t>Filing fees are paid by separate Treasury voucher to BRELA. Receipts are attached to the filing.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