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E44"/>
          <w:sz w:val="22"/>
        </w:rPr>
        <w:t>TABHOS</w:t>
      </w:r>
    </w:p>
    <w:p>
      <w:pPr>
        <w:pStyle w:val="Title"/>
      </w:pPr>
      <w:r>
        <w:rPr>
          <w:color w:val="0F0D09"/>
          <w:sz w:val="48"/>
        </w:rPr>
        <w:t>Data Processing Agreement (DPA)</w:t>
      </w:r>
    </w:p>
    <w:p>
      <w:r>
        <w:rPr>
          <w:i/>
          <w:color w:val="6A6760"/>
        </w:rPr>
        <w:t>Tanzania PDPA + EU GDPR · institutional customers</w:t>
      </w:r>
    </w:p>
    <w:p>
      <w:r>
        <w:rPr>
          <w:b/>
        </w:rPr>
        <w:t xml:space="preserve">Product owner: </w:t>
      </w:r>
      <w:r>
        <w:t xml:space="preserve">Laetoli (T) Ltd · </w:t>
      </w:r>
      <w:r>
        <w:rPr>
          <w:b/>
        </w:rPr>
        <w:t xml:space="preserve">Author: </w:t>
      </w:r>
      <w:r>
        <w:t xml:space="preserve">Dr. Ally A. Nooher, MD, MPS-HIT · </w:t>
      </w:r>
      <w:r>
        <w:rPr>
          <w:b/>
        </w:rPr>
        <w:t xml:space="preserve">Date: </w:t>
      </w:r>
      <w:r>
        <w:t>22 June 2026</w:t>
      </w:r>
    </w:p>
    <w:p/>
    <w:p>
      <w:pPr>
        <w:pStyle w:val="Heading1"/>
      </w:pPr>
      <w:r>
        <w:rPr>
          <w:color w:val="0F0D09"/>
          <w:sz w:val="30"/>
        </w:rPr>
        <w:t>1. Definitions</w:t>
      </w:r>
    </w:p>
    <w:p>
      <w:r>
        <w:rPr>
          <w:b w:val="0"/>
        </w:rPr>
        <w:t>Terms not defined here have the meanings given in the Tanzania Personal Data Protection Act, 2022 ('PDPA') and, where applicable, the EU General Data Protection Regulation 2016/679 ('GDPR').</w:t>
      </w:r>
    </w:p>
    <w:p>
      <w:pPr>
        <w:pStyle w:val="Heading1"/>
      </w:pPr>
      <w:r>
        <w:rPr>
          <w:color w:val="0F0D09"/>
          <w:sz w:val="30"/>
        </w:rPr>
        <w:t>2. Roles</w:t>
      </w:r>
    </w:p>
    <w:p>
      <w:r>
        <w:rPr>
          <w:b w:val="0"/>
        </w:rPr>
        <w:t>Customer is the controller of personal data submitted to TABHOS. Laetoli (T) Ltd is the processor.</w:t>
      </w:r>
    </w:p>
    <w:p>
      <w:pPr>
        <w:pStyle w:val="Heading1"/>
      </w:pPr>
      <w:r>
        <w:rPr>
          <w:color w:val="0F0D09"/>
          <w:sz w:val="30"/>
        </w:rPr>
        <w:t>3. Processing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4680"/>
          </w:tcPr>
          <w:p>
            <w:r>
              <w:t>Subject-matter</w:t>
            </w:r>
          </w:p>
        </w:tc>
        <w:tc>
          <w:tcPr>
            <w:tcW w:type="dxa" w:w="4680"/>
          </w:tcPr>
          <w:p>
            <w:r>
              <w:t>Provision of TABHOS</w:t>
            </w:r>
          </w:p>
        </w:tc>
      </w:tr>
      <w:tr>
        <w:tc>
          <w:tcPr>
            <w:tcW w:type="dxa" w:w="4680"/>
          </w:tcPr>
          <w:p>
            <w:r>
              <w:t>Duration</w:t>
            </w:r>
          </w:p>
        </w:tc>
        <w:tc>
          <w:tcPr>
            <w:tcW w:type="dxa" w:w="4680"/>
          </w:tcPr>
          <w:p>
            <w:r>
              <w:t>For the term of the MSA, plus the retention period below</w:t>
            </w:r>
          </w:p>
        </w:tc>
      </w:tr>
      <w:tr>
        <w:tc>
          <w:tcPr>
            <w:tcW w:type="dxa" w:w="4680"/>
          </w:tcPr>
          <w:p>
            <w:r>
              <w:t>Nature and purpose</w:t>
            </w:r>
          </w:p>
        </w:tc>
        <w:tc>
          <w:tcPr>
            <w:tcW w:type="dxa" w:w="4680"/>
          </w:tcPr>
          <w:p>
            <w:r>
              <w:t>12 modules — Me, Companion (Rafiki), Providers, Discover, Services, Programs, Specialized, Schools, Workforce, Interop, Research, Admin</w:t>
            </w:r>
          </w:p>
        </w:tc>
      </w:tr>
      <w:tr>
        <w:tc>
          <w:tcPr>
            <w:tcW w:type="dxa" w:w="4680"/>
          </w:tcPr>
          <w:p>
            <w:r>
              <w:t>Types of personal data</w:t>
            </w:r>
          </w:p>
        </w:tc>
        <w:tc>
          <w:tcPr>
            <w:tcW w:type="dxa" w:w="4680"/>
          </w:tcPr>
          <w:p>
            <w:r>
              <w:t>Identity (name, ID number), contact (email, phone, address), and as applicable financial details, government identifiers and domain-specific data (clinical, geospatial, financial, content) used to deliver the Service</w:t>
            </w:r>
          </w:p>
        </w:tc>
      </w:tr>
      <w:tr>
        <w:tc>
          <w:tcPr>
            <w:tcW w:type="dxa" w:w="4680"/>
          </w:tcPr>
          <w:p>
            <w:r>
              <w:t>Data subjects</w:t>
            </w:r>
          </w:p>
        </w:tc>
        <w:tc>
          <w:tcPr>
            <w:tcW w:type="dxa" w:w="4680"/>
          </w:tcPr>
          <w:p>
            <w:r>
              <w:t>patients (especially those disclosing suicidality, abuse, addiction or trauma — for which heightened protections apply), providers, supervisors, school counsellors, employer EAP staff and researchers</w:t>
            </w:r>
          </w:p>
        </w:tc>
      </w:tr>
      <w:tr>
        <w:tc>
          <w:tcPr>
            <w:tcW w:type="dxa" w:w="4680"/>
          </w:tcPr>
          <w:p>
            <w:r>
              <w:t>Retention</w:t>
            </w:r>
          </w:p>
        </w:tc>
        <w:tc>
          <w:tcPr>
            <w:tcW w:type="dxa" w:w="4680"/>
          </w:tcPr>
          <w:p>
            <w:r>
              <w:t>clinical records retained 30 years after last contact; assessment scores retained for the patient's lifetime; access logs 7 years; suicidality records retained per MoH MH guidelines and protected against unauthorised lookup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4. Sub-processors</w:t>
      </w:r>
    </w:p>
    <w:p>
      <w:r>
        <w:rPr>
          <w:b w:val="0"/>
        </w:rPr>
        <w:t>Customer authorises the sub-processors listed at https://laetoli.tz/legal/sub-processors. New sub-processors will be notified at least 30 days before processing begins.</w:t>
      </w:r>
    </w:p>
    <w:p>
      <w:pPr>
        <w:pStyle w:val="Heading1"/>
      </w:pPr>
      <w:r>
        <w:rPr>
          <w:color w:val="0F0D09"/>
          <w:sz w:val="30"/>
        </w:rPr>
        <w:t>5. Security measures</w:t>
      </w:r>
    </w:p>
    <w:p>
      <w:pPr>
        <w:pStyle w:val="ListBullet"/>
      </w:pPr>
      <w:r>
        <w:t>Data residency in Tanzania at the TIB Dar es Salaam data centre (primary) with replication to a secondary TZ-resident facility</w:t>
      </w:r>
    </w:p>
    <w:p>
      <w:pPr>
        <w:pStyle w:val="ListBullet"/>
      </w:pPr>
      <w:r>
        <w:t>Encryption at rest (AES-256) and in transit (TLS 1.2+)</w:t>
      </w:r>
    </w:p>
    <w:p>
      <w:pPr>
        <w:pStyle w:val="ListBullet"/>
      </w:pPr>
      <w:r>
        <w:t>Mandatory MFA for all admin and staff accounts</w:t>
      </w:r>
    </w:p>
    <w:p>
      <w:pPr>
        <w:pStyle w:val="ListBullet"/>
      </w:pPr>
      <w:r>
        <w:t>Audit logging of all data accesses, retained 7 years</w:t>
      </w:r>
    </w:p>
    <w:p>
      <w:pPr>
        <w:pStyle w:val="ListBullet"/>
      </w:pPr>
      <w:r>
        <w:t>Quarterly penetration testing and annual third-party security review</w:t>
      </w:r>
    </w:p>
    <w:p>
      <w:pPr>
        <w:pStyle w:val="ListBullet"/>
      </w:pPr>
      <w:r>
        <w:t>Sub-processor contracts include flow-down of these obligations</w:t>
      </w:r>
    </w:p>
    <w:p>
      <w:pPr>
        <w:pStyle w:val="Heading1"/>
      </w:pPr>
      <w:r>
        <w:rPr>
          <w:color w:val="0F0D09"/>
          <w:sz w:val="30"/>
        </w:rPr>
        <w:t>6. Data subject rights</w:t>
      </w:r>
    </w:p>
    <w:p>
      <w:r>
        <w:rPr>
          <w:b w:val="0"/>
        </w:rPr>
        <w:t>Processor will assist Customer to respond to access, rectification, erasure, restriction, portability and objection requests within 30 days. Requests are routed through Customer; Processor does not respond directly to data subjects unless instructed.</w:t>
      </w:r>
    </w:p>
    <w:p>
      <w:pPr>
        <w:pStyle w:val="Heading1"/>
      </w:pPr>
      <w:r>
        <w:rPr>
          <w:color w:val="0F0D09"/>
          <w:sz w:val="30"/>
        </w:rPr>
        <w:t>7. International transfers</w:t>
      </w:r>
    </w:p>
    <w:p>
      <w:r>
        <w:rPr>
          <w:b w:val="0"/>
        </w:rPr>
        <w:t>Personal data is processed in Tanzania. Any transfer outside Tanzania requires Customer's prior written consent and an adequate-protection mechanism.</w:t>
      </w:r>
    </w:p>
    <w:p>
      <w:pPr>
        <w:pStyle w:val="Heading1"/>
      </w:pPr>
      <w:r>
        <w:rPr>
          <w:color w:val="0F0D09"/>
          <w:sz w:val="30"/>
        </w:rPr>
        <w:t>8. Personal data breach</w:t>
      </w:r>
    </w:p>
    <w:p>
      <w:r>
        <w:rPr>
          <w:b w:val="0"/>
        </w:rPr>
        <w:t>Processor will notify Customer of a personal data breach without undue delay and in any event within 72 hours of becoming aware, providing the information required by PDPA s. 28 and GDPR art. 33.</w:t>
      </w:r>
    </w:p>
    <w:p>
      <w:pPr>
        <w:pStyle w:val="Heading1"/>
      </w:pPr>
      <w:r>
        <w:rPr>
          <w:color w:val="0F0D09"/>
          <w:sz w:val="30"/>
        </w:rPr>
        <w:t>9. Audit</w:t>
      </w:r>
    </w:p>
    <w:p>
      <w:r>
        <w:rPr>
          <w:b w:val="0"/>
        </w:rPr>
        <w:t>Customer may audit the Processor's compliance once per year on reasonable notice, or more frequently where required by law or regulator.</w:t>
      </w:r>
    </w:p>
    <w:p>
      <w:pPr>
        <w:pStyle w:val="Heading1"/>
      </w:pPr>
      <w:r>
        <w:rPr>
          <w:color w:val="0F0D09"/>
          <w:sz w:val="30"/>
        </w:rPr>
        <w:t>10. Return or deletion on termination</w:t>
      </w:r>
    </w:p>
    <w:p>
      <w:r>
        <w:rPr>
          <w:b w:val="0"/>
        </w:rPr>
        <w:t>On termination of the MSA, Processor will return or, at Customer's election, delete personal data within 90 days, except where retention is required by law.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