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E44"/>
          <w:sz w:val="22"/>
        </w:rPr>
        <w:t>TABHOS</w:t>
      </w:r>
    </w:p>
    <w:p>
      <w:pPr>
        <w:pStyle w:val="Title"/>
      </w:pPr>
      <w:r>
        <w:rPr>
          <w:color w:val="0F0D09"/>
          <w:sz w:val="48"/>
        </w:rPr>
        <w:t>Source Attribution Sheet</w:t>
      </w:r>
    </w:p>
    <w:p>
      <w:r>
        <w:rPr>
          <w:i/>
          <w:color w:val="6A6760"/>
        </w:rPr>
        <w:t>Datasets, guidelines, citations and external sources referenced by TABHOS</w:t>
      </w:r>
    </w:p>
    <w:p>
      <w:r>
        <w:rPr>
          <w:b/>
        </w:rPr>
        <w:t xml:space="preserve">Product owner: </w:t>
      </w:r>
      <w:r>
        <w:t xml:space="preserve">Laetoli (T) Ltd · </w:t>
      </w:r>
      <w:r>
        <w:rPr>
          <w:b/>
        </w:rPr>
        <w:t xml:space="preserve">Author: </w:t>
      </w:r>
      <w:r>
        <w:t xml:space="preserve">Dr. Ally A. Nooher, MD, MPS-HIT · </w:t>
      </w:r>
      <w:r>
        <w:rPr>
          <w:b/>
        </w:rPr>
        <w:t xml:space="preserve">Date: </w:t>
      </w:r>
      <w:r>
        <w:t>22 June 2026</w:t>
      </w:r>
    </w:p>
    <w:p/>
    <w:p>
      <w:pPr>
        <w:pStyle w:val="Heading1"/>
      </w:pPr>
      <w:r>
        <w:rPr>
          <w:color w:val="0F0D09"/>
          <w:sz w:val="30"/>
        </w:rPr>
        <w:t>1. Legal sources (Tanzania)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680"/>
          </w:tcPr>
          <w:p>
            <w:r>
              <w:t>Personal Data Protection Act, 2022</w:t>
            </w:r>
          </w:p>
        </w:tc>
        <w:tc>
          <w:tcPr>
            <w:tcW w:type="dxa" w:w="4680"/>
          </w:tcPr>
          <w:p>
            <w:r>
              <w:t>Crown / public-domain</w:t>
            </w:r>
          </w:p>
        </w:tc>
      </w:tr>
      <w:tr>
        <w:tc>
          <w:tcPr>
            <w:tcW w:type="dxa" w:w="4680"/>
          </w:tcPr>
          <w:p>
            <w:r>
              <w:t>Copyright and Neighbouring Rights Act, Cap. 218 [RE 2019]</w:t>
            </w:r>
          </w:p>
        </w:tc>
        <w:tc>
          <w:tcPr>
            <w:tcW w:type="dxa" w:w="4680"/>
          </w:tcPr>
          <w:p>
            <w:r>
              <w:t>Crown / public-domain</w:t>
            </w:r>
          </w:p>
        </w:tc>
      </w:tr>
      <w:tr>
        <w:tc>
          <w:tcPr>
            <w:tcW w:type="dxa" w:w="4680"/>
          </w:tcPr>
          <w:p>
            <w:r>
              <w:t>Patents (Registration) Act, Cap. 217 [RE 2019]</w:t>
            </w:r>
          </w:p>
        </w:tc>
        <w:tc>
          <w:tcPr>
            <w:tcW w:type="dxa" w:w="4680"/>
          </w:tcPr>
          <w:p>
            <w:r>
              <w:t>Crown / public-domain</w:t>
            </w:r>
          </w:p>
        </w:tc>
      </w:tr>
      <w:tr>
        <w:tc>
          <w:tcPr>
            <w:tcW w:type="dxa" w:w="4680"/>
          </w:tcPr>
          <w:p>
            <w:r>
              <w:t>Trade and Service Marks Act, Cap. 326 [RE 2019]</w:t>
            </w:r>
          </w:p>
        </w:tc>
        <w:tc>
          <w:tcPr>
            <w:tcW w:type="dxa" w:w="4680"/>
          </w:tcPr>
          <w:p>
            <w:r>
              <w:t>Crown / public-domain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2. Domain-specific references</w:t>
      </w:r>
    </w:p>
    <w:p>
      <w:r>
        <w:rPr>
          <w:b w:val="0"/>
        </w:rPr>
        <w:t>Specific to TABHOS, the platform references:</w:t>
      </w:r>
    </w:p>
    <w:p>
      <w:pPr>
        <w:pStyle w:val="ListBullet"/>
      </w:pPr>
      <w:r>
        <w:t>12 modules — Me, Companion (Rafiki), Providers, Discover, Services, Programs, Specialized, Schools, Workforce, Interop, Research, Admin</w:t>
      </w:r>
    </w:p>
    <w:p>
      <w:pPr>
        <w:pStyle w:val="ListBullet"/>
      </w:pPr>
      <w:r>
        <w:t>Regulator: Ministry of Health (Mental Health Unit) + Mental Health Council of Tanzania (MCT) + Tanzania Medical Council (TMC)</w:t>
      </w:r>
    </w:p>
    <w:p>
      <w:pPr>
        <w:pStyle w:val="ListBullet"/>
      </w:pPr>
      <w:r>
        <w:t>All references are free re-use with attribution where required.</w:t>
      </w:r>
    </w:p>
    <w:p>
      <w:pPr>
        <w:pStyle w:val="Heading1"/>
      </w:pPr>
      <w:r>
        <w:rPr>
          <w:color w:val="0F0D09"/>
          <w:sz w:val="30"/>
        </w:rPr>
        <w:t>3. Fonts</w:t>
      </w:r>
    </w:p>
    <w:p>
      <w:r>
        <w:rPr>
          <w:b w:val="0"/>
        </w:rPr>
        <w:t>System fonts are used by reference. No font files are bundled.</w:t>
      </w:r>
    </w:p>
    <w:p>
      <w:pPr>
        <w:pStyle w:val="Heading1"/>
      </w:pPr>
      <w:r>
        <w:rPr>
          <w:color w:val="0F0D09"/>
          <w:sz w:val="30"/>
        </w:rPr>
        <w:t>4. Icons and imagery</w:t>
      </w:r>
    </w:p>
    <w:p>
      <w:r>
        <w:rPr>
          <w:b w:val="0"/>
        </w:rPr>
        <w:t>All icons are original to the project, authored by Dr. Ally A. Nooher. No third-party icon set is bundled.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