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TABHOS — Funder One-Pager</w:t>
      </w:r>
    </w:p>
    <w:p>
      <w:r>
        <w:rPr>
          <w:i/>
          <w:color w:val="6A6760"/>
        </w:rPr>
        <w:t>TABHOS — Tanzania Behavioral Health Operating System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What it is</w:t>
      </w:r>
    </w:p>
    <w:p>
      <w:r>
        <w:rPr>
          <w:b w:val="0"/>
        </w:rPr>
        <w:t>12 modules — Me, Companion (Rafiki), Providers, Discover, Services, Programs, Specialized, Schools, Workforce, Interop, Research, Admin</w:t>
      </w:r>
    </w:p>
    <w:p>
      <w:pPr>
        <w:pStyle w:val="Heading1"/>
      </w:pPr>
      <w:r>
        <w:rPr>
          <w:color w:val="0F0D09"/>
          <w:sz w:val="30"/>
        </w:rPr>
        <w:t>Why now</w:t>
      </w:r>
    </w:p>
    <w:p>
      <w:pPr>
        <w:pStyle w:val="ListBullet"/>
      </w:pPr>
      <w:r>
        <w:t>Tanzania has approximately 70 psychiatrists for a population of 65 million — the only path to coverage is software + lay counsellors operating under stepped care</w:t>
      </w:r>
    </w:p>
    <w:p>
      <w:pPr>
        <w:pStyle w:val="ListBullet"/>
      </w:pPr>
      <w:r>
        <w:t>WHO mhGAP IG v2.0 and the Mental Health Act (2008) define the model; nobody has built the operational platform for it</w:t>
      </w:r>
    </w:p>
    <w:p>
      <w:pPr>
        <w:pStyle w:val="ListBullet"/>
      </w:pPr>
      <w:r>
        <w:t>Mental-health stigma + the 2030 SDG mental-health targets create donor + government appetite that did not exist five years ago</w:t>
      </w:r>
    </w:p>
    <w:p>
      <w:pPr>
        <w:pStyle w:val="ListBullet"/>
      </w:pPr>
      <w:r>
        <w:t>Compliance with the Mental Health Act + PDPA requires a digital chain-of-custody that paper workflows cannot deliver</w:t>
      </w:r>
    </w:p>
    <w:p>
      <w:pPr>
        <w:pStyle w:val="Heading1"/>
      </w:pPr>
      <w:r>
        <w:rPr>
          <w:color w:val="0F0D09"/>
          <w:sz w:val="30"/>
        </w:rPr>
        <w:t>What we have built</w:t>
      </w:r>
    </w:p>
    <w:p>
      <w:pPr>
        <w:pStyle w:val="ListBullet"/>
      </w:pPr>
      <w:r>
        <w:t>Patient self-screening with 12 standardized instruments and immediate stepped-care routing</w:t>
      </w:r>
    </w:p>
    <w:p>
      <w:pPr>
        <w:pStyle w:val="ListBullet"/>
      </w:pPr>
      <w:r>
        <w:t>14 evidence-based programs implementable by lay counsellors with clinical supervision</w:t>
      </w:r>
    </w:p>
    <w:p>
      <w:pPr>
        <w:pStyle w:val="ListBullet"/>
      </w:pPr>
      <w:r>
        <w:t>10 special-population tracks — HIV, cancer, perinatal, children, parents, elders, students, addiction, refugees, incarcerated</w:t>
      </w:r>
    </w:p>
    <w:p>
      <w:pPr>
        <w:pStyle w:val="ListBullet"/>
      </w:pPr>
      <w:r>
        <w:t>Sovereign AI companion (Rafiki) — Akili-pattern router with 14 experts and six interaction modes, no external LLM</w:t>
      </w:r>
    </w:p>
    <w:p>
      <w:pPr>
        <w:pStyle w:val="ListBullet"/>
      </w:pPr>
      <w:r>
        <w:t>Provider workspace covering intake, ICD-11 coding, care plans, telehealth, NHIF claims, outcomes and supervision</w:t>
      </w:r>
    </w:p>
    <w:p>
      <w:pPr>
        <w:pStyle w:val="ListBullet"/>
      </w:pPr>
      <w:r>
        <w:t>Federated knowledge base — TZ STG-NEMLIT 2021, WHO mhGAP IG v2.0, Mental Health Act 2008, GN 122/2016, ICD-10/11 cross-walk</w:t>
      </w:r>
    </w:p>
    <w:p>
      <w:pPr>
        <w:pStyle w:val="Heading1"/>
      </w:pPr>
      <w:r>
        <w:rPr>
          <w:color w:val="0F0D09"/>
          <w:sz w:val="30"/>
        </w:rPr>
        <w:t>Traction</w:t>
      </w:r>
    </w:p>
    <w:p>
      <w:pPr>
        <w:pStyle w:val="ListBullet"/>
      </w:pPr>
      <w:r>
        <w:t>Production deployment live at tibaroho.vercel.app since 2026</w:t>
      </w:r>
    </w:p>
    <w:p>
      <w:pPr>
        <w:pStyle w:val="ListBullet"/>
      </w:pPr>
      <w:r>
        <w:t>9 demo personas covering patient, provider, supervisor, school counsellor, employer EAP, researcher, NGO partner, MoH analyst, MCT examiner</w:t>
      </w:r>
    </w:p>
    <w:p>
      <w:pPr>
        <w:pStyle w:val="ListBullet"/>
      </w:pPr>
      <w:r>
        <w:t>Discussions opening with MoH MH unit, MCT, and a pilot university student-counselling service</w:t>
      </w:r>
    </w:p>
    <w:p>
      <w:pPr>
        <w:pStyle w:val="Heading1"/>
      </w:pPr>
      <w:r>
        <w:rPr>
          <w:color w:val="0F0D09"/>
          <w:sz w:val="30"/>
        </w:rPr>
        <w:t>The ask</w:t>
      </w:r>
    </w:p>
    <w:p>
      <w:r>
        <w:rPr>
          <w:b w:val="0"/>
        </w:rPr>
        <w:t>USD 800,000 over 18 months to deliver:</w:t>
      </w:r>
    </w:p>
    <w:p>
      <w:pPr>
        <w:pStyle w:val="ListBullet"/>
      </w:pPr>
      <w:r>
        <w:t>MoU signature with MoH MH unit + MCT</w:t>
      </w:r>
    </w:p>
    <w:p>
      <w:pPr>
        <w:pStyle w:val="ListBullet"/>
      </w:pPr>
      <w:r>
        <w:t>Pilot with 3 student-counselling services + 2 hospital out-patient psychiatry units</w:t>
      </w:r>
    </w:p>
    <w:p>
      <w:pPr>
        <w:pStyle w:val="ListBullet"/>
      </w:pPr>
      <w:r>
        <w:t>Independent clinical-safety review (suicidality flow, mandated-reporting flow)</w:t>
      </w:r>
    </w:p>
    <w:p>
      <w:pPr>
        <w:pStyle w:val="ListBullet"/>
      </w:pPr>
      <w:r>
        <w:t>Hire of 4: clinical liaison, senior counsellor (training lead), security lead, business development</w:t>
      </w:r>
    </w:p>
    <w:p>
      <w:pPr>
        <w:pStyle w:val="ListBullet"/>
      </w:pPr>
      <w:r>
        <w:t>Localisation pilot for two minority languages beyond Swahili + English</w:t>
      </w:r>
    </w:p>
    <w:p>
      <w:pPr>
        <w:pStyle w:val="Heading1"/>
      </w:pPr>
      <w:r>
        <w:rPr>
          <w:color w:val="0F0D09"/>
          <w:sz w:val="30"/>
        </w:rPr>
        <w:t>Why Laetoli</w:t>
      </w:r>
    </w:p>
    <w:p>
      <w:r>
        <w:rPr>
          <w:b w:val="0"/>
        </w:rPr>
        <w:t>Founded and led by Dr. Ally A. Nooher, MD, MPS-HIT. TABHOS is one of Laetoli (T) Ltd's product fleet sharing one canonical admin shell (@laetoli/admin), one sovereign AI engine (Akili), one PDPA + GDPR-aligned compliance baseline, and one author byline. Buyers learn one set of conventions and use it across the portfolio.</w:t>
      </w:r>
    </w:p>
    <w:p>
      <w:pPr>
        <w:pStyle w:val="Heading1"/>
      </w:pPr>
      <w:r>
        <w:rPr>
          <w:color w:val="0F0D09"/>
          <w:sz w:val="30"/>
        </w:rPr>
        <w:t>Contact</w:t>
      </w:r>
    </w:p>
    <w:p>
      <w:r>
        <w:rPr>
          <w:b w:val="0"/>
        </w:rPr>
        <w:t>founder@laetoli.tz · laetoli.tz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