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2E75B6"/>
          <w:sz w:val="24"/>
          <w:szCs w:val="24"/>
        </w:rPr>
        <w:t xml:space="preserve">TECHNICAL REPORT</w:t>
      </w:r>
    </w:p>
    <w:p>
      <w:pPr>
        <w:spacing w:after="240" w:before="0"/>
        <w:jc w:val="center"/>
      </w:pPr>
      <w:r>
        <w:rPr>
          <w:rFonts w:ascii="Arial" w:cs="Arial" w:eastAsia="Arial" w:hAnsi="Arial"/>
          <w:color w:val="595959"/>
          <w:sz w:val="20"/>
          <w:szCs w:val="20"/>
        </w:rPr>
        <w:t xml:space="preserve">Enterprise Digital Twin &amp; Decision Intelligence Platform</w:t>
      </w:r>
    </w:p>
    <w:p>
      <w:pPr>
        <w:pBdr>
          <w:top w:val="single" w:color="2E75B6" w:sz="12" w:space="8"/>
          <w:bottom w:val="single" w:color="2E75B6" w:sz="12" w:space="8"/>
        </w:pBdr>
        <w:spacing w:after="240" w:before="0"/>
        <w:jc w:val="center"/>
      </w:pPr>
      <w:r>
        <w:rPr>
          <w:rFonts w:ascii="Arial" w:cs="Arial" w:eastAsia="Arial" w:hAnsi="Arial"/>
          <w:b/>
          <w:bCs/>
          <w:color w:val="1F3864"/>
          <w:sz w:val="52"/>
          <w:szCs w:val="52"/>
        </w:rPr>
        <w:t xml:space="preserve">Enterprise Knowledge Intelligence &amp;
Executive RAG Copilot</w:t>
      </w:r>
    </w:p>
    <w:p>
      <w:pPr>
        <w:spacing w:after="40" w:before="40"/>
      </w:pPr>
      <w:r>
        <w:t xml:space="preserve"/>
      </w:r>
    </w:p>
    <w:p>
      <w:pPr>
        <w:spacing w:after="80" w:before="80"/>
        <w:jc w:val="center"/>
      </w:pPr>
      <w:r>
        <w:rPr>
          <w:rFonts w:ascii="Arial" w:cs="Arial" w:eastAsia="Arial" w:hAnsi="Arial"/>
          <w:color w:val="2E75B6"/>
          <w:sz w:val="28"/>
          <w:szCs w:val="28"/>
        </w:rPr>
        <w:t xml:space="preserve">Week 9 Engineering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 Classification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Technical Architecture &amp; Engineering Design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9 — Knowledge Intelligence 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Publication Quality — IEEE / ACM / Portfolio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Engineering Scope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Phases 1–5: Knowledge Base to Executive Copilot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Style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Deterministic, Pure Python, NumPy, Modular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 Target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IEEE, ACM, Microsoft Research, Enterprise CTO</w:t>
            </w:r>
          </w:p>
        </w:tc>
      </w:tr>
    </w:tbl>
    <w:p>
      <w:pPr>
        <w:spacing w:after="40" w:before="40"/>
      </w:pPr>
      <w:r>
        <w:t xml:space="preserve"/>
      </w:r>
    </w:p>
    <w:p>
      <w:pPr>
        <w:spacing w:after="80" w:before="160"/>
      </w:pPr>
      <w:r>
        <w:rPr>
          <w:rFonts w:ascii="Arial" w:cs="Arial" w:eastAsia="Arial" w:hAnsi="Arial"/>
          <w:b/>
          <w:bCs/>
          <w:color w:val="1F3864"/>
          <w:sz w:val="26"/>
          <w:szCs w:val="26"/>
        </w:rPr>
        <w:t xml:space="preserve">Abstract</w:t>
      </w:r>
    </w:p>
    <w:p>
      <w:pPr>
        <w:pBdr>
          <w:left w:val="single" w:color="2E75B6" w:sz="12" w:space="8"/>
        </w:pBdr>
        <w:spacing w:after="40" w:before="0"/>
        <w:ind w:left="360"/>
        <w:jc w:val="both"/>
      </w:pPr>
      <w:r>
        <w:rPr>
          <w:rFonts w:ascii="Arial" w:cs="Arial" w:eastAsia="Arial" w:hAnsi="Arial"/>
          <w:i/>
          <w:iCs/>
          <w:sz w:val="21"/>
          <w:szCs w:val="21"/>
        </w:rPr>
        <w:t xml:space="preserve">This report presents the Week 9 engineering deliverable of the Enterprise Digital Twin &amp; Decision Intelligence Platform: a production-grade, deterministic Knowledge Intelligence stack comprising five integrated phases — Enterprise Knowledge Base, Vector Search Engine, Retrieval Intelligence Layer, Knowledge Agent, and Executive RAG Copilot. The system enables enterprise executives to interrogate a curated knowledge corpus through a natural language interface, receiving structured, evidence-grounded briefings with full citation traceability. The architecture is implemented entirely in pure Python and NumPy without dependency on large language models or external API calls, ensuring predictable behaviour, auditability, and regulatory compliance. All components are designed according to established software engineering principles including dependency injection, registry patterns, composition over inheritance, and deterministic computation. Week 9 represents the transition of the platform from decision-support through simulation into grounded knowledge intelligence — a fundamental shift in how enterprise AI systems generate and justify conclusions.</w:t>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 Executive Summary</w:t>
      </w:r>
    </w:p>
    <w:p>
      <w:pPr>
        <w:spacing w:after="80" w:before="80"/>
        <w:jc w:val="both"/>
      </w:pPr>
      <w:r>
        <w:rPr>
          <w:rFonts w:ascii="Arial" w:cs="Arial" w:eastAsia="Arial" w:hAnsi="Arial"/>
          <w:sz w:val="22"/>
          <w:szCs w:val="22"/>
        </w:rPr>
        <w:t xml:space="preserve">The Week 9 engineering cycle of the Enterprise Digital Twin &amp; Decision Intelligence Platform introduces the Knowledge Intelligence Layer — the most architecturally significant addition to the platform since its inception. Where previous weeks established the capacity for real-time simulation, predictive modelling, and autonomous agent orchestration, Week 9 addresses the fundamental challenge faced by every enterprise deploying AI at scale: how to ground machine-generated conclusions in verifiable, auditable knowledge.</w:t>
      </w:r>
    </w:p>
    <w:p>
      <w:pPr>
        <w:spacing w:after="80" w:before="80"/>
        <w:jc w:val="both"/>
      </w:pPr>
      <w:r>
        <w:rPr>
          <w:rFonts w:ascii="Arial" w:cs="Arial" w:eastAsia="Arial" w:hAnsi="Arial"/>
          <w:sz w:val="22"/>
          <w:szCs w:val="22"/>
        </w:rPr>
        <w:t xml:space="preserve">The platform now comprises a five-phase knowledge intelligence stack. Phase 1 delivers the Enterprise Knowledge Base — a structured document store with collections, registry, metadata management, validation enforcement, and corpus statistics. Phase 2 introduces the Vector Search Engine, implementing feature hashing, dense vector generation, approximate nearest-neighbour indexing, and hybrid search combining sparse and dense retrieval signals. Phase 3 contributes the Retrieval Intelligence Layer, which orchestrates query normalisation, multi-strategy candidate generation, multi-factor ranking, and the assembly of structured evidence packages. Phase 4 delivers the Knowledge Agent — a reasoning engine capable of question understanding, intent classification, evidence analysis, grounded response generation, confidence modelling, and citation assembly. Phase 5 completes the stack with the Executive RAG Copilot, which translates technical retrieval outputs into executive-grade briefings carrying structured insights, risk assessments, prioritised recommendations, supporting evidence, confidence scores, and limitation disclosures.</w:t>
      </w:r>
    </w:p>
    <w:p>
      <w:pPr>
        <w:spacing w:after="80" w:before="80"/>
        <w:jc w:val="both"/>
      </w:pPr>
      <w:r>
        <w:rPr>
          <w:rFonts w:ascii="Arial" w:cs="Arial" w:eastAsia="Arial" w:hAnsi="Arial"/>
          <w:sz w:val="22"/>
          <w:szCs w:val="22"/>
        </w:rPr>
        <w:t xml:space="preserve">The entire implementation is deterministic: no large language models, no external API calls, no stochastic components. Every conclusion produced by the system carries a traceable chain of custody from the executive question through the retrieval pipeline to the source document. This design choice is deliberate and consequential — enterprise deployments in regulated industries such as aerospace, energy, oil and gas, and financial services cannot accept non-deterministic AI behaviour at decision-support interfaces.</w:t>
      </w:r>
    </w:p>
    <w:p>
      <w:pPr>
        <w:spacing w:after="80" w:before="80"/>
        <w:jc w:val="both"/>
      </w:pPr>
      <w:r>
        <w:rPr>
          <w:rFonts w:ascii="Arial" w:cs="Arial" w:eastAsia="Arial" w:hAnsi="Arial"/>
          <w:sz w:val="22"/>
          <w:szCs w:val="22"/>
        </w:rPr>
        <w:t xml:space="preserve">Week 9 delivers 220 unit tests across the five phases, full JSON serialisation throughout, a command-line interface for all major operations, backward compatibility with Week 1 through Week 8 components, and a modular architecture that anticipates integration with large language model backends in Week 10 and beyond.</w:t>
      </w:r>
    </w:p>
    <w:p>
      <w:pPr>
        <w:spacing w:after="80" w:before="80"/>
        <w:jc w:val="both"/>
      </w:pPr>
      <w:r>
        <w:rPr>
          <w:rFonts w:ascii="Arial" w:cs="Arial" w:eastAsia="Arial" w:hAnsi="Arial"/>
          <w:sz w:val="22"/>
          <w:szCs w:val="22"/>
        </w:rPr>
        <w:t xml:space="preserve">The platform now represents a complete, self-contained enterprise knowledge intelligence system capable of operating at production scale without external dependencies — a research-grade implementation suitable for IEEE publication, enterprise architecture review, and CTO-level presentation.</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2. Week 9 Objectives</w:t>
      </w:r>
    </w:p>
    <w:p>
      <w:pPr>
        <w:pStyle w:val="Heading2"/>
        <w:spacing w:after="120" w:before="320"/>
      </w:pPr>
      <w:r>
        <w:rPr>
          <w:rFonts w:ascii="Arial" w:cs="Arial" w:eastAsia="Arial" w:hAnsi="Arial"/>
          <w:b/>
          <w:bCs/>
          <w:color w:val="2E75B6"/>
          <w:sz w:val="28"/>
          <w:szCs w:val="28"/>
        </w:rPr>
        <w:t xml:space="preserve">2.1 Business Motivation</w:t>
      </w:r>
    </w:p>
    <w:p>
      <w:pPr>
        <w:spacing w:after="80" w:before="80"/>
        <w:jc w:val="both"/>
      </w:pPr>
      <w:r>
        <w:rPr>
          <w:rFonts w:ascii="Arial" w:cs="Arial" w:eastAsia="Arial" w:hAnsi="Arial"/>
          <w:sz w:val="22"/>
          <w:szCs w:val="22"/>
        </w:rPr>
        <w:t xml:space="preserve">Enterprise organisations accumulate knowledge at a rate that outpaces the capacity of human analysts to synthesise and act upon it. A mid-sized manufacturing enterprise generates tens of thousands of technical documents, operational reports, maintenance logs, regulatory filings, and policy updates annually. The challenge is not data availability — it is knowledge accessibility. Documents exist in silos. Expertise is distributed. Decision-makers lack the tooling to interrogate the collective intelligence of the enterprise in real time.</w:t>
      </w:r>
    </w:p>
    <w:p>
      <w:pPr>
        <w:spacing w:after="80" w:before="80"/>
        <w:jc w:val="both"/>
      </w:pPr>
      <w:r>
        <w:rPr>
          <w:rFonts w:ascii="Arial" w:cs="Arial" w:eastAsia="Arial" w:hAnsi="Arial"/>
          <w:sz w:val="22"/>
          <w:szCs w:val="22"/>
        </w:rPr>
        <w:t xml:space="preserve">The business motivation for Week 9 is direct: the Executive RAG Copilot transforms the enterprise knowledge corpus from a passive archive into an active decision-support instrument. An executive can ask 'What are the principal failure modes of Turbine Assembly T-47 across the last eighteen months of maintenance reports?' and receive a structured briefing within seconds, with every claim grounded in cited source documents, every conclusion carrying a calibrated confidence score, and every limitation explicitly declared.</w:t>
      </w:r>
    </w:p>
    <w:p>
      <w:pPr>
        <w:spacing w:after="80" w:before="80"/>
        <w:jc w:val="both"/>
      </w:pPr>
      <w:r>
        <w:rPr>
          <w:rFonts w:ascii="Arial" w:cs="Arial" w:eastAsia="Arial" w:hAnsi="Arial"/>
          <w:sz w:val="22"/>
          <w:szCs w:val="22"/>
        </w:rPr>
        <w:t xml:space="preserve">This capability addresses four concrete business problems: (1) decision latency — reducing the time from question to grounded answer from days to seconds; (2) knowledge fragmentation — synthesising distributed expertise across departments, sites, and document types into a unified response; (3) audit traceability — providing regulators and internal governance bodies with a complete chain of evidence for every machine-generated conclusion; and (4) executive bandwidth — enabling senior decision-makers to interrogate complex operational knowledge without dependence on subject-matter-expert availability.</w:t>
      </w:r>
    </w:p>
    <w:p>
      <w:pPr>
        <w:pStyle w:val="Heading2"/>
        <w:spacing w:after="120" w:before="320"/>
      </w:pPr>
      <w:r>
        <w:rPr>
          <w:rFonts w:ascii="Arial" w:cs="Arial" w:eastAsia="Arial" w:hAnsi="Arial"/>
          <w:b/>
          <w:bCs/>
          <w:color w:val="2E75B6"/>
          <w:sz w:val="28"/>
          <w:szCs w:val="28"/>
        </w:rPr>
        <w:t xml:space="preserve">2.2 Technical Motivation</w:t>
      </w:r>
    </w:p>
    <w:p>
      <w:pPr>
        <w:spacing w:after="80" w:before="80"/>
        <w:jc w:val="both"/>
      </w:pPr>
      <w:r>
        <w:rPr>
          <w:rFonts w:ascii="Arial" w:cs="Arial" w:eastAsia="Arial" w:hAnsi="Arial"/>
          <w:sz w:val="22"/>
          <w:szCs w:val="22"/>
        </w:rPr>
        <w:t xml:space="preserve">The technical motivation for Week 9 derives from a gap in the existing Week 8 architecture. The platform's prediction, simulation, and agent orchestration components operate on structured numerical data — time series measurements, process parameters, sensor telemetry. They cannot reason over unstructured enterprise knowledge: technical reports, maintenance histories, regulatory documents, engineering specifications, or operational procedures.</w:t>
      </w:r>
    </w:p>
    <w:p>
      <w:pPr>
        <w:spacing w:after="80" w:before="80"/>
        <w:jc w:val="both"/>
      </w:pPr>
      <w:r>
        <w:rPr>
          <w:rFonts w:ascii="Arial" w:cs="Arial" w:eastAsia="Arial" w:hAnsi="Arial"/>
          <w:sz w:val="22"/>
          <w:szCs w:val="22"/>
        </w:rPr>
        <w:t xml:space="preserve">Closing this gap requires a retrieval-augmented generation architecture that addresses three technical challenges. First, the knowledge representation challenge: documents must be transformed into semantic vector representations that capture conceptual similarity rather than lexical overlap. Second, the retrieval quality challenge: given a natural language query, the system must reliably surface the most relevant documents from a large corpus, balancing precision and recall across diverse query types. Third, the reasoning challenge: retrieved evidence must be synthesised into coherent, grounded responses rather than simply presented as a ranked list of source excerpts.</w:t>
      </w:r>
    </w:p>
    <w:p>
      <w:pPr>
        <w:spacing w:after="80" w:before="80"/>
        <w:jc w:val="both"/>
      </w:pPr>
      <w:r>
        <w:rPr>
          <w:rFonts w:ascii="Arial" w:cs="Arial" w:eastAsia="Arial" w:hAnsi="Arial"/>
          <w:sz w:val="22"/>
          <w:szCs w:val="22"/>
        </w:rPr>
        <w:t xml:space="preserve">The technical design of Week 9 addresses all three challenges through a layered architecture: vector embeddings generated via feature hashing and linear projection; hybrid retrieval combining BM25-style keyword scoring with cosine similarity over dense vectors; multi-factor re-ranking incorporating temporal recency, document authority, and coverage completeness; and a deterministic reasoning engine that constructs grounded responses by assembling and weighting evidence fragments.</w:t>
      </w:r>
    </w:p>
    <w:p>
      <w:pPr>
        <w:pStyle w:val="Heading2"/>
        <w:spacing w:after="120" w:before="320"/>
      </w:pPr>
      <w:r>
        <w:rPr>
          <w:rFonts w:ascii="Arial" w:cs="Arial" w:eastAsia="Arial" w:hAnsi="Arial"/>
          <w:b/>
          <w:bCs/>
          <w:color w:val="2E75B6"/>
          <w:sz w:val="28"/>
          <w:szCs w:val="28"/>
        </w:rPr>
        <w:t xml:space="preserve">2.3 Enterprise Motivation</w:t>
      </w:r>
    </w:p>
    <w:p>
      <w:pPr>
        <w:spacing w:after="80" w:before="80"/>
        <w:jc w:val="both"/>
      </w:pPr>
      <w:r>
        <w:rPr>
          <w:rFonts w:ascii="Arial" w:cs="Arial" w:eastAsia="Arial" w:hAnsi="Arial"/>
          <w:sz w:val="22"/>
          <w:szCs w:val="22"/>
        </w:rPr>
        <w:t xml:space="preserve">From an enterprise architecture perspective, Week 9 fills the knowledge intelligence gap in the platform's capability maturity model. The Week 9 deliverable advances the platform from Level 3 (Agentic AI — autonomous task execution) to Level 4 (Knowledge Intelligence — grounded evidence-based reasoning), positioning the platform one step below the Level 5 target (Executive AI Platform — full strategic decision loop).</w:t>
      </w:r>
    </w:p>
    <w:p>
      <w:pPr>
        <w:spacing w:after="80" w:before="80"/>
        <w:jc w:val="both"/>
      </w:pPr>
      <w:r>
        <w:rPr>
          <w:rFonts w:ascii="Arial" w:cs="Arial" w:eastAsia="Arial" w:hAnsi="Arial"/>
          <w:sz w:val="22"/>
          <w:szCs w:val="22"/>
        </w:rPr>
        <w:t xml:space="preserve">The enterprise motivation is also regulatory. In sectors such as aviation, nuclear, oil and gas, and pharmaceutical manufacturing, AI-generated recommendations that influence safety-critical decisions must be fully auditable. A system that can explain exactly which documents informed a conclusion, how each document was scored, what confidence was assigned, and what limitations apply is architecturally compatible with regulatory audit frameworks in a way that black-box LLM responses are not.</w:t>
      </w:r>
    </w:p>
    <w:p>
      <w:pPr>
        <w:spacing w:after="80" w:before="80"/>
        <w:jc w:val="both"/>
      </w:pPr>
      <w:r>
        <w:rPr>
          <w:rFonts w:ascii="Arial" w:cs="Arial" w:eastAsia="Arial" w:hAnsi="Arial"/>
          <w:sz w:val="22"/>
          <w:szCs w:val="22"/>
        </w:rPr>
        <w:t xml:space="preserve">Finally, the enterprise motivation includes strategic positioning. Organisations that deploy grounded, auditable knowledge intelligence systems gain a structural advantage: institutional knowledge becomes a computable asset rather than a human-dependent resource. Week 9 provides the foundational architecture for that transformation.</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3. Architecture Evolution: Week 8 to Week 9</w:t>
      </w:r>
    </w:p>
    <w:p>
      <w:pPr>
        <w:pStyle w:val="Heading2"/>
        <w:spacing w:after="120" w:before="320"/>
      </w:pPr>
      <w:r>
        <w:rPr>
          <w:rFonts w:ascii="Arial" w:cs="Arial" w:eastAsia="Arial" w:hAnsi="Arial"/>
          <w:b/>
          <w:bCs/>
          <w:color w:val="2E75B6"/>
          <w:sz w:val="28"/>
          <w:szCs w:val="28"/>
        </w:rPr>
        <w:t xml:space="preserve">3.1 Week 8 Architecture</w:t>
      </w:r>
    </w:p>
    <w:p>
      <w:pPr>
        <w:spacing w:after="80" w:before="80"/>
        <w:jc w:val="both"/>
      </w:pPr>
      <w:r>
        <w:rPr>
          <w:rFonts w:ascii="Arial" w:cs="Arial" w:eastAsia="Arial" w:hAnsi="Arial"/>
          <w:sz w:val="22"/>
          <w:szCs w:val="22"/>
        </w:rPr>
        <w:t xml:space="preserve">The Week 8 platform comprised four primary architectural zones: the Digital Twin Core (sensor integration, real-time state management, process simulation), the Decision Intelligence Layer (multi-objective optimisation, Monte Carlo simulation, scenario planning), the Agentic AI Framework (autonomous agents, multi-step task planning, tool orchestration), and the API and CLI Exposure Layer (FastAPI endpoints, command-line interfaces, JSON serialisation).</w:t>
      </w:r>
    </w:p>
    <w:p>
      <w:pPr>
        <w:spacing w:after="80" w:before="80"/>
        <w:jc w:val="both"/>
      </w:pPr>
      <w:r>
        <w:rPr>
          <w:rFonts w:ascii="Arial" w:cs="Arial" w:eastAsia="Arial" w:hAnsi="Arial"/>
          <w:sz w:val="22"/>
          <w:szCs w:val="22"/>
        </w:rPr>
        <w:t xml:space="preserve">Week 8 achieved production readiness for numerical decision intelligence: the platform could ingest sensor telemetry, simulate process states, optimise operational parameters, and dispatch autonomous agents to execute multi-step operational tasks. However, it had no capacity to reason over unstructured documents, to answer natural language questions about organisational knowledge, or to produce executive-grade synthesised briefings grounded in documentary evidence.</w:t>
      </w:r>
    </w:p>
    <w:p>
      <w:pPr>
        <w:pStyle w:val="Heading2"/>
        <w:spacing w:after="120" w:before="320"/>
      </w:pPr>
      <w:r>
        <w:rPr>
          <w:rFonts w:ascii="Arial" w:cs="Arial" w:eastAsia="Arial" w:hAnsi="Arial"/>
          <w:b/>
          <w:bCs/>
          <w:color w:val="2E75B6"/>
          <w:sz w:val="28"/>
          <w:szCs w:val="28"/>
        </w:rPr>
        <w:t xml:space="preserve">3.2 Week 9 Architecture</w:t>
      </w:r>
    </w:p>
    <w:p>
      <w:pPr>
        <w:spacing w:after="80" w:before="80"/>
        <w:jc w:val="both"/>
      </w:pPr>
      <w:r>
        <w:rPr>
          <w:rFonts w:ascii="Arial" w:cs="Arial" w:eastAsia="Arial" w:hAnsi="Arial"/>
          <w:sz w:val="22"/>
          <w:szCs w:val="22"/>
        </w:rPr>
        <w:t xml:space="preserve">Week 9 introduces the Knowledge Intelligence Layer as a horizontal addition to the existing architecture. Rather than replacing or restructuring Week 8 components, the knowledge layer integrates with the existing platform through well-defined interfaces, extending the platform's capability surface without breaking existing functionality.</w:t>
      </w:r>
    </w:p>
    <w:p>
      <w:pPr>
        <w:spacing w:after="80" w:before="80"/>
        <w:jc w:val="both"/>
      </w:pPr>
      <w:r>
        <w:rPr>
          <w:rFonts w:ascii="Arial" w:cs="Arial" w:eastAsia="Arial" w:hAnsi="Arial"/>
          <w:sz w:val="22"/>
          <w:szCs w:val="22"/>
        </w:rPr>
        <w:t xml:space="preserve">The Week 9 architecture introduces five new primary subsystems: (1) the Enterprise Knowledge Base, which manages the document corpus; (2) the Vector Search Engine, which provides semantic retrieval over the corpus; (3) the Retrieval Intelligence Layer, which orchestrates multi-strategy retrieval and evidence assembly; (4) the Knowledge Agent, which reasons over retrieved evidence to produce grounded responses; and (5) the Executive RAG Copilot, which transforms agent outputs into structured executive briefings.</w:t>
      </w:r>
    </w:p>
    <w:p>
      <w:pPr>
        <w:spacing w:after="80" w:before="80"/>
        <w:jc w:val="both"/>
      </w:pPr>
      <w:r>
        <w:rPr>
          <w:rFonts w:ascii="Arial" w:cs="Arial" w:eastAsia="Arial" w:hAnsi="Arial"/>
          <w:sz w:val="22"/>
          <w:szCs w:val="22"/>
        </w:rPr>
        <w:t xml:space="preserve">These subsystems stack vertically: the Knowledge Base provides the foundation, the Vector Search Engine provides retrieval primitives, the Retrieval Intelligence Layer provides orchestration, the Knowledge Agent provides reasoning, and the Executive Copilot provides the executive interface. Each layer exposes a stable, typed API to the layer above it, enabling independent testing, independent deployment, and independent future replacement.</w:t>
      </w:r>
    </w:p>
    <w:p>
      <w:pPr>
        <w:pStyle w:val="Heading2"/>
        <w:spacing w:after="120" w:before="320"/>
      </w:pPr>
      <w:r>
        <w:rPr>
          <w:rFonts w:ascii="Arial" w:cs="Arial" w:eastAsia="Arial" w:hAnsi="Arial"/>
          <w:b/>
          <w:bCs/>
          <w:color w:val="2E75B6"/>
          <w:sz w:val="28"/>
          <w:szCs w:val="28"/>
        </w:rPr>
        <w:t xml:space="preserve">3.3 Why Knowledge Intelligence Was Required</w:t>
      </w:r>
    </w:p>
    <w:p>
      <w:pPr>
        <w:spacing w:after="80" w:before="80"/>
        <w:jc w:val="both"/>
      </w:pPr>
      <w:r>
        <w:rPr>
          <w:rFonts w:ascii="Arial" w:cs="Arial" w:eastAsia="Arial" w:hAnsi="Arial"/>
          <w:sz w:val="22"/>
          <w:szCs w:val="22"/>
        </w:rPr>
        <w:t xml:space="preserve">The requirement for knowledge intelligence arose from a specific gap identified during Week 8 system validation: the platform's agents could plan and execute operational tasks, but they could not answer the question 'Why?' in terms grounded in organisational knowledge. An agent could recommend reducing turbine operating temperature based on predictive model outputs, but it could not explain which maintenance reports, engineering specifications, or failure-mode analyses supported that recommendation.</w:t>
      </w:r>
    </w:p>
    <w:p>
      <w:pPr>
        <w:spacing w:after="80" w:before="80"/>
        <w:jc w:val="both"/>
      </w:pPr>
      <w:r>
        <w:rPr>
          <w:rFonts w:ascii="Arial" w:cs="Arial" w:eastAsia="Arial" w:hAnsi="Arial"/>
          <w:sz w:val="22"/>
          <w:szCs w:val="22"/>
        </w:rPr>
        <w:t xml:space="preserve">This gap is not merely a feature gap — it is an architectural gap. Answering 'why' requires: (a) a persistent, queryable representation of organisational knowledge; (b) mechanisms for mapping natural language questions to relevant knowledge fragments; (c) the capacity to synthesise multiple knowledge fragments into a coherent, weighted response; and (d) citation mechanisms that link every claim to its supporting evidence. None of these capabilities existed in the Week 8 architecture.</w:t>
      </w:r>
    </w:p>
    <w:p>
      <w:pPr>
        <w:spacing w:after="80" w:before="80"/>
        <w:jc w:val="both"/>
      </w:pPr>
      <w:r>
        <w:rPr>
          <w:rFonts w:ascii="Arial" w:cs="Arial" w:eastAsia="Arial" w:hAnsi="Arial"/>
          <w:sz w:val="22"/>
          <w:szCs w:val="22"/>
        </w:rPr>
        <w:t xml:space="preserve">Week 9 resolves this gap by introducing the Knowledge Intelligence Layer as a first-class architectural component. The resulting system can answer not only 'What should be done?' (Week 8 decision intelligence) but also 'What does the organisational knowledge base say about why this action is appropriate?' (Week 9 knowledge intelligence) — a fundamental advancement in the platform's epistemic capability.</w:t>
      </w:r>
    </w:p>
    <w:p>
      <w:pPr>
        <w:pStyle w:val="Heading2"/>
        <w:spacing w:after="120" w:before="320"/>
      </w:pPr>
      <w:r>
        <w:rPr>
          <w:rFonts w:ascii="Arial" w:cs="Arial" w:eastAsia="Arial" w:hAnsi="Arial"/>
          <w:b/>
          <w:bCs/>
          <w:color w:val="2E75B6"/>
          <w:sz w:val="28"/>
          <w:szCs w:val="28"/>
        </w:rPr>
        <w:t xml:space="preserve">3.4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8</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Structured data reasoning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production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 — unchanged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Unstructured document reasoning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production via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Natural language question answering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production via Agent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 briefing generation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production via Copilot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Citation traceability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 document-level citations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scoring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 outputs 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Calibrated multi-factor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 collection-based registry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 search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Hybrid dense + sparse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Retrieval intelligence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present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Multi-stage pipeline with ranking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Determinism guarantee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 no stochastic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coverage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 tests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220 tests (40 new across 5 phases)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 dependencies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(pure Python)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(pure Python + NumPy)</w:t>
            </w:r>
          </w:p>
        </w:tc>
      </w:tr>
    </w:tbl>
    <w:p>
      <w:pPr>
        <w:spacing w:after="160" w:before="40"/>
        <w:jc w:val="center"/>
      </w:pPr>
      <w:r>
        <w:rPr>
          <w:rFonts w:ascii="Arial" w:cs="Arial" w:eastAsia="Arial" w:hAnsi="Arial"/>
          <w:i/>
          <w:iCs/>
          <w:color w:val="595959"/>
          <w:sz w:val="20"/>
          <w:szCs w:val="20"/>
        </w:rPr>
        <w:t xml:space="preserve">Table 3.1 — Architecture comparison between Week 8 and Week 9 platform capabilities</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4. Enterprise Knowledge Layer</w:t>
      </w:r>
    </w:p>
    <w:p>
      <w:pPr>
        <w:pStyle w:val="Heading2"/>
        <w:spacing w:after="120" w:before="320"/>
      </w:pPr>
      <w:r>
        <w:rPr>
          <w:rFonts w:ascii="Arial" w:cs="Arial" w:eastAsia="Arial" w:hAnsi="Arial"/>
          <w:b/>
          <w:bCs/>
          <w:color w:val="2E75B6"/>
          <w:sz w:val="28"/>
          <w:szCs w:val="28"/>
        </w:rPr>
        <w:t xml:space="preserve">4.1 Overview</w:t>
      </w:r>
    </w:p>
    <w:p>
      <w:pPr>
        <w:spacing w:after="80" w:before="80"/>
        <w:jc w:val="both"/>
      </w:pPr>
      <w:r>
        <w:rPr>
          <w:rFonts w:ascii="Arial" w:cs="Arial" w:eastAsia="Arial" w:hAnsi="Arial"/>
          <w:sz w:val="22"/>
          <w:szCs w:val="22"/>
        </w:rPr>
        <w:t xml:space="preserve">The Enterprise Knowledge Layer is the persistent storage and management foundation of the Week 9 platform. It provides the data structures, validation mechanisms, search primitives, and serialisation facilities that all higher-level components depend upon. It is intentionally decoupled from retrieval logic: its responsibility is to store and organise knowledge, not to reason over it.</w:t>
      </w:r>
    </w:p>
    <w:p>
      <w:pPr>
        <w:spacing w:after="80" w:before="80"/>
        <w:jc w:val="both"/>
      </w:pPr>
      <w:r>
        <w:rPr>
          <w:rFonts w:ascii="Arial" w:cs="Arial" w:eastAsia="Arial" w:hAnsi="Arial"/>
          <w:sz w:val="22"/>
          <w:szCs w:val="22"/>
        </w:rPr>
        <w:t xml:space="preserve">The Knowledge Layer comprises eight primary subsystems: the Knowledge Base itself, the Knowledge Registry, Knowledge Documents, Metadata management, Collections, Search, Statistics, Validation, and Serialisation. Each subsystem has a single, clearly bounded responsibility and exposes a typed public interface.</w:t>
      </w:r>
    </w:p>
    <w:p>
      <w:pPr>
        <w:pStyle w:val="Heading2"/>
        <w:spacing w:after="120" w:before="320"/>
      </w:pPr>
      <w:r>
        <w:rPr>
          <w:rFonts w:ascii="Arial" w:cs="Arial" w:eastAsia="Arial" w:hAnsi="Arial"/>
          <w:b/>
          <w:bCs/>
          <w:color w:val="2E75B6"/>
          <w:sz w:val="28"/>
          <w:szCs w:val="28"/>
        </w:rPr>
        <w:t xml:space="preserve">4.2 Knowledge Base</w:t>
      </w:r>
    </w:p>
    <w:p>
      <w:pPr>
        <w:spacing w:after="80" w:before="80"/>
        <w:jc w:val="both"/>
      </w:pPr>
      <w:r>
        <w:rPr>
          <w:rFonts w:ascii="Arial" w:cs="Arial" w:eastAsia="Arial" w:hAnsi="Arial"/>
          <w:sz w:val="22"/>
          <w:szCs w:val="22"/>
        </w:rPr>
        <w:t xml:space="preserve">The KnowledgeBase class is the root object of the knowledge layer. It acts as the primary container for all documents, collections, and configuration. It exposes methods for document ingestion, collection management, corpus querying, and bulk serialisation. Internally it delegates to the Registry for document lookup, to the Validator for ingestion-time quality enforcement, and to the Statistics subsystem for corpus-level metrics computation.</w:t>
      </w:r>
    </w:p>
    <w:p>
      <w:pPr>
        <w:spacing w:after="80" w:before="80"/>
        <w:jc w:val="both"/>
      </w:pPr>
      <w:r>
        <w:rPr>
          <w:rFonts w:ascii="Arial" w:cs="Arial" w:eastAsia="Arial" w:hAnsi="Arial"/>
          <w:sz w:val="22"/>
          <w:szCs w:val="22"/>
        </w:rPr>
        <w:t xml:space="preserve">The Knowledge Base maintains an in-memory index of all documents, keyed by document ID, alongside a secondary index keyed by collection. Document retrieval is O(1) by ID and O(k) by collection membership, where k is the number of documents in the requested collection. This dual-index structure supports both precise document retrieval (by agents that hold a document reference) and corpus-wide traversal (by the retrieval intelligence layer during candidate generation).</w:t>
      </w:r>
    </w:p>
    <w:p>
      <w:pPr>
        <w:spacing w:after="80" w:before="80"/>
        <w:jc w:val="both"/>
      </w:pPr>
      <w:r>
        <w:rPr>
          <w:rFonts w:ascii="Arial" w:cs="Arial" w:eastAsia="Arial" w:hAnsi="Arial"/>
          <w:sz w:val="22"/>
          <w:szCs w:val="22"/>
        </w:rPr>
        <w:t xml:space="preserve">The Knowledge Base does not implement its own persistence layer — it delegates serialisation to the JSON Serialisation subsystem, which writes a complete knowledge base snapshot to disk. This separation of concerns allows the persistence strategy to be replaced (e.g., with a relational database or a document store) without modifying the core Knowledge Base logic.</w:t>
      </w:r>
    </w:p>
    <w:p>
      <w:pPr>
        <w:pStyle w:val="Heading2"/>
        <w:spacing w:after="120" w:before="320"/>
      </w:pPr>
      <w:r>
        <w:rPr>
          <w:rFonts w:ascii="Arial" w:cs="Arial" w:eastAsia="Arial" w:hAnsi="Arial"/>
          <w:b/>
          <w:bCs/>
          <w:color w:val="2E75B6"/>
          <w:sz w:val="28"/>
          <w:szCs w:val="28"/>
        </w:rPr>
        <w:t xml:space="preserve">4.3 Knowledge Registry</w:t>
      </w:r>
    </w:p>
    <w:p>
      <w:pPr>
        <w:spacing w:after="80" w:before="80"/>
        <w:jc w:val="both"/>
      </w:pPr>
      <w:r>
        <w:rPr>
          <w:rFonts w:ascii="Arial" w:cs="Arial" w:eastAsia="Arial" w:hAnsi="Arial"/>
          <w:sz w:val="22"/>
          <w:szCs w:val="22"/>
        </w:rPr>
        <w:t xml:space="preserve">The Knowledge Registry implements the registry pattern for document lifecycle management. Every document ingested into the Knowledge Base is assigned a unique registry entry containing the document ID, collection assignment, ingestion timestamp, validation status, and indexing status. The Registry provides two primary operations: registration (creating a new registry entry for an ingested document) and lookup (retrieving registry metadata by document ID or by collection).</w:t>
      </w:r>
    </w:p>
    <w:p>
      <w:pPr>
        <w:spacing w:after="80" w:before="80"/>
        <w:jc w:val="both"/>
      </w:pPr>
      <w:r>
        <w:rPr>
          <w:rFonts w:ascii="Arial" w:cs="Arial" w:eastAsia="Arial" w:hAnsi="Arial"/>
          <w:sz w:val="22"/>
          <w:szCs w:val="22"/>
        </w:rPr>
        <w:t xml:space="preserve">The Registry is implemented as a frozen-key dictionary with value mutation permitted only through explicit update methods. This design prevents accidental registry corruption while allowing legitimate lifecycle updates (e.g., marking a document as indexed after vector embedding is complete, or updating a document's validation status after re-validation).</w:t>
      </w:r>
    </w:p>
    <w:p>
      <w:pPr>
        <w:spacing w:after="80" w:before="80"/>
        <w:jc w:val="both"/>
      </w:pPr>
      <w:r>
        <w:rPr>
          <w:rFonts w:ascii="Arial" w:cs="Arial" w:eastAsia="Arial" w:hAnsi="Arial"/>
          <w:sz w:val="22"/>
          <w:szCs w:val="22"/>
        </w:rPr>
        <w:t xml:space="preserve">The Registry also maintains a collection index — a mapping from collection name to the set of document IDs belonging to that collection. This enables O(1) collection membership queries, which are critical for the retrieval intelligence layer's filtering operations.</w:t>
      </w:r>
    </w:p>
    <w:p>
      <w:pPr>
        <w:pStyle w:val="Heading2"/>
        <w:spacing w:after="120" w:before="320"/>
      </w:pPr>
      <w:r>
        <w:rPr>
          <w:rFonts w:ascii="Arial" w:cs="Arial" w:eastAsia="Arial" w:hAnsi="Arial"/>
          <w:b/>
          <w:bCs/>
          <w:color w:val="2E75B6"/>
          <w:sz w:val="28"/>
          <w:szCs w:val="28"/>
        </w:rPr>
        <w:t xml:space="preserve">4.4 Knowledge Documents</w:t>
      </w:r>
    </w:p>
    <w:p>
      <w:pPr>
        <w:spacing w:after="80" w:before="80"/>
        <w:jc w:val="both"/>
      </w:pPr>
      <w:r>
        <w:rPr>
          <w:rFonts w:ascii="Arial" w:cs="Arial" w:eastAsia="Arial" w:hAnsi="Arial"/>
          <w:sz w:val="22"/>
          <w:szCs w:val="22"/>
        </w:rPr>
        <w:t xml:space="preserve">The KnowledgeDocument dataclass is the fundamental unit of knowledge in the system. It is implemented as a frozen dataclass to ensure immutability after creation — a deliberate engineering decision that eliminates an entire class of bugs arising from accidental document mutation during retrieval pipelines. Documents carry the following fields:</w:t>
      </w:r>
    </w:p>
    <w:p>
      <w:pPr>
        <w:pStyle w:val="ListParagraph"/>
        <w:numPr>
          <w:ilvl w:val="0"/>
          <w:numId w:val="2"/>
        </w:numPr>
        <w:spacing w:after="40" w:before="40"/>
        <w:jc w:val="both"/>
      </w:pPr>
      <w:r>
        <w:rPr>
          <w:rFonts w:ascii="Arial" w:cs="Arial" w:eastAsia="Arial" w:hAnsi="Arial"/>
          <w:sz w:val="22"/>
          <w:szCs w:val="22"/>
        </w:rPr>
        <w:t xml:space="preserve">doc_id: A unique string identifier, generated deterministically from document content using a hash function.</w:t>
      </w:r>
    </w:p>
    <w:p>
      <w:pPr>
        <w:pStyle w:val="ListParagraph"/>
        <w:numPr>
          <w:ilvl w:val="0"/>
          <w:numId w:val="2"/>
        </w:numPr>
        <w:spacing w:after="40" w:before="40"/>
        <w:jc w:val="both"/>
      </w:pPr>
      <w:r>
        <w:rPr>
          <w:rFonts w:ascii="Arial" w:cs="Arial" w:eastAsia="Arial" w:hAnsi="Arial"/>
          <w:sz w:val="22"/>
          <w:szCs w:val="22"/>
        </w:rPr>
        <w:t xml:space="preserve">title: The document title, used in citation generation and executive briefing assembly.</w:t>
      </w:r>
    </w:p>
    <w:p>
      <w:pPr>
        <w:pStyle w:val="ListParagraph"/>
        <w:numPr>
          <w:ilvl w:val="0"/>
          <w:numId w:val="2"/>
        </w:numPr>
        <w:spacing w:after="40" w:before="40"/>
        <w:jc w:val="both"/>
      </w:pPr>
      <w:r>
        <w:rPr>
          <w:rFonts w:ascii="Arial" w:cs="Arial" w:eastAsia="Arial" w:hAnsi="Arial"/>
          <w:sz w:val="22"/>
          <w:szCs w:val="22"/>
        </w:rPr>
        <w:t xml:space="preserve">content: The full text content of the document, normalised to Unicode NFC.</w:t>
      </w:r>
    </w:p>
    <w:p>
      <w:pPr>
        <w:pStyle w:val="ListParagraph"/>
        <w:numPr>
          <w:ilvl w:val="0"/>
          <w:numId w:val="2"/>
        </w:numPr>
        <w:spacing w:after="40" w:before="40"/>
        <w:jc w:val="both"/>
      </w:pPr>
      <w:r>
        <w:rPr>
          <w:rFonts w:ascii="Arial" w:cs="Arial" w:eastAsia="Arial" w:hAnsi="Arial"/>
          <w:sz w:val="22"/>
          <w:szCs w:val="22"/>
        </w:rPr>
        <w:t xml:space="preserve">doc_type: An enumeration value drawn from the DocumentType enum (TECHNICAL_REPORT, MAINTENANCE_LOG, POLICY, SPECIFICATION, RESEARCH_PAPER, INCIDENT_REPORT, PROCEDURE, STANDARD).</w:t>
      </w:r>
    </w:p>
    <w:p>
      <w:pPr>
        <w:pStyle w:val="ListParagraph"/>
        <w:numPr>
          <w:ilvl w:val="0"/>
          <w:numId w:val="2"/>
        </w:numPr>
        <w:spacing w:after="40" w:before="40"/>
        <w:jc w:val="both"/>
      </w:pPr>
      <w:r>
        <w:rPr>
          <w:rFonts w:ascii="Arial" w:cs="Arial" w:eastAsia="Arial" w:hAnsi="Arial"/>
          <w:sz w:val="22"/>
          <w:szCs w:val="22"/>
        </w:rPr>
        <w:t xml:space="preserve">collection: The collection name to which this document belongs.</w:t>
      </w:r>
    </w:p>
    <w:p>
      <w:pPr>
        <w:pStyle w:val="ListParagraph"/>
        <w:numPr>
          <w:ilvl w:val="0"/>
          <w:numId w:val="2"/>
        </w:numPr>
        <w:spacing w:after="40" w:before="40"/>
        <w:jc w:val="both"/>
      </w:pPr>
      <w:r>
        <w:rPr>
          <w:rFonts w:ascii="Arial" w:cs="Arial" w:eastAsia="Arial" w:hAnsi="Arial"/>
          <w:sz w:val="22"/>
          <w:szCs w:val="22"/>
        </w:rPr>
        <w:t xml:space="preserve">metadata: A KnowledgeMetadata instance carrying extended attributes.</w:t>
      </w:r>
    </w:p>
    <w:p>
      <w:pPr>
        <w:pStyle w:val="ListParagraph"/>
        <w:numPr>
          <w:ilvl w:val="0"/>
          <w:numId w:val="2"/>
        </w:numPr>
        <w:spacing w:after="40" w:before="40"/>
        <w:jc w:val="both"/>
      </w:pPr>
      <w:r>
        <w:rPr>
          <w:rFonts w:ascii="Arial" w:cs="Arial" w:eastAsia="Arial" w:hAnsi="Arial"/>
          <w:sz w:val="22"/>
          <w:szCs w:val="22"/>
        </w:rPr>
        <w:t xml:space="preserve">tags: An immutable tuple of string tags supporting keyword-based retrieval.</w:t>
      </w:r>
    </w:p>
    <w:p>
      <w:pPr>
        <w:pStyle w:val="ListParagraph"/>
        <w:numPr>
          <w:ilvl w:val="0"/>
          <w:numId w:val="2"/>
        </w:numPr>
        <w:spacing w:after="40" w:before="40"/>
        <w:jc w:val="both"/>
      </w:pPr>
      <w:r>
        <w:rPr>
          <w:rFonts w:ascii="Arial" w:cs="Arial" w:eastAsia="Arial" w:hAnsi="Arial"/>
          <w:sz w:val="22"/>
          <w:szCs w:val="22"/>
        </w:rPr>
        <w:t xml:space="preserve">created_at: ISO 8601 timestamp of document creation.</w:t>
      </w:r>
    </w:p>
    <w:p>
      <w:pPr>
        <w:pStyle w:val="ListParagraph"/>
        <w:numPr>
          <w:ilvl w:val="0"/>
          <w:numId w:val="2"/>
        </w:numPr>
        <w:spacing w:after="40" w:before="40"/>
        <w:jc w:val="both"/>
      </w:pPr>
      <w:r>
        <w:rPr>
          <w:rFonts w:ascii="Arial" w:cs="Arial" w:eastAsia="Arial" w:hAnsi="Arial"/>
          <w:sz w:val="22"/>
          <w:szCs w:val="22"/>
        </w:rPr>
        <w:t xml:space="preserve">updated_at: ISO 8601 timestamp of last update.</w:t>
      </w:r>
    </w:p>
    <w:p>
      <w:pPr>
        <w:pStyle w:val="ListParagraph"/>
        <w:numPr>
          <w:ilvl w:val="0"/>
          <w:numId w:val="2"/>
        </w:numPr>
        <w:spacing w:after="40" w:before="40"/>
        <w:jc w:val="both"/>
      </w:pPr>
      <w:r>
        <w:rPr>
          <w:rFonts w:ascii="Arial" w:cs="Arial" w:eastAsia="Arial" w:hAnsi="Arial"/>
          <w:sz w:val="22"/>
          <w:szCs w:val="22"/>
        </w:rPr>
        <w:t xml:space="preserve">version: Document version string for change tracking.</w:t>
      </w:r>
    </w:p>
    <w:p>
      <w:pPr>
        <w:spacing w:after="80" w:before="80"/>
        <w:jc w:val="both"/>
      </w:pPr>
      <w:r>
        <w:rPr>
          <w:rFonts w:ascii="Arial" w:cs="Arial" w:eastAsia="Arial" w:hAnsi="Arial"/>
          <w:sz w:val="22"/>
          <w:szCs w:val="22"/>
        </w:rPr>
        <w:t xml:space="preserve">Because KnowledgeDocument is frozen, the retrieval pipeline can safely pass document references across thread boundaries (in a concurrent implementation) without synchronisation overhead. The immutability guarantee also means that cached retrieval results remain valid indefinitely — a document reference cannot be silently mutated to invalidate a cached result.</w:t>
      </w:r>
    </w:p>
    <w:p>
      <w:pPr>
        <w:pStyle w:val="Heading2"/>
        <w:spacing w:after="120" w:before="320"/>
      </w:pPr>
      <w:r>
        <w:rPr>
          <w:rFonts w:ascii="Arial" w:cs="Arial" w:eastAsia="Arial" w:hAnsi="Arial"/>
          <w:b/>
          <w:bCs/>
          <w:color w:val="2E75B6"/>
          <w:sz w:val="28"/>
          <w:szCs w:val="28"/>
        </w:rPr>
        <w:t xml:space="preserve">4.5 Metadata Management</w:t>
      </w:r>
    </w:p>
    <w:p>
      <w:pPr>
        <w:spacing w:after="80" w:before="80"/>
        <w:jc w:val="both"/>
      </w:pPr>
      <w:r>
        <w:rPr>
          <w:rFonts w:ascii="Arial" w:cs="Arial" w:eastAsia="Arial" w:hAnsi="Arial"/>
          <w:sz w:val="22"/>
          <w:szCs w:val="22"/>
        </w:rPr>
        <w:t xml:space="preserve">The KnowledgeMetadata dataclass carries extended document attributes that are not part of the core document schema but are required for retrieval ranking, filtering, and citation generation. Metadata fields include: author (document author or authoring team), source (originating system, database, or team), domain (functional domain such as mechanical, electrical, regulatory, or operational), priority (an integer score between 1 and 10 representing document authority), language (ISO 639-1 language code), word_count (pre-computed at ingestion time), page_count (where applicable), document_url (optional URI for external reference), and custom_fields (a dictionary of domain-specific attributes not covered by the standard schema).</w:t>
      </w:r>
    </w:p>
    <w:p>
      <w:pPr>
        <w:spacing w:after="80" w:before="80"/>
        <w:jc w:val="both"/>
      </w:pPr>
      <w:r>
        <w:rPr>
          <w:rFonts w:ascii="Arial" w:cs="Arial" w:eastAsia="Arial" w:hAnsi="Arial"/>
          <w:sz w:val="22"/>
          <w:szCs w:val="22"/>
        </w:rPr>
        <w:t xml:space="preserve">Metadata is used in three distinct ways by higher-level components. The Retrieval Intelligence Layer uses domain and priority for filtering and ranking. The Knowledge Agent uses source and author for citation generation. The Executive Copilot uses priority and domain for insight and recommendation prioritisation. By centralising metadata management in a dedicated subsystem, the platform avoids the fragmentation that occurs when metadata is stored ad hoc in free-form dictionaries.</w:t>
      </w:r>
    </w:p>
    <w:p>
      <w:pPr>
        <w:pStyle w:val="Heading2"/>
        <w:spacing w:after="120" w:before="320"/>
      </w:pPr>
      <w:r>
        <w:rPr>
          <w:rFonts w:ascii="Arial" w:cs="Arial" w:eastAsia="Arial" w:hAnsi="Arial"/>
          <w:b/>
          <w:bCs/>
          <w:color w:val="2E75B6"/>
          <w:sz w:val="28"/>
          <w:szCs w:val="28"/>
        </w:rPr>
        <w:t xml:space="preserve">4.6 Collections</w:t>
      </w:r>
    </w:p>
    <w:p>
      <w:pPr>
        <w:spacing w:after="80" w:before="80"/>
        <w:jc w:val="both"/>
      </w:pPr>
      <w:r>
        <w:rPr>
          <w:rFonts w:ascii="Arial" w:cs="Arial" w:eastAsia="Arial" w:hAnsi="Arial"/>
          <w:sz w:val="22"/>
          <w:szCs w:val="22"/>
        </w:rPr>
        <w:t xml:space="preserve">Collections are named groupings of documents that partition the knowledge corpus along organisational or functional lines. A collection might represent a product line (turbine models, compressor types), an organisational unit (maintenance department, engineering team), a document type category (safety procedures, regulatory submissions), or a temporal cohort (Q3 maintenance reports, 2023 incident analyses).</w:t>
      </w:r>
    </w:p>
    <w:p>
      <w:pPr>
        <w:spacing w:after="80" w:before="80"/>
        <w:jc w:val="both"/>
      </w:pPr>
      <w:r>
        <w:rPr>
          <w:rFonts w:ascii="Arial" w:cs="Arial" w:eastAsia="Arial" w:hAnsi="Arial"/>
          <w:sz w:val="22"/>
          <w:szCs w:val="22"/>
        </w:rPr>
        <w:t xml:space="preserve">Collections serve two architectural purposes. First, they support scoped retrieval — the retrieval intelligence layer can restrict candidate generation to one or more named collections, dramatically reducing the search space when the query context implies a known domain boundary. Second, they enable access control — in a production deployment, collection membership can be mapped to role-based access control policies, ensuring that executives only query documents their role authorises them to access.</w:t>
      </w:r>
    </w:p>
    <w:p>
      <w:pPr>
        <w:spacing w:after="80" w:before="80"/>
        <w:jc w:val="both"/>
      </w:pPr>
      <w:r>
        <w:rPr>
          <w:rFonts w:ascii="Arial" w:cs="Arial" w:eastAsia="Arial" w:hAnsi="Arial"/>
          <w:sz w:val="22"/>
          <w:szCs w:val="22"/>
        </w:rPr>
        <w:t xml:space="preserve">Collections do not impose a hierarchical structure — a document belongs to exactly one collection, and collections are flat. This design choice was deliberate: hierarchical collections introduce complexity in membership computation and retrieval scope definition without commensurate benefit for the current use cases. Future roadmap items include collection hierarchies for large-scale enterprise deployments.</w:t>
      </w:r>
    </w:p>
    <w:p>
      <w:pPr>
        <w:pStyle w:val="Heading2"/>
        <w:spacing w:after="120" w:before="320"/>
      </w:pPr>
      <w:r>
        <w:rPr>
          <w:rFonts w:ascii="Arial" w:cs="Arial" w:eastAsia="Arial" w:hAnsi="Arial"/>
          <w:b/>
          <w:bCs/>
          <w:color w:val="2E75B6"/>
          <w:sz w:val="28"/>
          <w:szCs w:val="28"/>
        </w:rPr>
        <w:t xml:space="preserve">4.7 Search</w:t>
      </w:r>
    </w:p>
    <w:p>
      <w:pPr>
        <w:spacing w:after="80" w:before="80"/>
        <w:jc w:val="both"/>
      </w:pPr>
      <w:r>
        <w:rPr>
          <w:rFonts w:ascii="Arial" w:cs="Arial" w:eastAsia="Arial" w:hAnsi="Arial"/>
          <w:sz w:val="22"/>
          <w:szCs w:val="22"/>
        </w:rPr>
        <w:t xml:space="preserve">The Knowledge Base exposes a lightweight keyword search interface that operates independently of the Vector Search Engine. This interface supports exact-match title search, tag-based filtering, metadata field filtering, full-text keyword matching over document content using inverted index lookups, and combined filter chains. The keyword search interface is used by the Retrieval Intelligence Layer as one of the two primary retrieval signals (the other being semantic vector search), and by administrative tooling for corpus inspection and quality auditing.</w:t>
      </w:r>
    </w:p>
    <w:p>
      <w:pPr>
        <w:spacing w:after="80" w:before="80"/>
        <w:jc w:val="both"/>
      </w:pPr>
      <w:r>
        <w:rPr>
          <w:rFonts w:ascii="Arial" w:cs="Arial" w:eastAsia="Arial" w:hAnsi="Arial"/>
          <w:sz w:val="22"/>
          <w:szCs w:val="22"/>
        </w:rPr>
        <w:t xml:space="preserve">The keyword search implementation uses a pre-built inverted index over document content and tags, maintained in memory and updated incrementally as new documents are ingested. The inverted index maps normalised term strings to the set of document IDs containing that term, enabling O(|results|) term lookup regardless of corpus size. For multi-term queries, the interface computes the intersection or union of per-term result sets depending on the configured search mode (AND / OR).</w:t>
      </w:r>
    </w:p>
    <w:p>
      <w:pPr>
        <w:pStyle w:val="Heading2"/>
        <w:spacing w:after="120" w:before="320"/>
      </w:pPr>
      <w:r>
        <w:rPr>
          <w:rFonts w:ascii="Arial" w:cs="Arial" w:eastAsia="Arial" w:hAnsi="Arial"/>
          <w:b/>
          <w:bCs/>
          <w:color w:val="2E75B6"/>
          <w:sz w:val="28"/>
          <w:szCs w:val="28"/>
        </w:rPr>
        <w:t xml:space="preserve">4.8 Statistics</w:t>
      </w:r>
    </w:p>
    <w:p>
      <w:pPr>
        <w:spacing w:after="80" w:before="80"/>
        <w:jc w:val="both"/>
      </w:pPr>
      <w:r>
        <w:rPr>
          <w:rFonts w:ascii="Arial" w:cs="Arial" w:eastAsia="Arial" w:hAnsi="Arial"/>
          <w:sz w:val="22"/>
          <w:szCs w:val="22"/>
        </w:rPr>
        <w:t xml:space="preserve">The KnowledgeStatistics subsystem computes and maintains corpus-level metrics required by the Retrieval Intelligence Layer for score normalisation and by the Executive Copilot for limitation disclosure. Statistics include: total document count, document count by collection, document count by type, document count by domain, average document length (in words and tokens), vocabulary size (number of unique terms across the corpus), temporal coverage (date range of document creation timestamps), and collection balance (distribution of documents across collections).</w:t>
      </w:r>
    </w:p>
    <w:p>
      <w:pPr>
        <w:spacing w:after="80" w:before="80"/>
        <w:jc w:val="both"/>
      </w:pPr>
      <w:r>
        <w:rPr>
          <w:rFonts w:ascii="Arial" w:cs="Arial" w:eastAsia="Arial" w:hAnsi="Arial"/>
          <w:sz w:val="22"/>
          <w:szCs w:val="22"/>
        </w:rPr>
        <w:t xml:space="preserve">Statistics are computed lazily — they are not recomputed on every document ingestion, but rather marked as stale and recomputed on the next request. For corpora with high ingestion rates, statistics can be configured to update in batch mode (recomputed after every N ingestions) or on a scheduled interval.</w:t>
      </w:r>
    </w:p>
    <w:p>
      <w:pPr>
        <w:pStyle w:val="Heading2"/>
        <w:spacing w:after="120" w:before="320"/>
      </w:pPr>
      <w:r>
        <w:rPr>
          <w:rFonts w:ascii="Arial" w:cs="Arial" w:eastAsia="Arial" w:hAnsi="Arial"/>
          <w:b/>
          <w:bCs/>
          <w:color w:val="2E75B6"/>
          <w:sz w:val="28"/>
          <w:szCs w:val="28"/>
        </w:rPr>
        <w:t xml:space="preserve">4.9 Validation</w:t>
      </w:r>
    </w:p>
    <w:p>
      <w:pPr>
        <w:spacing w:after="80" w:before="80"/>
        <w:jc w:val="both"/>
      </w:pPr>
      <w:r>
        <w:rPr>
          <w:rFonts w:ascii="Arial" w:cs="Arial" w:eastAsia="Arial" w:hAnsi="Arial"/>
          <w:sz w:val="22"/>
          <w:szCs w:val="22"/>
        </w:rPr>
        <w:t xml:space="preserve">The Validation subsystem enforces document quality constraints at ingestion time. Validation rules are configurable and fall into three categories: structural constraints (required fields must be present, field types must match schema, string lengths must be within bounds), semantic constraints (titles must not be empty or contain only whitespace, content must exceed a configurable minimum length, document types must map to registered enum values), and corpus-level constraints (duplicate document IDs are rejected, documents with identical content hashes are flagged for review).</w:t>
      </w:r>
    </w:p>
    <w:p>
      <w:pPr>
        <w:spacing w:after="80" w:before="80"/>
        <w:jc w:val="both"/>
      </w:pPr>
      <w:r>
        <w:rPr>
          <w:rFonts w:ascii="Arial" w:cs="Arial" w:eastAsia="Arial" w:hAnsi="Arial"/>
          <w:sz w:val="22"/>
          <w:szCs w:val="22"/>
        </w:rPr>
        <w:t xml:space="preserve">Validation failures produce structured ValidationResult objects rather than exceptions. Each ValidationResult carries a severity level (ERROR, WARNING, or INFO), a human-readable message, the failing field name, and the observed value. This design allows the ingestion pipeline to accumulate all validation issues before deciding whether to accept or reject the document, rather than failing on the first error encountered.</w:t>
      </w:r>
    </w:p>
    <w:p>
      <w:pPr>
        <w:spacing w:after="80" w:before="80"/>
        <w:jc w:val="both"/>
      </w:pPr>
      <w:r>
        <w:rPr>
          <w:rFonts w:ascii="Arial" w:cs="Arial" w:eastAsia="Arial" w:hAnsi="Arial"/>
          <w:sz w:val="22"/>
          <w:szCs w:val="22"/>
        </w:rPr>
        <w:t xml:space="preserve">Validation is enforced at two points: at ingestion time (mandatory, cannot be bypassed), and on-demand as part of corpus quality auditing (voluntary, typically scheduled). Documents that pass validation are marked as VALIDATED in the Registry. Documents with WARNING-level issues are marked VALIDATED_WITH_WARNINGS and accepted into the corpus but flagged for human review. Documents with ERROR-level issues are rejected and not added to the corpus.</w:t>
      </w:r>
    </w:p>
    <w:p>
      <w:pPr>
        <w:pStyle w:val="Heading2"/>
        <w:spacing w:after="120" w:before="320"/>
      </w:pPr>
      <w:r>
        <w:rPr>
          <w:rFonts w:ascii="Arial" w:cs="Arial" w:eastAsia="Arial" w:hAnsi="Arial"/>
          <w:b/>
          <w:bCs/>
          <w:color w:val="2E75B6"/>
          <w:sz w:val="28"/>
          <w:szCs w:val="28"/>
        </w:rPr>
        <w:t xml:space="preserve">4.10 Serialisation</w:t>
      </w:r>
    </w:p>
    <w:p>
      <w:pPr>
        <w:spacing w:after="80" w:before="80"/>
        <w:jc w:val="both"/>
      </w:pPr>
      <w:r>
        <w:rPr>
          <w:rFonts w:ascii="Arial" w:cs="Arial" w:eastAsia="Arial" w:hAnsi="Arial"/>
          <w:sz w:val="22"/>
          <w:szCs w:val="22"/>
        </w:rPr>
        <w:t xml:space="preserve">The entire Knowledge Layer is serialisable to and from JSON using a consistent, versioned serialisation protocol. Serialisation covers the complete document graph: documents, metadata, collection assignments, registry entries, and corpus statistics. The serialised format is self-describing — it includes a schema version field that allows future deserialisation code to apply appropriate migration logic when loading corpora serialised by older versions of the platform.</w:t>
      </w:r>
    </w:p>
    <w:p>
      <w:pPr>
        <w:spacing w:after="80" w:before="80"/>
        <w:jc w:val="both"/>
      </w:pPr>
      <w:r>
        <w:rPr>
          <w:rFonts w:ascii="Arial" w:cs="Arial" w:eastAsia="Arial" w:hAnsi="Arial"/>
          <w:sz w:val="22"/>
          <w:szCs w:val="22"/>
        </w:rPr>
        <w:t xml:space="preserve">All dataclass fields are serialised using a recursive serialisation function that handles Python primitives, enumerations (serialised as their string name), datetime objects (serialised as ISO 8601 strings), tuples (serialised as JSON arrays), and nested dataclasses (serialised recursively). Deserialisation reverses this mapping, reconstructing frozen dataclasses from the JSON representation.</w:t>
      </w:r>
    </w:p>
    <w:p>
      <w:pPr>
        <w:pStyle w:val="Heading2"/>
        <w:spacing w:after="120" w:before="320"/>
      </w:pPr>
      <w:r>
        <w:rPr>
          <w:rFonts w:ascii="Arial" w:cs="Arial" w:eastAsia="Arial" w:hAnsi="Arial"/>
          <w:b/>
          <w:bCs/>
          <w:color w:val="2E75B6"/>
          <w:sz w:val="28"/>
          <w:szCs w:val="28"/>
        </w:rPr>
        <w:t xml:space="preserve">4.11 Engineering Decisions</w:t>
      </w:r>
    </w:p>
    <w:p>
      <w:pPr>
        <w:spacing w:after="80" w:before="80"/>
        <w:jc w:val="both"/>
      </w:pPr>
      <w:r>
        <w:rPr>
          <w:rFonts w:ascii="Arial" w:cs="Arial" w:eastAsia="Arial" w:hAnsi="Arial"/>
          <w:sz w:val="22"/>
          <w:szCs w:val="22"/>
        </w:rPr>
        <w:t xml:space="preserve">Four engineering decisions deserve explicit justification at the knowledge layer level. First, the decision to use frozen dataclasses for KnowledgeDocument and KnowledgeMetadata: this was chosen over mutable dataclasses or plain dictionaries because immutability eliminates mutation-related bugs in the retrieval pipeline and enables safe object sharing across the system without defensive copying. The performance cost of immutability (the inability to update fields in place) is acceptable because documents are write-once, read-many objects in the knowledge system.</w:t>
      </w:r>
    </w:p>
    <w:p>
      <w:pPr>
        <w:spacing w:after="80" w:before="80"/>
        <w:jc w:val="both"/>
      </w:pPr>
      <w:r>
        <w:rPr>
          <w:rFonts w:ascii="Arial" w:cs="Arial" w:eastAsia="Arial" w:hAnsi="Arial"/>
          <w:sz w:val="22"/>
          <w:szCs w:val="22"/>
        </w:rPr>
        <w:t xml:space="preserve">Second, the decision to separate the keyword search index from the Vector Search Engine: this was chosen because keyword and semantic search have fundamentally different index structures, update patterns, and query semantics. Combining them in a single subsystem would create coupling that makes independent optimisation, testing, and replacement difficult. The Retrieval Intelligence Layer handles fusion of both signals.</w:t>
      </w:r>
    </w:p>
    <w:p>
      <w:pPr>
        <w:spacing w:after="80" w:before="80"/>
        <w:jc w:val="both"/>
      </w:pPr>
      <w:r>
        <w:rPr>
          <w:rFonts w:ascii="Arial" w:cs="Arial" w:eastAsia="Arial" w:hAnsi="Arial"/>
          <w:sz w:val="22"/>
          <w:szCs w:val="22"/>
        </w:rPr>
        <w:t xml:space="preserve">Third, the decision to implement validation as a subsystem rather than inline field validation: this was chosen because validation rules evolve over time as the corpus grows and quality requirements become better understood. Centralised validation makes it straightforward to add, modify, or remove rules without touching document schemas or ingestion logic.</w:t>
      </w:r>
    </w:p>
    <w:p>
      <w:pPr>
        <w:spacing w:after="80" w:before="80"/>
        <w:jc w:val="both"/>
      </w:pPr>
      <w:r>
        <w:rPr>
          <w:rFonts w:ascii="Arial" w:cs="Arial" w:eastAsia="Arial" w:hAnsi="Arial"/>
          <w:sz w:val="22"/>
          <w:szCs w:val="22"/>
        </w:rPr>
        <w:t xml:space="preserve">Fourth, the decision to defer persistence to a separate serialisation subsystem: this was chosen to support multiple persistence backends without modifying the core Knowledge Base. The current JSON implementation is suitable for development and small-scale production. Future iterations can introduce a SQLite backend, a PostgreSQL adapter, or an Elasticsearch integration without modifying any Knowledge Base code.</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5. Vector Search Engine</w:t>
      </w:r>
    </w:p>
    <w:p>
      <w:pPr>
        <w:pStyle w:val="Heading2"/>
        <w:spacing w:after="120" w:before="320"/>
      </w:pPr>
      <w:r>
        <w:rPr>
          <w:rFonts w:ascii="Arial" w:cs="Arial" w:eastAsia="Arial" w:hAnsi="Arial"/>
          <w:b/>
          <w:bCs/>
          <w:color w:val="2E75B6"/>
          <w:sz w:val="28"/>
          <w:szCs w:val="28"/>
        </w:rPr>
        <w:t xml:space="preserve">5.1 Overview</w:t>
      </w:r>
    </w:p>
    <w:p>
      <w:pPr>
        <w:spacing w:after="80" w:before="80"/>
        <w:jc w:val="both"/>
      </w:pPr>
      <w:r>
        <w:rPr>
          <w:rFonts w:ascii="Arial" w:cs="Arial" w:eastAsia="Arial" w:hAnsi="Arial"/>
          <w:sz w:val="22"/>
          <w:szCs w:val="22"/>
        </w:rPr>
        <w:t xml:space="preserve">The Vector Search Engine (Phase 2) transforms the Knowledge Base from a document store into a semantic retrieval system. It implements the complete pipeline from raw document text to ranked similarity search results: feature extraction, vector generation, index construction, similarity computation, and hybrid search. The implementation uses NumPy as its only external dependency, ensuring that the entire computation graph is transparent, deterministic, and numerically reproducible.</w:t>
      </w:r>
    </w:p>
    <w:p>
      <w:pPr>
        <w:pStyle w:val="Heading2"/>
        <w:spacing w:after="120" w:before="320"/>
      </w:pPr>
      <w:r>
        <w:rPr>
          <w:rFonts w:ascii="Arial" w:cs="Arial" w:eastAsia="Arial" w:hAnsi="Arial"/>
          <w:b/>
          <w:bCs/>
          <w:color w:val="2E75B6"/>
          <w:sz w:val="28"/>
          <w:szCs w:val="28"/>
        </w:rPr>
        <w:t xml:space="preserve">5.2 Embedding Engine</w:t>
      </w:r>
    </w:p>
    <w:p>
      <w:pPr>
        <w:spacing w:after="80" w:before="80"/>
        <w:jc w:val="both"/>
      </w:pPr>
      <w:r>
        <w:rPr>
          <w:rFonts w:ascii="Arial" w:cs="Arial" w:eastAsia="Arial" w:hAnsi="Arial"/>
          <w:sz w:val="22"/>
          <w:szCs w:val="22"/>
        </w:rPr>
        <w:t xml:space="preserve">The EmbeddingEngine class is the primary interface for converting text to dense vector representations. It encapsulates the feature hashing and linear projection pipeline, maintains the vocabulary map, and provides both single-document and batch-document embedding operations. The engine is stateful — it maintains a learned vocabulary and projection matrix — but its computations are deterministic given fixed inputs and a fixed random seed for the projection matrix initialisation.</w:t>
      </w:r>
    </w:p>
    <w:p>
      <w:pPr>
        <w:spacing w:after="80" w:before="80"/>
        <w:jc w:val="both"/>
      </w:pPr>
      <w:r>
        <w:rPr>
          <w:rFonts w:ascii="Arial" w:cs="Arial" w:eastAsia="Arial" w:hAnsi="Arial"/>
          <w:sz w:val="22"/>
          <w:szCs w:val="22"/>
        </w:rPr>
        <w:t xml:space="preserve">The embedding engine operates in two modes: training mode, in which the vocabulary is built from a document corpus and the projection matrix is initialised; and inference mode, in which new documents are embedded using the fixed vocabulary and projection matrix. This distinction matters for enterprise deployments where the index is built offline and then served in production: the engine can be serialised in trained mode and loaded in inference-only mode without re-training.</w:t>
      </w:r>
    </w:p>
    <w:p>
      <w:pPr>
        <w:pStyle w:val="Heading2"/>
        <w:spacing w:after="120" w:before="320"/>
      </w:pPr>
      <w:r>
        <w:rPr>
          <w:rFonts w:ascii="Arial" w:cs="Arial" w:eastAsia="Arial" w:hAnsi="Arial"/>
          <w:b/>
          <w:bCs/>
          <w:color w:val="2E75B6"/>
          <w:sz w:val="28"/>
          <w:szCs w:val="28"/>
        </w:rPr>
        <w:t xml:space="preserve">5.3 Feature Hashing</w:t>
      </w:r>
    </w:p>
    <w:p>
      <w:pPr>
        <w:spacing w:after="80" w:before="80"/>
        <w:jc w:val="both"/>
      </w:pPr>
      <w:r>
        <w:rPr>
          <w:rFonts w:ascii="Arial" w:cs="Arial" w:eastAsia="Arial" w:hAnsi="Arial"/>
          <w:sz w:val="22"/>
          <w:szCs w:val="22"/>
        </w:rPr>
        <w:t xml:space="preserve">Feature hashing (also known as the hashing trick) is the mechanism by which document text is transformed into a fixed-size term frequency vector without requiring a pre-built vocabulary. The implementation uses MurmurHash-3, a non-cryptographic hash function chosen for its speed, low collision rate, and avalanche properties. Each term in the document is hashed to a bucket index in the range [0, HASH_BUCKETS), and the corresponding bucket is incremented by the term's TF-IDF-weighted count.</w:t>
      </w:r>
    </w:p>
    <w:p>
      <w:pPr>
        <w:spacing w:after="80" w:before="80"/>
        <w:jc w:val="both"/>
      </w:pPr>
      <w:r>
        <w:rPr>
          <w:rFonts w:ascii="Arial" w:cs="Arial" w:eastAsia="Arial" w:hAnsi="Arial"/>
          <w:sz w:val="22"/>
          <w:szCs w:val="22"/>
        </w:rPr>
        <w:t xml:space="preserve">The hash bucket count is a critical hyperparameter. Too few buckets increases collision rate, causing semantically unrelated terms to share a bucket and degrading retrieval precision. Too many buckets increases memory consumption and slows dot-product computation during similarity search. The default configuration uses 16,384 buckets, which provides an empirically acceptable collision rate for technical corpora of up to 100,000 documents while remaining computationally tractable on commodity hardware.</w:t>
      </w:r>
    </w:p>
    <w:p>
      <w:pPr>
        <w:spacing w:after="80" w:before="80"/>
        <w:jc w:val="both"/>
      </w:pPr>
      <w:r>
        <w:rPr>
          <w:rFonts w:ascii="Arial" w:cs="Arial" w:eastAsia="Arial" w:hAnsi="Arial"/>
          <w:sz w:val="22"/>
          <w:szCs w:val="22"/>
        </w:rPr>
        <w:t xml:space="preserve">Feature hashing is applied after text normalisation: lowercasing, Unicode NFC normalisation, removal of punctuation except within technical identifiers (model numbers, part codes), and stopword filtering. The stopword list is domain-configurable — an aviation maintenance corpus requires different stopwords than a financial regulatory corpus.</w:t>
      </w:r>
    </w:p>
    <w:p>
      <w:pPr>
        <w:pStyle w:val="Heading2"/>
        <w:spacing w:after="120" w:before="320"/>
      </w:pPr>
      <w:r>
        <w:rPr>
          <w:rFonts w:ascii="Arial" w:cs="Arial" w:eastAsia="Arial" w:hAnsi="Arial"/>
          <w:b/>
          <w:bCs/>
          <w:color w:val="2E75B6"/>
          <w:sz w:val="28"/>
          <w:szCs w:val="28"/>
        </w:rPr>
        <w:t xml:space="preserve">5.4 Vector Generation</w:t>
      </w:r>
    </w:p>
    <w:p>
      <w:pPr>
        <w:spacing w:after="80" w:before="80"/>
        <w:jc w:val="both"/>
      </w:pPr>
      <w:r>
        <w:rPr>
          <w:rFonts w:ascii="Arial" w:cs="Arial" w:eastAsia="Arial" w:hAnsi="Arial"/>
          <w:sz w:val="22"/>
          <w:szCs w:val="22"/>
        </w:rPr>
        <w:t xml:space="preserve">After feature hashing produces a sparse term frequency vector, a linear projection reduces the representation to a dense vector of the configured embedding dimension (default: 128 dimensions). The projection matrix W is a randomly initialised matrix of shape (HASH_BUCKETS, EMBEDDING_DIM), with entries drawn from a Gaussian distribution N(0, 1/sqrt(EMBEDDING_DIM)) to preserve the expected norm of the projected vector.</w:t>
      </w:r>
    </w:p>
    <w:p>
      <w:pPr>
        <w:spacing w:after="80" w:before="80"/>
        <w:jc w:val="both"/>
      </w:pPr>
      <w:r>
        <w:rPr>
          <w:rFonts w:ascii="Arial" w:cs="Arial" w:eastAsia="Arial" w:hAnsi="Arial"/>
          <w:sz w:val="22"/>
          <w:szCs w:val="22"/>
        </w:rPr>
        <w:t xml:space="preserve">The projection is computed as: v = W^T * x_sparse, where x_sparse is the L1-normalised sparse feature vector and v is the resulting dense embedding. This is equivalent to the first layer of a sparse-to-dense neural projection, but implemented without a neural network framework — the projection matrix is fixed after initialisation rather than trained via gradient descent.</w:t>
      </w:r>
    </w:p>
    <w:p>
      <w:pPr>
        <w:spacing w:after="80" w:before="80"/>
        <w:jc w:val="both"/>
      </w:pPr>
      <w:r>
        <w:rPr>
          <w:rFonts w:ascii="Arial" w:cs="Arial" w:eastAsia="Arial" w:hAnsi="Arial"/>
          <w:sz w:val="22"/>
          <w:szCs w:val="22"/>
        </w:rPr>
        <w:t xml:space="preserve">This design choice (fixed random projection rather than trained embeddings) is deliberate. Trained embeddings require a large corpus of in-domain text and a computational budget for training. Fixed random projections provide a reasonable semantic approximation for retrieval purposes, are fully deterministic given a fixed seed, and can be replaced with trained embeddings in a future iteration without changing any other component of the retrieval pipeline.</w:t>
      </w:r>
    </w:p>
    <w:p>
      <w:pPr>
        <w:pStyle w:val="Heading2"/>
        <w:spacing w:after="120" w:before="320"/>
      </w:pPr>
      <w:r>
        <w:rPr>
          <w:rFonts w:ascii="Arial" w:cs="Arial" w:eastAsia="Arial" w:hAnsi="Arial"/>
          <w:b/>
          <w:bCs/>
          <w:color w:val="2E75B6"/>
          <w:sz w:val="28"/>
          <w:szCs w:val="28"/>
        </w:rPr>
        <w:t xml:space="preserve">5.5 Vector Index</w:t>
      </w:r>
    </w:p>
    <w:p>
      <w:pPr>
        <w:spacing w:after="80" w:before="80"/>
        <w:jc w:val="both"/>
      </w:pPr>
      <w:r>
        <w:rPr>
          <w:rFonts w:ascii="Arial" w:cs="Arial" w:eastAsia="Arial" w:hAnsi="Arial"/>
          <w:sz w:val="22"/>
          <w:szCs w:val="22"/>
        </w:rPr>
        <w:t xml:space="preserve">The VectorIndex class maintains the collection of document embedding vectors and provides approximate nearest-neighbour (ANN) search over them. The index stores embeddings as a matrix of shape (N_DOCS, EMBEDDING_DIM) in a contiguous NumPy array, enabling vectorised batch similarity computation using BLAS-accelerated matrix multiplication.</w:t>
      </w:r>
    </w:p>
    <w:p>
      <w:pPr>
        <w:spacing w:after="80" w:before="80"/>
        <w:jc w:val="both"/>
      </w:pPr>
      <w:r>
        <w:rPr>
          <w:rFonts w:ascii="Arial" w:cs="Arial" w:eastAsia="Arial" w:hAnsi="Arial"/>
          <w:sz w:val="22"/>
          <w:szCs w:val="22"/>
        </w:rPr>
        <w:t xml:space="preserve">The index supports two primary operations: add (inserting a new document embedding and its associated document ID) and search (retrieving the K most similar documents to a query embedding). The add operation extends the matrix and updates the document ID mapping. The search operation computes pairwise cosine similarities between the query vector and all indexed vectors using a single matrix-vector product, then selects the top-K results by partial sort.</w:t>
      </w:r>
    </w:p>
    <w:p>
      <w:pPr>
        <w:spacing w:after="80" w:before="80"/>
        <w:jc w:val="both"/>
      </w:pPr>
      <w:r>
        <w:rPr>
          <w:rFonts w:ascii="Arial" w:cs="Arial" w:eastAsia="Arial" w:hAnsi="Arial"/>
          <w:sz w:val="22"/>
          <w:szCs w:val="22"/>
        </w:rPr>
        <w:t xml:space="preserve">For corpora up to approximately 50,000 documents with 128-dimensional embeddings, the brute-force matrix-vector product approach is computationally tractable (the operation takes approximately 2-5 milliseconds on a modern CPU for a 50K corpus). For larger corpora, the index can be replaced with an HNSW (Hierarchical Navigable Small World) or IVFPQ (Inverted File with Product Quantisation) index without modifying the VectorIndex interface.</w:t>
      </w:r>
    </w:p>
    <w:p>
      <w:pPr>
        <w:pStyle w:val="Heading2"/>
        <w:spacing w:after="120" w:before="320"/>
      </w:pPr>
      <w:r>
        <w:rPr>
          <w:rFonts w:ascii="Arial" w:cs="Arial" w:eastAsia="Arial" w:hAnsi="Arial"/>
          <w:b/>
          <w:bCs/>
          <w:color w:val="2E75B6"/>
          <w:sz w:val="28"/>
          <w:szCs w:val="28"/>
        </w:rPr>
        <w:t xml:space="preserve">5.6 Similarity Metrics</w:t>
      </w:r>
    </w:p>
    <w:p>
      <w:pPr>
        <w:spacing w:after="80" w:before="80"/>
        <w:jc w:val="both"/>
      </w:pPr>
      <w:r>
        <w:rPr>
          <w:rFonts w:ascii="Arial" w:cs="Arial" w:eastAsia="Arial" w:hAnsi="Arial"/>
          <w:sz w:val="22"/>
          <w:szCs w:val="22"/>
        </w:rPr>
        <w:t xml:space="preserve">The engine implements three similarity metrics: cosine similarity, Euclidean distance, and dot product similarity. Each metric has distinct properties that make it appropriate for different retrieval scenarios.</w:t>
      </w:r>
    </w:p>
    <w:p>
      <w:pPr>
        <w:spacing w:after="80" w:before="80"/>
        <w:jc w:val="both"/>
      </w:pPr>
      <w:r>
        <w:rPr>
          <w:rFonts w:ascii="Arial" w:cs="Arial" w:eastAsia="Arial" w:hAnsi="Arial"/>
          <w:sz w:val="22"/>
          <w:szCs w:val="22"/>
        </w:rPr>
        <w:t xml:space="preserve">Cosine similarity measures the angle between two vectors, ignoring magnitude. It is the default metric for document retrieval because it is invariant to document length — a short document and a long document on the same topic will have similar cosine similarity to a query, whereas dot product similarity would favour the longer document (which has larger magnitude simply by virtue of containing more terms). The cosine similarity between vectors a and b is: cos(theta) = (a · b) / (||a|| * ||b||).</w:t>
      </w:r>
    </w:p>
    <w:p>
      <w:pPr>
        <w:spacing w:after="80" w:before="80"/>
        <w:jc w:val="both"/>
      </w:pPr>
      <w:r>
        <w:rPr>
          <w:rFonts w:ascii="Arial" w:cs="Arial" w:eastAsia="Arial" w:hAnsi="Arial"/>
          <w:sz w:val="22"/>
          <w:szCs w:val="22"/>
        </w:rPr>
        <w:t xml:space="preserve">Euclidean distance measures the geometric distance between two vectors in embedding space. It is more sensitive to magnitude differences than cosine similarity and is appropriate when the absolute feature magnitudes carry semantic meaning. For normalised embeddings (||v|| = 1), Euclidean distance is monotonically related to cosine similarity by the identity: d_euclidean(a, b) = sqrt(2 * (1 - cos(theta))), so the two metrics produce equivalent rankings for normalised vectors.</w:t>
      </w:r>
    </w:p>
    <w:p>
      <w:pPr>
        <w:spacing w:after="80" w:before="80"/>
        <w:jc w:val="both"/>
      </w:pPr>
      <w:r>
        <w:rPr>
          <w:rFonts w:ascii="Arial" w:cs="Arial" w:eastAsia="Arial" w:hAnsi="Arial"/>
          <w:sz w:val="22"/>
          <w:szCs w:val="22"/>
        </w:rPr>
        <w:t xml:space="preserve">Dot product similarity computes the inner product of two vectors without normalisation. It is the fastest to compute (no normalisation step) and is appropriate when vectors are pre-normalised and scale carries no additional meaning. For unnormalised embeddings, dot product similarity conflates semantic similarity with document length, which is generally undesirable for retrieval but can be appropriate for reranking scenarios where document authority (correlated with length in some domains) is a desired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800"/>
        <w:gridCol w:w="2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Normalisation Required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 similarity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 / (||a|| ||b||)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retrieval (default)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Euclidean distance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sqrt(sum((a-b)^2))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inf)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Dense numeric embeddings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Dot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sum(a_i * b_i)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 inf)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(recommended)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Pre-normalised fast retrieval</w:t>
            </w:r>
          </w:p>
        </w:tc>
      </w:tr>
    </w:tbl>
    <w:p>
      <w:pPr>
        <w:spacing w:after="160" w:before="40"/>
        <w:jc w:val="center"/>
      </w:pPr>
      <w:r>
        <w:rPr>
          <w:rFonts w:ascii="Arial" w:cs="Arial" w:eastAsia="Arial" w:hAnsi="Arial"/>
          <w:i/>
          <w:iCs/>
          <w:color w:val="595959"/>
          <w:sz w:val="20"/>
          <w:szCs w:val="20"/>
        </w:rPr>
        <w:t xml:space="preserve">Table 5.1 — Similarity metrics comparison for vector retrieval</w:t>
      </w:r>
    </w:p>
    <w:p>
      <w:pPr>
        <w:pStyle w:val="Heading2"/>
        <w:spacing w:after="120" w:before="320"/>
      </w:pPr>
      <w:r>
        <w:rPr>
          <w:rFonts w:ascii="Arial" w:cs="Arial" w:eastAsia="Arial" w:hAnsi="Arial"/>
          <w:b/>
          <w:bCs/>
          <w:color w:val="2E75B6"/>
          <w:sz w:val="28"/>
          <w:szCs w:val="28"/>
        </w:rPr>
        <w:t xml:space="preserve">5.7 Hybrid Search</w:t>
      </w:r>
    </w:p>
    <w:p>
      <w:pPr>
        <w:spacing w:after="80" w:before="80"/>
        <w:jc w:val="both"/>
      </w:pPr>
      <w:r>
        <w:rPr>
          <w:rFonts w:ascii="Arial" w:cs="Arial" w:eastAsia="Arial" w:hAnsi="Arial"/>
          <w:sz w:val="22"/>
          <w:szCs w:val="22"/>
        </w:rPr>
        <w:t xml:space="preserve">Hybrid search is the mechanism by which the Vector Search Engine combines dense vector retrieval (semantic similarity) with sparse keyword retrieval (lexical matching) into a single ranked result list. This combination is architecturally important because the two retrieval signals are complementary: dense retrieval captures semantic relatedness (documents about similar concepts even when phrased differently), while sparse retrieval captures exact terminology (documents that use the exact terms the user specified, even when conceptually divergent).</w:t>
      </w:r>
    </w:p>
    <w:p>
      <w:pPr>
        <w:spacing w:after="80" w:before="80"/>
        <w:jc w:val="both"/>
      </w:pPr>
      <w:r>
        <w:rPr>
          <w:rFonts w:ascii="Arial" w:cs="Arial" w:eastAsia="Arial" w:hAnsi="Arial"/>
          <w:sz w:val="22"/>
          <w:szCs w:val="22"/>
        </w:rPr>
        <w:t xml:space="preserve">The hybrid search implementation uses Reciprocal Rank Fusion (RRF) to combine the two ranked lists. For each document d, its RRF score across k retrieval strategies is computed as: RRF(d) = sum over k of 1 / (60 + rank_k(d)), where rank_k(d) is the rank of document d in strategy k's result list (1-indexed, with unranked documents treated as rank infinity). The constant 60 was chosen empirically to dampen the influence of high ranks on very low-ranked results.</w:t>
      </w:r>
    </w:p>
    <w:p>
      <w:pPr>
        <w:spacing w:after="80" w:before="80"/>
        <w:jc w:val="both"/>
      </w:pPr>
      <w:r>
        <w:rPr>
          <w:rFonts w:ascii="Arial" w:cs="Arial" w:eastAsia="Arial" w:hAnsi="Arial"/>
          <w:sz w:val="22"/>
          <w:szCs w:val="22"/>
        </w:rPr>
        <w:t xml:space="preserve">RRF is preferred over score-level fusion (weighted sum of normalised scores from each strategy) because it is robust to score scale differences: different retrieval strategies produce scores on incompatible scales, and normalising them to a common scale requires calibration that may not generalise across corpora. RRF operates on ranks rather than scores and is therefore scale-invariant.</w:t>
      </w:r>
    </w:p>
    <w:p>
      <w:pPr>
        <w:pStyle w:val="Heading2"/>
        <w:spacing w:after="120" w:before="320"/>
      </w:pPr>
      <w:r>
        <w:rPr>
          <w:rFonts w:ascii="Arial" w:cs="Arial" w:eastAsia="Arial" w:hAnsi="Arial"/>
          <w:b/>
          <w:bCs/>
          <w:color w:val="2E75B6"/>
          <w:sz w:val="28"/>
          <w:szCs w:val="28"/>
        </w:rPr>
        <w:t xml:space="preserve">5.8 Index Statistics</w:t>
      </w:r>
    </w:p>
    <w:p>
      <w:pPr>
        <w:spacing w:after="80" w:before="80"/>
        <w:jc w:val="both"/>
      </w:pPr>
      <w:r>
        <w:rPr>
          <w:rFonts w:ascii="Arial" w:cs="Arial" w:eastAsia="Arial" w:hAnsi="Arial"/>
          <w:sz w:val="22"/>
          <w:szCs w:val="22"/>
        </w:rPr>
        <w:t xml:space="preserve">The VectorIndex maintains runtime statistics that are exposed to the Retrieval Intelligence Layer for scoring normalisation and to the administrative CLI for corpus health monitoring. Statistics include: total vectors indexed, embedding dimensionality, average cosine norm of indexed vectors (a diagnostic for embedding quality — well-trained embeddings cluster around unit norm), nearest-neighbour distance distribution (used to calibrate similarity score thresholds), and collection distribution (vectors per collection, used to detect imbalanced corpora that may bias retrieval toward over-represented collections).</w:t>
      </w:r>
    </w:p>
    <w:p>
      <w:pPr>
        <w:pStyle w:val="Heading2"/>
        <w:spacing w:after="120" w:before="320"/>
      </w:pPr>
      <w:r>
        <w:rPr>
          <w:rFonts w:ascii="Arial" w:cs="Arial" w:eastAsia="Arial" w:hAnsi="Arial"/>
          <w:b/>
          <w:bCs/>
          <w:color w:val="2E75B6"/>
          <w:sz w:val="28"/>
          <w:szCs w:val="28"/>
        </w:rPr>
        <w:t xml:space="preserve">5.9 Trade-offs and Performance</w:t>
      </w:r>
    </w:p>
    <w:p>
      <w:pPr>
        <w:spacing w:after="80" w:before="80"/>
        <w:jc w:val="both"/>
      </w:pPr>
      <w:r>
        <w:rPr>
          <w:rFonts w:ascii="Arial" w:cs="Arial" w:eastAsia="Arial" w:hAnsi="Arial"/>
          <w:sz w:val="22"/>
          <w:szCs w:val="22"/>
        </w:rPr>
        <w:t xml:space="preserve">The vector search implementation makes three significant trade-offs. First, brute-force search versus approximate nearest neighbour: the current implementation performs exact nearest-neighbour search using a full matrix-vector product. This guarantees perfect recall but has O(N*d) time complexity per query, where N is the corpus size and d is the embedding dimension. For N &gt; 100,000 documents, approximate methods (HNSW, IVFPQ) should be substituted.</w:t>
      </w:r>
    </w:p>
    <w:p>
      <w:pPr>
        <w:spacing w:after="80" w:before="80"/>
        <w:jc w:val="both"/>
      </w:pPr>
      <w:r>
        <w:rPr>
          <w:rFonts w:ascii="Arial" w:cs="Arial" w:eastAsia="Arial" w:hAnsi="Arial"/>
          <w:sz w:val="22"/>
          <w:szCs w:val="22"/>
        </w:rPr>
        <w:t xml:space="preserve">Second, fixed random projection versus trained embeddings: the current projection matrix is randomly initialised rather than learned from data. This makes vector generation extremely fast (no training required) but produces embeddings with lower semantic fidelity than models trained on in-domain corpora. The retrieval quality is sufficient for prototype and production-at-scale scenarios up to approximately 10,000 documents; for larger or more demanding corpora, the projection should be replaced with a fine-tuned transformer model.</w:t>
      </w:r>
    </w:p>
    <w:p>
      <w:pPr>
        <w:spacing w:after="80" w:before="80"/>
        <w:jc w:val="both"/>
      </w:pPr>
      <w:r>
        <w:rPr>
          <w:rFonts w:ascii="Arial" w:cs="Arial" w:eastAsia="Arial" w:hAnsi="Arial"/>
          <w:sz w:val="22"/>
          <w:szCs w:val="22"/>
        </w:rPr>
        <w:t xml:space="preserve">Third, in-memory index versus disk-based index: the current VectorIndex stores all embeddings in RAM. For a 128-dimensional float32 index, each vector occupies 512 bytes, so a 100,000-document corpus requires approximately 50MB of RAM for embeddings alone — well within the capacity of any production server. For multi-million document corpora, a disk-resident MMAP-based index should be introduced.</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6. Retrieval Intelligence Layer</w:t>
      </w:r>
    </w:p>
    <w:p>
      <w:pPr>
        <w:pStyle w:val="Heading2"/>
        <w:spacing w:after="120" w:before="320"/>
      </w:pPr>
      <w:r>
        <w:rPr>
          <w:rFonts w:ascii="Arial" w:cs="Arial" w:eastAsia="Arial" w:hAnsi="Arial"/>
          <w:b/>
          <w:bCs/>
          <w:color w:val="2E75B6"/>
          <w:sz w:val="28"/>
          <w:szCs w:val="28"/>
        </w:rPr>
        <w:t xml:space="preserve">6.1 Overview</w:t>
      </w:r>
    </w:p>
    <w:p>
      <w:pPr>
        <w:spacing w:after="80" w:before="80"/>
        <w:jc w:val="both"/>
      </w:pPr>
      <w:r>
        <w:rPr>
          <w:rFonts w:ascii="Arial" w:cs="Arial" w:eastAsia="Arial" w:hAnsi="Arial"/>
          <w:sz w:val="22"/>
          <w:szCs w:val="22"/>
        </w:rPr>
        <w:t xml:space="preserve">The Retrieval Intelligence Layer (Phase 3) is the orchestration engine that transforms a raw natural language query into a structured evidence package ready for consumption by the Knowledge Agent. It sits between the Vector Search Engine and the Knowledge Agent, providing query preprocessing, multi-strategy candidate generation, multi-factor re-ranking, evidence assembly, coverage assessment, and confidence estimation.</w:t>
      </w:r>
    </w:p>
    <w:p>
      <w:pPr>
        <w:spacing w:after="80" w:before="80"/>
        <w:jc w:val="both"/>
      </w:pPr>
      <w:r>
        <w:rPr>
          <w:rFonts w:ascii="Arial" w:cs="Arial" w:eastAsia="Arial" w:hAnsi="Arial"/>
          <w:sz w:val="22"/>
          <w:szCs w:val="22"/>
        </w:rPr>
        <w:t xml:space="preserve">The Retrieval Intelligence Layer is intentionally decoupled from both the Knowledge Base (which it accesses through a typed interface) and the Knowledge Agent (which consumes its output as a typed evidence package). This decoupling allows the retrieval strategy to be modified — by adding new retrieval signals, adjusting ranking weights, or replacing the candidate generation mechanism — without modifying either the Knowledge Base or the Agent.</w:t>
      </w:r>
    </w:p>
    <w:p>
      <w:pPr>
        <w:pStyle w:val="Heading2"/>
        <w:spacing w:after="120" w:before="320"/>
      </w:pPr>
      <w:r>
        <w:rPr>
          <w:rFonts w:ascii="Arial" w:cs="Arial" w:eastAsia="Arial" w:hAnsi="Arial"/>
          <w:b/>
          <w:bCs/>
          <w:color w:val="2E75B6"/>
          <w:sz w:val="28"/>
          <w:szCs w:val="28"/>
        </w:rPr>
        <w:t xml:space="preserve">6.2 Query Pipeline</w:t>
      </w:r>
    </w:p>
    <w:p>
      <w:pPr>
        <w:spacing w:after="80" w:before="80"/>
        <w:jc w:val="both"/>
      </w:pPr>
      <w:r>
        <w:rPr>
          <w:rFonts w:ascii="Arial" w:cs="Arial" w:eastAsia="Arial" w:hAnsi="Arial"/>
          <w:sz w:val="22"/>
          <w:szCs w:val="22"/>
        </w:rPr>
        <w:t xml:space="preserve">Every retrieval request enters through the QueryPipeline, which performs four preprocessing operations before any document retrieval occurs. First, query normalisation: lowercasing, Unicode normalisation, whitespace compression, and removal of leading/trailing punctuation. Second, query expansion: detection and expansion of common enterprise abbreviations and acronyms (configurable per domain), ensuring that a query for 'FMEA' retrieves documents containing both 'FMEA' and 'failure mode effects analysis'. Third, intent parsing: extraction of query intent signals such as temporal qualifiers ('recent', 'last quarter', 'since 2022'), domain qualifiers ('maintenance', 'regulatory', 'engineering'), and specificity signals ('detailed', 'summary', 'overview'). Fourth, query vectorisation: embedding of the normalised, expanded query using the same EmbeddingEngine used for document indexing, ensuring that query and document vectors occupy the same semantic space.</w:t>
      </w:r>
    </w:p>
    <w:p>
      <w:pPr>
        <w:spacing w:after="80" w:before="80"/>
        <w:jc w:val="both"/>
      </w:pPr>
      <w:r>
        <w:rPr>
          <w:rFonts w:ascii="Arial" w:cs="Arial" w:eastAsia="Arial" w:hAnsi="Arial"/>
          <w:sz w:val="22"/>
          <w:szCs w:val="22"/>
        </w:rPr>
        <w:t xml:space="preserve">The QueryPipeline produces a QueryContext object containing the original query string, the normalised query, the expanded terms list, the parsed intent signals, and the query embedding vector. This object is passed to all subsequent retrieval stages, ensuring that every stage has access to both the raw query and all derived query representations.</w:t>
      </w:r>
    </w:p>
    <w:p>
      <w:pPr>
        <w:pStyle w:val="Heading2"/>
        <w:spacing w:after="120" w:before="320"/>
      </w:pPr>
      <w:r>
        <w:rPr>
          <w:rFonts w:ascii="Arial" w:cs="Arial" w:eastAsia="Arial" w:hAnsi="Arial"/>
          <w:b/>
          <w:bCs/>
          <w:color w:val="2E75B6"/>
          <w:sz w:val="28"/>
          <w:szCs w:val="28"/>
        </w:rPr>
        <w:t xml:space="preserve">6.3 Candidate Generation</w:t>
      </w:r>
    </w:p>
    <w:p>
      <w:pPr>
        <w:spacing w:after="80" w:before="80"/>
        <w:jc w:val="both"/>
      </w:pPr>
      <w:r>
        <w:rPr>
          <w:rFonts w:ascii="Arial" w:cs="Arial" w:eastAsia="Arial" w:hAnsi="Arial"/>
          <w:sz w:val="22"/>
          <w:szCs w:val="22"/>
        </w:rPr>
        <w:t xml:space="preserve">Candidate generation is the process of identifying a shortlist of documents (the candidate set) from the full corpus that are likely to be relevant to the query. The Retrieval Intelligence Layer implements three candidate generation strategies, which are run in parallel and whose results are merged before re-ranking.</w:t>
      </w:r>
    </w:p>
    <w:p>
      <w:pPr>
        <w:spacing w:after="80" w:before="80"/>
        <w:jc w:val="both"/>
      </w:pPr>
      <w:r>
        <w:rPr>
          <w:rFonts w:ascii="Arial" w:cs="Arial" w:eastAsia="Arial" w:hAnsi="Arial"/>
          <w:sz w:val="22"/>
          <w:szCs w:val="22"/>
        </w:rPr>
        <w:t xml:space="preserve">The first strategy is vector similarity search: the query embedding is searched against the VectorIndex using cosine similarity, retrieving the top-K1 most similar documents (default K1=50). This strategy is strong for semantic similarity — it finds documents that discuss the same concepts as the query even when phrased differently.</w:t>
      </w:r>
    </w:p>
    <w:p>
      <w:pPr>
        <w:spacing w:after="80" w:before="80"/>
        <w:jc w:val="both"/>
      </w:pPr>
      <w:r>
        <w:rPr>
          <w:rFonts w:ascii="Arial" w:cs="Arial" w:eastAsia="Arial" w:hAnsi="Arial"/>
          <w:sz w:val="22"/>
          <w:szCs w:val="22"/>
        </w:rPr>
        <w:t xml:space="preserve">The second strategy is keyword search: the expanded query terms are matched against the Knowledge Base's inverted index, retrieving documents containing at least one query term (filtered by a minimum term frequency threshold). This strategy is strong for exact terminology — it reliably retrieves documents that use precisely the terms the user specified.</w:t>
      </w:r>
    </w:p>
    <w:p>
      <w:pPr>
        <w:spacing w:after="80" w:before="80"/>
        <w:jc w:val="both"/>
      </w:pPr>
      <w:r>
        <w:rPr>
          <w:rFonts w:ascii="Arial" w:cs="Arial" w:eastAsia="Arial" w:hAnsi="Arial"/>
          <w:sz w:val="22"/>
          <w:szCs w:val="22"/>
        </w:rPr>
        <w:t xml:space="preserve">The third strategy is metadata-based filtering: the parsed intent signals are matched against document metadata fields (domain, type, temporal qualifiers), retrieving documents that satisfy the intent constraints regardless of their semantic or lexical similarity to the query. This strategy is important for temporally or domain-bounded queries that the first two strategies might miss.</w:t>
      </w:r>
    </w:p>
    <w:p>
      <w:pPr>
        <w:spacing w:after="80" w:before="80"/>
        <w:jc w:val="both"/>
      </w:pPr>
      <w:r>
        <w:rPr>
          <w:rFonts w:ascii="Arial" w:cs="Arial" w:eastAsia="Arial" w:hAnsi="Arial"/>
          <w:sz w:val="22"/>
          <w:szCs w:val="22"/>
        </w:rPr>
        <w:t xml:space="preserve">The three candidate sets are merged using set union, producing a combined candidate set of up to K1+K2+K3 documents, where K2 and K3 are the result counts from keyword and metadata search respectively. Deduplication is applied before the merged set is passed to re-ranking.</w:t>
      </w:r>
    </w:p>
    <w:p>
      <w:pPr>
        <w:pStyle w:val="Heading2"/>
        <w:spacing w:after="120" w:before="320"/>
      </w:pPr>
      <w:r>
        <w:rPr>
          <w:rFonts w:ascii="Arial" w:cs="Arial" w:eastAsia="Arial" w:hAnsi="Arial"/>
          <w:b/>
          <w:bCs/>
          <w:color w:val="2E75B6"/>
          <w:sz w:val="28"/>
          <w:szCs w:val="28"/>
        </w:rPr>
        <w:t xml:space="preserve">6.4 Ranking</w:t>
      </w:r>
    </w:p>
    <w:p>
      <w:pPr>
        <w:spacing w:after="80" w:before="80"/>
        <w:jc w:val="both"/>
      </w:pPr>
      <w:r>
        <w:rPr>
          <w:rFonts w:ascii="Arial" w:cs="Arial" w:eastAsia="Arial" w:hAnsi="Arial"/>
          <w:sz w:val="22"/>
          <w:szCs w:val="22"/>
        </w:rPr>
        <w:t xml:space="preserve">The ranking stage scores each candidate document on multiple factors and combines the factor scores into a single composite ranking score. The composite score is a weighted sum of individual factor scores, all normalised to the range [0, 1] before combination.</w:t>
      </w:r>
    </w:p>
    <w:p>
      <w:pPr>
        <w:spacing w:after="80" w:before="80"/>
        <w:jc w:val="both"/>
      </w:pPr>
      <w:r>
        <w:rPr>
          <w:rFonts w:ascii="Arial" w:cs="Arial" w:eastAsia="Arial" w:hAnsi="Arial"/>
          <w:sz w:val="22"/>
          <w:szCs w:val="22"/>
        </w:rPr>
        <w:t xml:space="preserve">The ranking factors and their default weights are:</w:t>
      </w:r>
    </w:p>
    <w:p>
      <w:pPr>
        <w:pStyle w:val="ListParagraph"/>
        <w:numPr>
          <w:ilvl w:val="0"/>
          <w:numId w:val="2"/>
        </w:numPr>
        <w:spacing w:after="40" w:before="40"/>
        <w:jc w:val="both"/>
      </w:pPr>
      <w:r>
        <w:rPr>
          <w:rFonts w:ascii="Arial" w:cs="Arial" w:eastAsia="Arial" w:hAnsi="Arial"/>
          <w:sz w:val="22"/>
          <w:szCs w:val="22"/>
        </w:rPr>
        <w:t xml:space="preserve">Semantic similarity score (weight 0.35): cosine similarity between the query embedding and the document embedding, normalised from [-1,1] to [0,1].</w:t>
      </w:r>
    </w:p>
    <w:p>
      <w:pPr>
        <w:pStyle w:val="ListParagraph"/>
        <w:numPr>
          <w:ilvl w:val="0"/>
          <w:numId w:val="2"/>
        </w:numPr>
        <w:spacing w:after="40" w:before="40"/>
        <w:jc w:val="both"/>
      </w:pPr>
      <w:r>
        <w:rPr>
          <w:rFonts w:ascii="Arial" w:cs="Arial" w:eastAsia="Arial" w:hAnsi="Arial"/>
          <w:sz w:val="22"/>
          <w:szCs w:val="22"/>
        </w:rPr>
        <w:t xml:space="preserve">Keyword relevance score (weight 0.25): BM25-style term frequency-inverse document frequency score, normalised by the maximum BM25 score in the candidate set.</w:t>
      </w:r>
    </w:p>
    <w:p>
      <w:pPr>
        <w:pStyle w:val="ListParagraph"/>
        <w:numPr>
          <w:ilvl w:val="0"/>
          <w:numId w:val="2"/>
        </w:numPr>
        <w:spacing w:after="40" w:before="40"/>
        <w:jc w:val="both"/>
      </w:pPr>
      <w:r>
        <w:rPr>
          <w:rFonts w:ascii="Arial" w:cs="Arial" w:eastAsia="Arial" w:hAnsi="Arial"/>
          <w:sz w:val="22"/>
          <w:szCs w:val="22"/>
        </w:rPr>
        <w:t xml:space="preserve">Temporal recency score (weight 0.15): an exponential decay function of document age, e^(-lambda * age_in_days), with lambda=0.001 by default, giving documents older than 5 years approximately 17% of the recency weight of current documents.</w:t>
      </w:r>
    </w:p>
    <w:p>
      <w:pPr>
        <w:pStyle w:val="ListParagraph"/>
        <w:numPr>
          <w:ilvl w:val="0"/>
          <w:numId w:val="2"/>
        </w:numPr>
        <w:spacing w:after="40" w:before="40"/>
        <w:jc w:val="both"/>
      </w:pPr>
      <w:r>
        <w:rPr>
          <w:rFonts w:ascii="Arial" w:cs="Arial" w:eastAsia="Arial" w:hAnsi="Arial"/>
          <w:sz w:val="22"/>
          <w:szCs w:val="22"/>
        </w:rPr>
        <w:t xml:space="preserve">Document authority score (weight 0.15): the document's priority metadata field, normalised to [0,1] by dividing by the maximum priority in the corpus.</w:t>
      </w:r>
    </w:p>
    <w:p>
      <w:pPr>
        <w:pStyle w:val="ListParagraph"/>
        <w:numPr>
          <w:ilvl w:val="0"/>
          <w:numId w:val="2"/>
        </w:numPr>
        <w:spacing w:after="40" w:before="40"/>
        <w:jc w:val="both"/>
      </w:pPr>
      <w:r>
        <w:rPr>
          <w:rFonts w:ascii="Arial" w:cs="Arial" w:eastAsia="Arial" w:hAnsi="Arial"/>
          <w:sz w:val="22"/>
          <w:szCs w:val="22"/>
        </w:rPr>
        <w:t xml:space="preserve">Coverage completeness score (weight 0.10): the fraction of query terms present in the document, computed as |query_terms ∩ doc_terms| / |query_terms|.</w:t>
      </w:r>
    </w:p>
    <w:p>
      <w:pPr>
        <w:spacing w:after="80" w:before="80"/>
        <w:jc w:val="both"/>
      </w:pPr>
      <w:r>
        <w:rPr>
          <w:rFonts w:ascii="Arial" w:cs="Arial" w:eastAsia="Arial" w:hAnsi="Arial"/>
          <w:sz w:val="22"/>
          <w:szCs w:val="22"/>
        </w:rPr>
        <w:t xml:space="preserve">These weights are configurable and domain-specific. A regulatory compliance retrieval scenario would increase the authority weight (regulatory documents have well-defined precedence hierarchies). A recent-incident investigation would increase the temporal recency weight. A technical specification lookup would increase the semantic similarity weight.</w:t>
      </w:r>
    </w:p>
    <w:p>
      <w:pPr>
        <w:spacing w:after="80" w:before="80"/>
        <w:jc w:val="both"/>
      </w:pPr>
      <w:r>
        <w:rPr>
          <w:rFonts w:ascii="Arial" w:cs="Arial" w:eastAsia="Arial" w:hAnsi="Arial"/>
          <w:sz w:val="22"/>
          <w:szCs w:val="22"/>
        </w:rPr>
        <w:t xml:space="preserve">After composite score computation, the candidate set is sorted in descending score order. A top-K filter is applied (default K=10), discarding candidates below the top-K threshold. A minimum score threshold is also applied — candidates with composite scores below 0.15 are discarded regardless of rank, preventing very low-relevance documents from appearing in the evidence package when the corpus contains no highly relevant material for the query.</w:t>
      </w:r>
    </w:p>
    <w:p>
      <w:pPr>
        <w:pStyle w:val="Heading2"/>
        <w:spacing w:after="120" w:before="320"/>
      </w:pPr>
      <w:r>
        <w:rPr>
          <w:rFonts w:ascii="Arial" w:cs="Arial" w:eastAsia="Arial" w:hAnsi="Arial"/>
          <w:b/>
          <w:bCs/>
          <w:color w:val="2E75B6"/>
          <w:sz w:val="28"/>
          <w:szCs w:val="28"/>
        </w:rPr>
        <w:t xml:space="preserve">6.5 Evidence Assembly</w:t>
      </w:r>
    </w:p>
    <w:p>
      <w:pPr>
        <w:spacing w:after="80" w:before="80"/>
        <w:jc w:val="both"/>
      </w:pPr>
      <w:r>
        <w:rPr>
          <w:rFonts w:ascii="Arial" w:cs="Arial" w:eastAsia="Arial" w:hAnsi="Arial"/>
          <w:sz w:val="22"/>
          <w:szCs w:val="22"/>
        </w:rPr>
        <w:t xml:space="preserve">Evidence assembly transforms the ranked document list into a structured EvidencePackage. For each document in the top-K ranked set, the assembly process extracts the most relevant passage (the span of text most similar to the query, identified by sliding window similarity over the document content), computes an evidence score (the composite ranking score), assigns a relevance label (HIGH, MEDIUM, or LOW based on score thresholds), and constructs an EvidenceItem object carrying all of these attributes alongside the source document reference.</w:t>
      </w:r>
    </w:p>
    <w:p>
      <w:pPr>
        <w:spacing w:after="80" w:before="80"/>
        <w:jc w:val="both"/>
      </w:pPr>
      <w:r>
        <w:rPr>
          <w:rFonts w:ascii="Arial" w:cs="Arial" w:eastAsia="Arial" w:hAnsi="Arial"/>
          <w:sz w:val="22"/>
          <w:szCs w:val="22"/>
        </w:rPr>
        <w:t xml:space="preserve">The EvidencePackage object carries: the original query string, the list of EvidenceItem objects in ranked order, coverage metrics (fraction of query intents covered by the assembled evidence), a package-level confidence score (described in Section 6.8), and provenance metadata (timestamps, retrieval strategy used, index version). The EvidencePackage is the typed contract between the Retrieval Intelligence Layer and the Knowledge Agent — the Agent receives exactly this object and no lower-level retrieval internals.</w:t>
      </w:r>
    </w:p>
    <w:p>
      <w:pPr>
        <w:pStyle w:val="Heading2"/>
        <w:spacing w:after="120" w:before="320"/>
      </w:pPr>
      <w:r>
        <w:rPr>
          <w:rFonts w:ascii="Arial" w:cs="Arial" w:eastAsia="Arial" w:hAnsi="Arial"/>
          <w:b/>
          <w:bCs/>
          <w:color w:val="2E75B6"/>
          <w:sz w:val="28"/>
          <w:szCs w:val="28"/>
        </w:rPr>
        <w:t xml:space="preserve">6.6 Context Construction</w:t>
      </w:r>
    </w:p>
    <w:p>
      <w:pPr>
        <w:spacing w:after="80" w:before="80"/>
        <w:jc w:val="both"/>
      </w:pPr>
      <w:r>
        <w:rPr>
          <w:rFonts w:ascii="Arial" w:cs="Arial" w:eastAsia="Arial" w:hAnsi="Arial"/>
          <w:sz w:val="22"/>
          <w:szCs w:val="22"/>
        </w:rPr>
        <w:t xml:space="preserve">Context construction prepares the assembled evidence for consumption by the Knowledge Agent's reasoning engine. The primary context construction operation is evidence concatenation with relevance ordering: the extracted passages from each EvidenceItem are concatenated in ranked order, with separators marking document boundaries and metadata (document title, type, date) provided for each passage. The resulting context string is used by the Knowledge Agent's response generation logic.</w:t>
      </w:r>
    </w:p>
    <w:p>
      <w:pPr>
        <w:spacing w:after="80" w:before="80"/>
        <w:jc w:val="both"/>
      </w:pPr>
      <w:r>
        <w:rPr>
          <w:rFonts w:ascii="Arial" w:cs="Arial" w:eastAsia="Arial" w:hAnsi="Arial"/>
          <w:sz w:val="22"/>
          <w:szCs w:val="22"/>
        </w:rPr>
        <w:t xml:space="preserve">Context construction also handles context window management: if the total context length exceeds the configured maximum (default: 8,000 words), lower-ranked evidence items are truncated or excluded to fit within the limit. Truncation applies to individual passages (cutting at sentence boundaries) rather than excluding entire documents, ensuring that partial evidence from multiple sources is preferred over complete evidence from fewer sources.</w:t>
      </w:r>
    </w:p>
    <w:p>
      <w:pPr>
        <w:pStyle w:val="Heading2"/>
        <w:spacing w:after="120" w:before="320"/>
      </w:pPr>
      <w:r>
        <w:rPr>
          <w:rFonts w:ascii="Arial" w:cs="Arial" w:eastAsia="Arial" w:hAnsi="Arial"/>
          <w:b/>
          <w:bCs/>
          <w:color w:val="2E75B6"/>
          <w:sz w:val="28"/>
          <w:szCs w:val="28"/>
        </w:rPr>
        <w:t xml:space="preserve">6.7 Coverage Assessment</w:t>
      </w:r>
    </w:p>
    <w:p>
      <w:pPr>
        <w:spacing w:after="80" w:before="80"/>
        <w:jc w:val="both"/>
      </w:pPr>
      <w:r>
        <w:rPr>
          <w:rFonts w:ascii="Arial" w:cs="Arial" w:eastAsia="Arial" w:hAnsi="Arial"/>
          <w:sz w:val="22"/>
          <w:szCs w:val="22"/>
        </w:rPr>
        <w:t xml:space="preserve">Coverage assessment evaluates how completely the assembled evidence addresses the information needs expressed in the query. Coverage is computed along two dimensions. Query intent coverage measures what fraction of the parsed intent signals from the query are addressed by at least one evidence item — for example, if the query implies three distinct information needs (what caused the failure, when it occurred, and what remediation was applied), coverage is 0.67 if two of the three are addressed by retrieved documents. Query term coverage measures what fraction of the non-stopword query terms appear in at least one evidence item.</w:t>
      </w:r>
    </w:p>
    <w:p>
      <w:pPr>
        <w:spacing w:after="80" w:before="80"/>
        <w:jc w:val="both"/>
      </w:pPr>
      <w:r>
        <w:rPr>
          <w:rFonts w:ascii="Arial" w:cs="Arial" w:eastAsia="Arial" w:hAnsi="Arial"/>
          <w:sz w:val="22"/>
          <w:szCs w:val="22"/>
        </w:rPr>
        <w:t xml:space="preserve">Coverage metrics are included in the EvidencePackage and propagated to the confidence score. Low coverage signals to the Knowledge Agent that the response should include explicit acknowledgment of information gaps rather than presenting a complete picture when the evidence is partial.</w:t>
      </w:r>
    </w:p>
    <w:p>
      <w:pPr>
        <w:pStyle w:val="Heading2"/>
        <w:spacing w:after="120" w:before="320"/>
      </w:pPr>
      <w:r>
        <w:rPr>
          <w:rFonts w:ascii="Arial" w:cs="Arial" w:eastAsia="Arial" w:hAnsi="Arial"/>
          <w:b/>
          <w:bCs/>
          <w:color w:val="2E75B6"/>
          <w:sz w:val="28"/>
          <w:szCs w:val="28"/>
        </w:rPr>
        <w:t xml:space="preserve">6.8 Confidence Estimation</w:t>
      </w:r>
    </w:p>
    <w:p>
      <w:pPr>
        <w:spacing w:after="80" w:before="80"/>
        <w:jc w:val="both"/>
      </w:pPr>
      <w:r>
        <w:rPr>
          <w:rFonts w:ascii="Arial" w:cs="Arial" w:eastAsia="Arial" w:hAnsi="Arial"/>
          <w:sz w:val="22"/>
          <w:szCs w:val="22"/>
        </w:rPr>
        <w:t xml:space="preserve">The retrieval confidence score is a calibrated estimate of the probability that the assembled evidence package is sufficient to support an accurate, complete response to the query. It is computed as a weighted combination of four sub-scores: mean evidence score (average composite ranking score of the top-K evidence items), coverage score (query intent coverage from Section 6.7), evidence count score (normalised document count, favouring packages with multiple corroborating sources over single-source packages), and diversity score (mean pairwise dissimilarity among evidence items, rewarding packages that draw from diverse sources rather than many near-duplicate documents).</w:t>
      </w:r>
    </w:p>
    <w:p>
      <w:pPr>
        <w:spacing w:after="80" w:before="80"/>
        <w:jc w:val="both"/>
      </w:pPr>
      <w:r>
        <w:rPr>
          <w:rFonts w:ascii="Arial" w:cs="Arial" w:eastAsia="Arial" w:hAnsi="Arial"/>
          <w:sz w:val="22"/>
          <w:szCs w:val="22"/>
        </w:rPr>
        <w:t xml:space="preserve">The retrieval confidence score is distinct from the response confidence score computed by the Knowledge Agent (Section 7.7). The retrieval confidence measures the quality of the evidence; the response confidence measures the quality of the reasoning over that evidence. Both scores are included in the Executive Briefing, allowing consumers to distinguish between failures of retrieval (the relevant documents were not found) and failures of reasoning (the relevant documents were found but the conclusions drawn from them are uncertain).</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7. Knowledge Agent</w:t>
      </w:r>
    </w:p>
    <w:p>
      <w:pPr>
        <w:pStyle w:val="Heading2"/>
        <w:spacing w:after="120" w:before="320"/>
      </w:pPr>
      <w:r>
        <w:rPr>
          <w:rFonts w:ascii="Arial" w:cs="Arial" w:eastAsia="Arial" w:hAnsi="Arial"/>
          <w:b/>
          <w:bCs/>
          <w:color w:val="2E75B6"/>
          <w:sz w:val="28"/>
          <w:szCs w:val="28"/>
        </w:rPr>
        <w:t xml:space="preserve">7.1 Overview</w:t>
      </w:r>
    </w:p>
    <w:p>
      <w:pPr>
        <w:spacing w:after="80" w:before="80"/>
        <w:jc w:val="both"/>
      </w:pPr>
      <w:r>
        <w:rPr>
          <w:rFonts w:ascii="Arial" w:cs="Arial" w:eastAsia="Arial" w:hAnsi="Arial"/>
          <w:sz w:val="22"/>
          <w:szCs w:val="22"/>
        </w:rPr>
        <w:t xml:space="preserve">The Knowledge Agent (Phase 4) is the reasoning engine of the Week 9 platform. It accepts a natural language question and an EvidencePackage from the Retrieval Intelligence Layer, and produces a GroundedResponse containing a synthesised answer, a confidence score, a list of supporting citations, and a set of follow-up question suggestions. The Knowledge Agent is deterministic — given the same question and evidence package, it will always produce the same response. This determinism is a first-class design requirement, not a consequence of implementation simplicity.</w:t>
      </w:r>
    </w:p>
    <w:p>
      <w:pPr>
        <w:pStyle w:val="Heading2"/>
        <w:spacing w:after="120" w:before="320"/>
      </w:pPr>
      <w:r>
        <w:rPr>
          <w:rFonts w:ascii="Arial" w:cs="Arial" w:eastAsia="Arial" w:hAnsi="Arial"/>
          <w:b/>
          <w:bCs/>
          <w:color w:val="2E75B6"/>
          <w:sz w:val="28"/>
          <w:szCs w:val="28"/>
        </w:rPr>
        <w:t xml:space="preserve">7.2 Question Understanding</w:t>
      </w:r>
    </w:p>
    <w:p>
      <w:pPr>
        <w:spacing w:after="80" w:before="80"/>
        <w:jc w:val="both"/>
      </w:pPr>
      <w:r>
        <w:rPr>
          <w:rFonts w:ascii="Arial" w:cs="Arial" w:eastAsia="Arial" w:hAnsi="Arial"/>
          <w:sz w:val="22"/>
          <w:szCs w:val="22"/>
        </w:rPr>
        <w:t xml:space="preserve">Question understanding is the first processing stage of the Knowledge Agent. It analyses the incoming question to extract structural and semantic properties that guide subsequent processing. The question understanding module identifies: question type (factual, comparative, causal, procedural, evaluative, or compound); subject entities (the specific systems, processes, components, or events the question concerns); temporal scope (whether the question asks about a specific time period, a recent period, or is time-independent); and information requirements (the specific facts or conclusions the question is asking the system to produce).</w:t>
      </w:r>
    </w:p>
    <w:p>
      <w:pPr>
        <w:spacing w:after="80" w:before="80"/>
        <w:jc w:val="both"/>
      </w:pPr>
      <w:r>
        <w:rPr>
          <w:rFonts w:ascii="Arial" w:cs="Arial" w:eastAsia="Arial" w:hAnsi="Arial"/>
          <w:sz w:val="22"/>
          <w:szCs w:val="22"/>
        </w:rPr>
        <w:t xml:space="preserve">Question understanding produces a QuestionContext object that is threaded through all subsequent Agent processing stages. The QuestionContext supplements the EvidencePackage's QueryContext — where the QueryContext captures retrieval-relevant properties (expanded terms, intent signals, query embedding), the QuestionContext captures reasoning-relevant properties (question type, subject entities, information requirements). Together, these two context objects provide the Agent's reasoning engine with a complete representation of both what was asked and what evidence is available to answer it.</w:t>
      </w:r>
    </w:p>
    <w:p>
      <w:pPr>
        <w:pStyle w:val="Heading2"/>
        <w:spacing w:after="120" w:before="320"/>
      </w:pPr>
      <w:r>
        <w:rPr>
          <w:rFonts w:ascii="Arial" w:cs="Arial" w:eastAsia="Arial" w:hAnsi="Arial"/>
          <w:b/>
          <w:bCs/>
          <w:color w:val="2E75B6"/>
          <w:sz w:val="28"/>
          <w:szCs w:val="28"/>
        </w:rPr>
        <w:t xml:space="preserve">7.3 Classification</w:t>
      </w:r>
    </w:p>
    <w:p>
      <w:pPr>
        <w:spacing w:after="80" w:before="80"/>
        <w:jc w:val="both"/>
      </w:pPr>
      <w:r>
        <w:rPr>
          <w:rFonts w:ascii="Arial" w:cs="Arial" w:eastAsia="Arial" w:hAnsi="Arial"/>
          <w:sz w:val="22"/>
          <w:szCs w:val="22"/>
        </w:rPr>
        <w:t xml:space="preserve">The classification stage assigns the incoming question to one of eight predefined question categories: TECHNICAL_SPECIFICATION (questions about how something works or is configured), INCIDENT_ANALYSIS (questions about what went wrong and why), PROCEDURE_LOOKUP (questions about how to perform an operation), REGULATORY_COMPLIANCE (questions about whether something meets a standard or requirement), PERFORMANCE_ASSESSMENT (questions about how well something is performing), TREND_ANALYSIS (questions about how something has changed over time), RISK_ASSESSMENT (questions about what could go wrong and how likely it is), and GENERAL_KNOWLEDGE (questions that do not fit the above categories).</w:t>
      </w:r>
    </w:p>
    <w:p>
      <w:pPr>
        <w:spacing w:after="80" w:before="80"/>
        <w:jc w:val="both"/>
      </w:pPr>
      <w:r>
        <w:rPr>
          <w:rFonts w:ascii="Arial" w:cs="Arial" w:eastAsia="Arial" w:hAnsi="Arial"/>
          <w:sz w:val="22"/>
          <w:szCs w:val="22"/>
        </w:rPr>
        <w:t xml:space="preserve">Classification is performed by a rule-based classifier that matches question structure patterns (question words, verb phrases, subject entities) against the eight category templates. The classifier is deterministic and interpretable — it is possible to trace exactly why a question was assigned to a particular category, which is important for audit and debugging. Classification output influences the ranking weight configuration used by the retrieval intelligence layer (if retrieval has already occurred) or informs the Agent to trigger a retrieval re-query with category-appropriate weight settings.</w:t>
      </w:r>
    </w:p>
    <w:p>
      <w:pPr>
        <w:pStyle w:val="Heading2"/>
        <w:spacing w:after="120" w:before="320"/>
      </w:pPr>
      <w:r>
        <w:rPr>
          <w:rFonts w:ascii="Arial" w:cs="Arial" w:eastAsia="Arial" w:hAnsi="Arial"/>
          <w:b/>
          <w:bCs/>
          <w:color w:val="2E75B6"/>
          <w:sz w:val="28"/>
          <w:szCs w:val="28"/>
        </w:rPr>
        <w:t xml:space="preserve">7.4 Evidence Analysis</w:t>
      </w:r>
    </w:p>
    <w:p>
      <w:pPr>
        <w:spacing w:after="80" w:before="80"/>
        <w:jc w:val="both"/>
      </w:pPr>
      <w:r>
        <w:rPr>
          <w:rFonts w:ascii="Arial" w:cs="Arial" w:eastAsia="Arial" w:hAnsi="Arial"/>
          <w:sz w:val="22"/>
          <w:szCs w:val="22"/>
        </w:rPr>
        <w:t xml:space="preserve">Evidence analysis is the core reasoning stage of the Knowledge Agent. It processes the EvidenceItems in the EvidencePackage to extract, weight, and synthesise the information required to answer the question. Evidence analysis proceeds through four sub-stages.</w:t>
      </w:r>
    </w:p>
    <w:p>
      <w:pPr>
        <w:spacing w:after="80" w:before="80"/>
        <w:jc w:val="both"/>
      </w:pPr>
      <w:r>
        <w:rPr>
          <w:rFonts w:ascii="Arial" w:cs="Arial" w:eastAsia="Arial" w:hAnsi="Arial"/>
          <w:sz w:val="22"/>
          <w:szCs w:val="22"/>
        </w:rPr>
        <w:t xml:space="preserve">First, evidence filtering: evidence items whose relevance label is LOW are excluded from primary analysis but retained as supplementary evidence. This prevents weak evidence from distorting the primary analysis while preserving it for citation completeness.</w:t>
      </w:r>
    </w:p>
    <w:p>
      <w:pPr>
        <w:spacing w:after="80" w:before="80"/>
        <w:jc w:val="both"/>
      </w:pPr>
      <w:r>
        <w:rPr>
          <w:rFonts w:ascii="Arial" w:cs="Arial" w:eastAsia="Arial" w:hAnsi="Arial"/>
          <w:sz w:val="22"/>
          <w:szCs w:val="22"/>
        </w:rPr>
        <w:t xml:space="preserve">Second, evidence weighting: each HIGH and MEDIUM evidence item is assigned an analysis weight proportional to its evidence score, adjusted by the document's authority metadata field. Documents with high authority receive additional weight in the analysis even if their retrieval score was moderate.</w:t>
      </w:r>
    </w:p>
    <w:p>
      <w:pPr>
        <w:spacing w:after="80" w:before="80"/>
        <w:jc w:val="both"/>
      </w:pPr>
      <w:r>
        <w:rPr>
          <w:rFonts w:ascii="Arial" w:cs="Arial" w:eastAsia="Arial" w:hAnsi="Arial"/>
          <w:sz w:val="22"/>
          <w:szCs w:val="22"/>
        </w:rPr>
        <w:t xml:space="preserve">Third, claim extraction: the most relevant passage from each evidence item is parsed into individual factual claims — declarative statements that can be independently verified and cited. Claim extraction uses sentence segmentation and dependency structure heuristics rather than a neural parser, consistent with the deterministic implementation requirement.</w:t>
      </w:r>
    </w:p>
    <w:p>
      <w:pPr>
        <w:spacing w:after="80" w:before="80"/>
        <w:jc w:val="both"/>
      </w:pPr>
      <w:r>
        <w:rPr>
          <w:rFonts w:ascii="Arial" w:cs="Arial" w:eastAsia="Arial" w:hAnsi="Arial"/>
          <w:sz w:val="22"/>
          <w:szCs w:val="22"/>
        </w:rPr>
        <w:t xml:space="preserve">Fourth, claim weighting and deduplication: when multiple evidence items contain the same or semantically equivalent claims, the claims are merged and their weights summed. This produces a claim-weight map in which well-corroborated claims (supported by multiple independent sources) receive higher weight than claims supported by a single source.</w:t>
      </w:r>
    </w:p>
    <w:p>
      <w:pPr>
        <w:pStyle w:val="Heading2"/>
        <w:spacing w:after="120" w:before="320"/>
      </w:pPr>
      <w:r>
        <w:rPr>
          <w:rFonts w:ascii="Arial" w:cs="Arial" w:eastAsia="Arial" w:hAnsi="Arial"/>
          <w:b/>
          <w:bCs/>
          <w:color w:val="2E75B6"/>
          <w:sz w:val="28"/>
          <w:szCs w:val="28"/>
        </w:rPr>
        <w:t xml:space="preserve">7.5 Grounded Response Generation</w:t>
      </w:r>
    </w:p>
    <w:p>
      <w:pPr>
        <w:spacing w:after="80" w:before="80"/>
        <w:jc w:val="both"/>
      </w:pPr>
      <w:r>
        <w:rPr>
          <w:rFonts w:ascii="Arial" w:cs="Arial" w:eastAsia="Arial" w:hAnsi="Arial"/>
          <w:sz w:val="22"/>
          <w:szCs w:val="22"/>
        </w:rPr>
        <w:t xml:space="preserve">Grounded response generation produces the natural language answer to the question. The response is assembled from the claim-weight map produced by evidence analysis: claims are sorted by weight (most supported claims first), filtered to exclude claims below the minimum weight threshold, and concatenated into coherent paragraphs. The response generation logic applies sentence order heuristics to ensure logical flow: causal claims (explaining why something happened) precede effect claims (describing what happened as a result), procedural claims are presented in execution order, and comparative claims are paired with their referents.</w:t>
      </w:r>
    </w:p>
    <w:p>
      <w:pPr>
        <w:spacing w:after="80" w:before="80"/>
        <w:jc w:val="both"/>
      </w:pPr>
      <w:r>
        <w:rPr>
          <w:rFonts w:ascii="Arial" w:cs="Arial" w:eastAsia="Arial" w:hAnsi="Arial"/>
          <w:sz w:val="22"/>
          <w:szCs w:val="22"/>
        </w:rPr>
        <w:t xml:space="preserve">The response is grounded in the sense that every sentence in the response can be traced to one or more evidence items. The grounding is made explicit through inline citation markers: each sentence or clause that derives from a specific evidence item is annotated with a citation key (e.g., [DOC-001], [DOC-003]) that maps to the full citation in the citation list.</w:t>
      </w:r>
    </w:p>
    <w:p>
      <w:pPr>
        <w:spacing w:after="80" w:before="80"/>
        <w:jc w:val="both"/>
      </w:pPr>
      <w:r>
        <w:rPr>
          <w:rFonts w:ascii="Arial" w:cs="Arial" w:eastAsia="Arial" w:hAnsi="Arial"/>
          <w:sz w:val="22"/>
          <w:szCs w:val="22"/>
        </w:rPr>
        <w:t xml:space="preserve">The response generation deliberately avoids generating claims beyond what is supported by the evidence. If the evidence package does not contain information required to answer part of the question, the response explicitly acknowledges this gap: 'The available evidence does not address [aspect X] of the question. This information gap should be considered when interpreting the conclusions below.' This explicit gap acknowledgment is a key differentiator from LLM-based response generation, which may confabulate plausible-sounding but unsupported claims.</w:t>
      </w:r>
    </w:p>
    <w:p>
      <w:pPr>
        <w:pStyle w:val="Heading2"/>
        <w:spacing w:after="120" w:before="320"/>
      </w:pPr>
      <w:r>
        <w:rPr>
          <w:rFonts w:ascii="Arial" w:cs="Arial" w:eastAsia="Arial" w:hAnsi="Arial"/>
          <w:b/>
          <w:bCs/>
          <w:color w:val="2E75B6"/>
          <w:sz w:val="28"/>
          <w:szCs w:val="28"/>
        </w:rPr>
        <w:t xml:space="preserve">7.6 Citation System</w:t>
      </w:r>
    </w:p>
    <w:p>
      <w:pPr>
        <w:spacing w:after="80" w:before="80"/>
        <w:jc w:val="both"/>
      </w:pPr>
      <w:r>
        <w:rPr>
          <w:rFonts w:ascii="Arial" w:cs="Arial" w:eastAsia="Arial" w:hAnsi="Arial"/>
          <w:sz w:val="22"/>
          <w:szCs w:val="22"/>
        </w:rPr>
        <w:t xml:space="preserve">The citation system links every claim in the grounded response to its source documents. Citations are generated in a structured format consistent with IEEE reference conventions. Each citation carries: a citation key (e.g., [DOC-001]), the source document's title, the document type, the collection, the creation date, the author or source field from the metadata, the page or passage reference (where available), and the relevance label (HIGH, MEDIUM, or LOW). Citations are assembled into a structured citation list that is included in the GroundedResponse and, subsequently, in the Executive Briefing.</w:t>
      </w:r>
    </w:p>
    <w:p>
      <w:pPr>
        <w:spacing w:after="80" w:before="80"/>
        <w:jc w:val="both"/>
      </w:pPr>
      <w:r>
        <w:rPr>
          <w:rFonts w:ascii="Arial" w:cs="Arial" w:eastAsia="Arial" w:hAnsi="Arial"/>
          <w:sz w:val="22"/>
          <w:szCs w:val="22"/>
        </w:rPr>
        <w:t xml:space="preserve">The citation system also generates citation strength assessments: for each claim in the response, the citation strength is computed as the number of independent corroborating sources supporting that claim. Claims supported by three or more independent sources receive a STRONG citation strength label. Claims supported by two sources receive MODERATE. Claims supported by a single source receive WEAK. The distribution of citation strengths across a response is an important input to the response confidence score.</w:t>
      </w:r>
    </w:p>
    <w:p>
      <w:pPr>
        <w:pStyle w:val="Heading2"/>
        <w:spacing w:after="120" w:before="320"/>
      </w:pPr>
      <w:r>
        <w:rPr>
          <w:rFonts w:ascii="Arial" w:cs="Arial" w:eastAsia="Arial" w:hAnsi="Arial"/>
          <w:b/>
          <w:bCs/>
          <w:color w:val="2E75B6"/>
          <w:sz w:val="28"/>
          <w:szCs w:val="28"/>
        </w:rPr>
        <w:t xml:space="preserve">7.7 Confidence Model</w:t>
      </w:r>
    </w:p>
    <w:p>
      <w:pPr>
        <w:spacing w:after="80" w:before="80"/>
        <w:jc w:val="both"/>
      </w:pPr>
      <w:r>
        <w:rPr>
          <w:rFonts w:ascii="Arial" w:cs="Arial" w:eastAsia="Arial" w:hAnsi="Arial"/>
          <w:sz w:val="22"/>
          <w:szCs w:val="22"/>
        </w:rPr>
        <w:t xml:space="preserve">The Knowledge Agent computes a response confidence score that quantifies the reliability of the grounded response given the available evidence. The confidence score is computed as a weighted combination of five sub-scores: retrieval confidence (from the EvidencePackage, reflecting evidence quality), claim coverage (fraction of the question's information requirements addressed by the response), citation strength distribution (fraction of claims with STRONG or MODERATE citation strength), evidence diversity (from the EvidencePackage's diversity score), and question complexity penalty (a downward adjustment for compound questions that require integrating evidence across many domains — these are intrinsically harder to answer reliably than single-focus factual questions).</w:t>
      </w:r>
    </w:p>
    <w:p>
      <w:pPr>
        <w:spacing w:after="80" w:before="80"/>
        <w:jc w:val="both"/>
      </w:pPr>
      <w:r>
        <w:rPr>
          <w:rFonts w:ascii="Arial" w:cs="Arial" w:eastAsia="Arial" w:hAnsi="Arial"/>
          <w:sz w:val="22"/>
          <w:szCs w:val="22"/>
        </w:rPr>
        <w:t xml:space="preserve">The resulting confidence score is a value in [0, 1]. Scores above 0.8 indicate HIGH confidence: the evidence is strong, coverage is complete, and multiple sources corroborate the key claims. Scores between 0.5 and 0.8 indicate MODERATE confidence: the evidence is adequate but with some gaps or single-source claims. Scores below 0.5 indicate LOW confidence: the evidence is insufficient to support a reliable response, and the response should be treated with caution. The Executive Copilot uses the confidence level to determine whether the briefing should be flagged for human review before delivery.</w:t>
      </w:r>
    </w:p>
    <w:p>
      <w:pPr>
        <w:pStyle w:val="Heading2"/>
        <w:spacing w:after="120" w:before="320"/>
      </w:pPr>
      <w:r>
        <w:rPr>
          <w:rFonts w:ascii="Arial" w:cs="Arial" w:eastAsia="Arial" w:hAnsi="Arial"/>
          <w:b/>
          <w:bCs/>
          <w:color w:val="2E75B6"/>
          <w:sz w:val="28"/>
          <w:szCs w:val="28"/>
        </w:rPr>
        <w:t xml:space="preserve">7.8 Follow-up Questions</w:t>
      </w:r>
    </w:p>
    <w:p>
      <w:pPr>
        <w:spacing w:after="80" w:before="80"/>
        <w:jc w:val="both"/>
      </w:pPr>
      <w:r>
        <w:rPr>
          <w:rFonts w:ascii="Arial" w:cs="Arial" w:eastAsia="Arial" w:hAnsi="Arial"/>
          <w:sz w:val="22"/>
          <w:szCs w:val="22"/>
        </w:rPr>
        <w:t xml:space="preserve">The Knowledge Agent generates a list of suggested follow-up questions based on the information gaps identified during evidence analysis and the claims made in the grounded response. Follow-up questions address: uncovered information needs (aspects of the original question not addressed by the available evidence); related topics surfaced by the evidence (documents in the evidence package discussed related topics not asked about, which may be of interest); and clarification opportunities (aspects of the response that could be made more specific with additional information).</w:t>
      </w:r>
    </w:p>
    <w:p>
      <w:pPr>
        <w:spacing w:after="80" w:before="80"/>
        <w:jc w:val="both"/>
      </w:pPr>
      <w:r>
        <w:rPr>
          <w:rFonts w:ascii="Arial" w:cs="Arial" w:eastAsia="Arial" w:hAnsi="Arial"/>
          <w:sz w:val="22"/>
          <w:szCs w:val="22"/>
        </w:rPr>
        <w:t xml:space="preserve">Follow-up questions are provided as structured FollowUpQuestion objects carrying the question text, the motivation (why this follow-up is suggested), and the expected information gain (what new knowledge would be obtained if the question were answered). The Executive Copilot includes the top-3 follow-up questions in the Executive Briefing.</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8. Executive RAG Copilot</w:t>
      </w:r>
    </w:p>
    <w:p>
      <w:pPr>
        <w:pStyle w:val="Heading2"/>
        <w:spacing w:after="120" w:before="320"/>
      </w:pPr>
      <w:r>
        <w:rPr>
          <w:rFonts w:ascii="Arial" w:cs="Arial" w:eastAsia="Arial" w:hAnsi="Arial"/>
          <w:b/>
          <w:bCs/>
          <w:color w:val="2E75B6"/>
          <w:sz w:val="28"/>
          <w:szCs w:val="28"/>
        </w:rPr>
        <w:t xml:space="preserve">8.1 Overview</w:t>
      </w:r>
    </w:p>
    <w:p>
      <w:pPr>
        <w:spacing w:after="80" w:before="80"/>
        <w:jc w:val="both"/>
      </w:pPr>
      <w:r>
        <w:rPr>
          <w:rFonts w:ascii="Arial" w:cs="Arial" w:eastAsia="Arial" w:hAnsi="Arial"/>
          <w:sz w:val="22"/>
          <w:szCs w:val="22"/>
        </w:rPr>
        <w:t xml:space="preserve">The Executive RAG Copilot (Phase 5) is the interface between the Knowledge Intelligence Stack and enterprise decision-makers. It accepts executive-grade natural language questions, orchestrates the full retrieval and reasoning pipeline, and produces structured executive briefings that present synthesised knowledge in a format appropriate for senior leadership consumption. The Copilot does not add reasoning capabilities beyond those of the Knowledge Agent — its primary contribution is translation: translating technical retrieval outputs into business-appropriate briefing structures, and translating executive questions (which may be vague, compound, or ambiguous) into precise queries that the retrieval pipeline can handle effectively.</w:t>
      </w:r>
    </w:p>
    <w:p>
      <w:pPr>
        <w:pStyle w:val="Heading2"/>
        <w:spacing w:after="120" w:before="320"/>
      </w:pPr>
      <w:r>
        <w:rPr>
          <w:rFonts w:ascii="Arial" w:cs="Arial" w:eastAsia="Arial" w:hAnsi="Arial"/>
          <w:b/>
          <w:bCs/>
          <w:color w:val="2E75B6"/>
          <w:sz w:val="28"/>
          <w:szCs w:val="28"/>
        </w:rPr>
        <w:t xml:space="preserve">8.2 Executive Question Handling</w:t>
      </w:r>
    </w:p>
    <w:p>
      <w:pPr>
        <w:spacing w:after="80" w:before="80"/>
        <w:jc w:val="both"/>
      </w:pPr>
      <w:r>
        <w:rPr>
          <w:rFonts w:ascii="Arial" w:cs="Arial" w:eastAsia="Arial" w:hAnsi="Arial"/>
          <w:sz w:val="22"/>
          <w:szCs w:val="22"/>
        </w:rPr>
        <w:t xml:space="preserve">Executive questions differ from technical queries in three systematic ways. First, they are often vague or compound: 'How are our maintenance operations performing?' may encompass equipment reliability, labour efficiency, spare parts supply chain, and regulatory compliance — all simultaneously. Second, they are often temporally implicit: executives assume that 'performance' means recent performance, but do not specify a time horizon. Third, they often assume contextual knowledge that the system must infer: 'the turbine issue from last quarter' implies a specific incident that the system must resolve from the knowledge corpus.</w:t>
      </w:r>
    </w:p>
    <w:p>
      <w:pPr>
        <w:spacing w:after="80" w:before="80"/>
        <w:jc w:val="both"/>
      </w:pPr>
      <w:r>
        <w:rPr>
          <w:rFonts w:ascii="Arial" w:cs="Arial" w:eastAsia="Arial" w:hAnsi="Arial"/>
          <w:sz w:val="22"/>
          <w:szCs w:val="22"/>
        </w:rPr>
        <w:t xml:space="preserve">The Copilot implements an executive question processor that addresses these differences. Vague or compound questions are decomposed into a list of atomic sub-questions, each addressable by a single retrieval request. Temporal implicature is resolved by defaulting to a configurable recency window (default: the last 90 days) when no temporal qualifier is specified. Contextual references are resolved against the knowledge corpus — the system searches for documents matching the implicit reference and uses the top match to resolve the reference before issuing the retrieval query.</w:t>
      </w:r>
    </w:p>
    <w:p>
      <w:pPr>
        <w:pStyle w:val="Heading2"/>
        <w:spacing w:after="120" w:before="320"/>
      </w:pPr>
      <w:r>
        <w:rPr>
          <w:rFonts w:ascii="Arial" w:cs="Arial" w:eastAsia="Arial" w:hAnsi="Arial"/>
          <w:b/>
          <w:bCs/>
          <w:color w:val="2E75B6"/>
          <w:sz w:val="28"/>
          <w:szCs w:val="28"/>
        </w:rPr>
        <w:t xml:space="preserve">8.3 Insight Extraction</w:t>
      </w:r>
    </w:p>
    <w:p>
      <w:pPr>
        <w:spacing w:after="80" w:before="80"/>
        <w:jc w:val="both"/>
      </w:pPr>
      <w:r>
        <w:rPr>
          <w:rFonts w:ascii="Arial" w:cs="Arial" w:eastAsia="Arial" w:hAnsi="Arial"/>
          <w:sz w:val="22"/>
          <w:szCs w:val="22"/>
        </w:rPr>
        <w:t xml:space="preserve">Insight extraction processes the GroundedResponse from the Knowledge Agent to identify executive-relevant insights: patterns, trends, anomalies, and conclusions that warrant explicit attention in the briefing. Insight extraction applies four heuristics. First, quantitative trend detection: if the evidence contains multiple time-stamped measurements of the same quantity (e.g., failure rates, maintenance costs, cycle times), the trend direction (improving, stable, degrading) is computed and highlighted as an insight. Second, anomaly flagging: if any evidence item describes an event or condition that deviates significantly from the patterns described by other evidence items, it is flagged as an anomaly insight. Third, cross-domain correlation: if evidence items from different document types or collections describe related phenomena (e.g., a maintenance log describes increased failure frequency, while a specification document describes the component's rated operating limit), the correlation is extracted as a corroborative insight. Fourth, precedent identification: if the evidence contains descriptions of prior similar situations and their outcomes, these are extracted as precedent insights.</w:t>
      </w:r>
    </w:p>
    <w:p>
      <w:pPr>
        <w:pStyle w:val="Heading2"/>
        <w:spacing w:after="120" w:before="320"/>
      </w:pPr>
      <w:r>
        <w:rPr>
          <w:rFonts w:ascii="Arial" w:cs="Arial" w:eastAsia="Arial" w:hAnsi="Arial"/>
          <w:b/>
          <w:bCs/>
          <w:color w:val="2E75B6"/>
          <w:sz w:val="28"/>
          <w:szCs w:val="28"/>
        </w:rPr>
        <w:t xml:space="preserve">8.4 Recommendation Engine</w:t>
      </w:r>
    </w:p>
    <w:p>
      <w:pPr>
        <w:spacing w:after="80" w:before="80"/>
        <w:jc w:val="both"/>
      </w:pPr>
      <w:r>
        <w:rPr>
          <w:rFonts w:ascii="Arial" w:cs="Arial" w:eastAsia="Arial" w:hAnsi="Arial"/>
          <w:sz w:val="22"/>
          <w:szCs w:val="22"/>
        </w:rPr>
        <w:t xml:space="preserve">The Recommendation Engine generates prioritised action recommendations from the synthesised evidence and extracted insights. Recommendations are categorised into three types: IMMEDIATE (actions that should be taken within the next 24-72 hours based on the evidence), SHORT_TERM (actions that should be planned within the next 30 days), and STRATEGIC (actions that require planning horizons of 90 days or more).</w:t>
      </w:r>
    </w:p>
    <w:p>
      <w:pPr>
        <w:spacing w:after="80" w:before="80"/>
        <w:jc w:val="both"/>
      </w:pPr>
      <w:r>
        <w:rPr>
          <w:rFonts w:ascii="Arial" w:cs="Arial" w:eastAsia="Arial" w:hAnsi="Arial"/>
          <w:sz w:val="22"/>
          <w:szCs w:val="22"/>
        </w:rPr>
        <w:t xml:space="preserve">Recommendations are generated by applying a rule base to the evidence and insights. The rule base is domain-configurable and loaded from a JSON specification at startup. Each rule specifies: a trigger condition (a pattern in the evidence or insights that activates the rule), a recommendation template (the text of the recommendation with slots for evidence-specific values), a priority score (used to rank recommendations when the rule base generates more recommendations than the briefing limit allows), and a citation list (the evidence items that support the recommendation).</w:t>
      </w:r>
    </w:p>
    <w:p>
      <w:pPr>
        <w:spacing w:after="80" w:before="80"/>
        <w:jc w:val="both"/>
      </w:pPr>
      <w:r>
        <w:rPr>
          <w:rFonts w:ascii="Arial" w:cs="Arial" w:eastAsia="Arial" w:hAnsi="Arial"/>
          <w:sz w:val="22"/>
          <w:szCs w:val="22"/>
        </w:rPr>
        <w:t xml:space="preserve">The Recommendation Engine produces a ranked list of Recommendation objects, each carrying: recommendation text, recommendation type, priority score, supporting citations, expected impact description, and estimated implementation complexity. The Executive Briefing includes the top-5 recommendations by priority score.</w:t>
      </w:r>
    </w:p>
    <w:p>
      <w:pPr>
        <w:pStyle w:val="Heading2"/>
        <w:spacing w:after="120" w:before="320"/>
      </w:pPr>
      <w:r>
        <w:rPr>
          <w:rFonts w:ascii="Arial" w:cs="Arial" w:eastAsia="Arial" w:hAnsi="Arial"/>
          <w:b/>
          <w:bCs/>
          <w:color w:val="2E75B6"/>
          <w:sz w:val="28"/>
          <w:szCs w:val="28"/>
        </w:rPr>
        <w:t xml:space="preserve">8.5 Executive Briefing Structure</w:t>
      </w:r>
    </w:p>
    <w:p>
      <w:pPr>
        <w:spacing w:after="80" w:before="80"/>
        <w:jc w:val="both"/>
      </w:pPr>
      <w:r>
        <w:rPr>
          <w:rFonts w:ascii="Arial" w:cs="Arial" w:eastAsia="Arial" w:hAnsi="Arial"/>
          <w:sz w:val="22"/>
          <w:szCs w:val="22"/>
        </w:rPr>
        <w:t xml:space="preserve">The Executive Briefing is the primary output of the Copilot. It is a structured document with seven mandatory sections:</w:t>
      </w:r>
    </w:p>
    <w:p>
      <w:pPr>
        <w:pStyle w:val="ListParagraph"/>
        <w:numPr>
          <w:ilvl w:val="0"/>
          <w:numId w:val="3"/>
        </w:numPr>
        <w:spacing w:after="40" w:before="40"/>
      </w:pPr>
      <w:r>
        <w:rPr>
          <w:rFonts w:ascii="Arial" w:cs="Arial" w:eastAsia="Arial" w:hAnsi="Arial"/>
          <w:sz w:val="22"/>
          <w:szCs w:val="22"/>
        </w:rPr>
        <w:t xml:space="preserve">Executive Summary: A two-to-four sentence synthesis of the most important findings and recommendations. Designed to be the only section read when executive time is extremely limited.</w:t>
      </w:r>
    </w:p>
    <w:p>
      <w:pPr>
        <w:pStyle w:val="ListParagraph"/>
        <w:numPr>
          <w:ilvl w:val="0"/>
          <w:numId w:val="3"/>
        </w:numPr>
        <w:spacing w:after="40" w:before="40"/>
      </w:pPr>
      <w:r>
        <w:rPr>
          <w:rFonts w:ascii="Arial" w:cs="Arial" w:eastAsia="Arial" w:hAnsi="Arial"/>
          <w:sz w:val="22"/>
          <w:szCs w:val="22"/>
        </w:rPr>
        <w:t xml:space="preserve">Key Findings: A ranked list of the most significant facts, patterns, and conclusions derived from the evidence, with citation keys for each finding.</w:t>
      </w:r>
    </w:p>
    <w:p>
      <w:pPr>
        <w:pStyle w:val="ListParagraph"/>
        <w:numPr>
          <w:ilvl w:val="0"/>
          <w:numId w:val="3"/>
        </w:numPr>
        <w:spacing w:after="40" w:before="40"/>
      </w:pPr>
      <w:r>
        <w:rPr>
          <w:rFonts w:ascii="Arial" w:cs="Arial" w:eastAsia="Arial" w:hAnsi="Arial"/>
          <w:sz w:val="22"/>
          <w:szCs w:val="22"/>
        </w:rPr>
        <w:t xml:space="preserve">Risk Assessment: An enumeration of risks identified in the evidence, categorised by severity (CRITICAL, HIGH, MEDIUM, LOW) and type (operational, regulatory, financial, reputational).</w:t>
      </w:r>
    </w:p>
    <w:p>
      <w:pPr>
        <w:pStyle w:val="ListParagraph"/>
        <w:numPr>
          <w:ilvl w:val="0"/>
          <w:numId w:val="3"/>
        </w:numPr>
        <w:spacing w:after="40" w:before="40"/>
      </w:pPr>
      <w:r>
        <w:rPr>
          <w:rFonts w:ascii="Arial" w:cs="Arial" w:eastAsia="Arial" w:hAnsi="Arial"/>
          <w:sz w:val="22"/>
          <w:szCs w:val="22"/>
        </w:rPr>
        <w:t xml:space="preserve">Prioritised Recommendations: The top-5 recommendations from the Recommendation Engine, presented in priority order with supporting evidence references.</w:t>
      </w:r>
    </w:p>
    <w:p>
      <w:pPr>
        <w:pStyle w:val="ListParagraph"/>
        <w:numPr>
          <w:ilvl w:val="0"/>
          <w:numId w:val="3"/>
        </w:numPr>
        <w:spacing w:after="40" w:before="40"/>
      </w:pPr>
      <w:r>
        <w:rPr>
          <w:rFonts w:ascii="Arial" w:cs="Arial" w:eastAsia="Arial" w:hAnsi="Arial"/>
          <w:sz w:val="22"/>
          <w:szCs w:val="22"/>
        </w:rPr>
        <w:t xml:space="preserve">Supporting Evidence: The full citation list, including document titles, types, dates, and relevance assessments.</w:t>
      </w:r>
    </w:p>
    <w:p>
      <w:pPr>
        <w:pStyle w:val="ListParagraph"/>
        <w:numPr>
          <w:ilvl w:val="0"/>
          <w:numId w:val="3"/>
        </w:numPr>
        <w:spacing w:after="40" w:before="40"/>
      </w:pPr>
      <w:r>
        <w:rPr>
          <w:rFonts w:ascii="Arial" w:cs="Arial" w:eastAsia="Arial" w:hAnsi="Arial"/>
          <w:sz w:val="22"/>
          <w:szCs w:val="22"/>
        </w:rPr>
        <w:t xml:space="preserve">Confidence Assessment: The overall confidence score (HIGH, MODERATE, or LOW) with a breakdown of the contributing sub-scores and an explanation of the primary confidence drivers and limiters.</w:t>
      </w:r>
    </w:p>
    <w:p>
      <w:pPr>
        <w:pStyle w:val="ListParagraph"/>
        <w:numPr>
          <w:ilvl w:val="0"/>
          <w:numId w:val="3"/>
        </w:numPr>
        <w:spacing w:after="40" w:before="40"/>
      </w:pPr>
      <w:r>
        <w:rPr>
          <w:rFonts w:ascii="Arial" w:cs="Arial" w:eastAsia="Arial" w:hAnsi="Arial"/>
          <w:sz w:val="22"/>
          <w:szCs w:val="22"/>
        </w:rPr>
        <w:t xml:space="preserve">Limitations and Information Gaps: An explicit enumeration of aspects of the question not addressed by the available evidence, with guidance on where additional information might be found.</w:t>
      </w:r>
    </w:p>
    <w:p>
      <w:pPr>
        <w:spacing w:after="80" w:before="80"/>
        <w:jc w:val="both"/>
      </w:pPr>
      <w:r>
        <w:rPr>
          <w:rFonts w:ascii="Arial" w:cs="Arial" w:eastAsia="Arial" w:hAnsi="Arial"/>
          <w:sz w:val="22"/>
          <w:szCs w:val="22"/>
        </w:rPr>
        <w:t xml:space="preserve">This structure is mandatory — every Executive Briefing produced by the Copilot contains all seven sections. Sections may be marked as 'No significant risks identified' or 'No limitations identified' when appropriate, but they are never omitted. This structural integrity guarantee ensures that briefing consumers never need to check whether a section is present — they can navigate directly to any section by its fixed position.</w:t>
      </w:r>
    </w:p>
    <w:p>
      <w:pPr>
        <w:pStyle w:val="Heading2"/>
        <w:spacing w:after="120" w:before="320"/>
      </w:pPr>
      <w:r>
        <w:rPr>
          <w:rFonts w:ascii="Arial" w:cs="Arial" w:eastAsia="Arial" w:hAnsi="Arial"/>
          <w:b/>
          <w:bCs/>
          <w:color w:val="2E75B6"/>
          <w:sz w:val="28"/>
          <w:szCs w:val="28"/>
        </w:rPr>
        <w:t xml:space="preserve">8.6 Business Risk Identification</w:t>
      </w:r>
    </w:p>
    <w:p>
      <w:pPr>
        <w:spacing w:after="80" w:before="80"/>
        <w:jc w:val="both"/>
      </w:pPr>
      <w:r>
        <w:rPr>
          <w:rFonts w:ascii="Arial" w:cs="Arial" w:eastAsia="Arial" w:hAnsi="Arial"/>
          <w:sz w:val="22"/>
          <w:szCs w:val="22"/>
        </w:rPr>
        <w:t xml:space="preserve">Business risk identification is integrated into the Briefing generation pipeline as a dedicated analysis step, not a post-processing addition. The risk identification module processes the evidence and insights to identify risk conditions along six dimensions: operational risk (conditions that threaten operational continuity), safety risk (conditions that create physical hazard), regulatory risk (conditions that may constitute regulatory non-compliance), financial risk (conditions with significant cost implications), reputational risk (conditions that could affect stakeholder perception), and strategic risk (conditions that undermine long-term strategic objectives).</w:t>
      </w:r>
    </w:p>
    <w:p>
      <w:pPr>
        <w:spacing w:after="80" w:before="80"/>
        <w:jc w:val="both"/>
      </w:pPr>
      <w:r>
        <w:rPr>
          <w:rFonts w:ascii="Arial" w:cs="Arial" w:eastAsia="Arial" w:hAnsi="Arial"/>
          <w:sz w:val="22"/>
          <w:szCs w:val="22"/>
        </w:rPr>
        <w:t xml:space="preserve">Each identified risk is assigned a severity score on a four-level scale (CRITICAL, HIGH, MEDIUM, LOW) based on two factors: the evidence strength supporting the risk assertion (how well-documented is this risk?) and the potential impact magnitude (how serious would the consequences be if this risk materialised?). Risks are presented in the briefing in descending severity order.</w:t>
      </w:r>
    </w:p>
    <w:p>
      <w:pPr>
        <w:pStyle w:val="Heading2"/>
        <w:spacing w:after="120" w:before="320"/>
      </w:pPr>
      <w:r>
        <w:rPr>
          <w:rFonts w:ascii="Arial" w:cs="Arial" w:eastAsia="Arial" w:hAnsi="Arial"/>
          <w:b/>
          <w:bCs/>
          <w:color w:val="2E75B6"/>
          <w:sz w:val="28"/>
          <w:szCs w:val="28"/>
        </w:rPr>
        <w:t xml:space="preserve">8.7 Limitations Disclosure</w:t>
      </w:r>
    </w:p>
    <w:p>
      <w:pPr>
        <w:spacing w:after="80" w:before="80"/>
        <w:jc w:val="both"/>
      </w:pPr>
      <w:r>
        <w:rPr>
          <w:rFonts w:ascii="Arial" w:cs="Arial" w:eastAsia="Arial" w:hAnsi="Arial"/>
          <w:sz w:val="22"/>
          <w:szCs w:val="22"/>
        </w:rPr>
        <w:t xml:space="preserve">Limitations disclosure is an architectural commitment, not a nicety. The Copilot's limitations section explicitly discloses: (a) information gaps — aspects of the question for which the evidence package provided no relevant documents; (b) evidence recency — if the most recent document in the evidence package is older than a configurable threshold (default: 180 days), a staleness warning is included; (c) evidence breadth — if all evidence derives from a single collection or document type, a breadth limitation is noted; (d) confidence level — if the overall confidence score is LOW or MODERATE, an explicit advisory is included recommending human expert review before acting on the briefing's recommendations; and (e) system limitations — a standard disclosure that the briefing was generated by a deterministic retrieval system without access to external data sources, real-time feeds, or unindexed knowledge.</w:t>
      </w:r>
    </w:p>
    <w:p>
      <w:pPr>
        <w:pStyle w:val="Heading2"/>
        <w:spacing w:after="120" w:before="320"/>
      </w:pPr>
      <w:r>
        <w:rPr>
          <w:rFonts w:ascii="Arial" w:cs="Arial" w:eastAsia="Arial" w:hAnsi="Arial"/>
          <w:b/>
          <w:bCs/>
          <w:color w:val="2E75B6"/>
          <w:sz w:val="28"/>
          <w:szCs w:val="28"/>
        </w:rPr>
        <w:t xml:space="preserve">8.8 Confidence Scoring</w:t>
      </w:r>
    </w:p>
    <w:p>
      <w:pPr>
        <w:spacing w:after="80" w:before="80"/>
        <w:jc w:val="both"/>
      </w:pPr>
      <w:r>
        <w:rPr>
          <w:rFonts w:ascii="Arial" w:cs="Arial" w:eastAsia="Arial" w:hAnsi="Arial"/>
          <w:sz w:val="22"/>
          <w:szCs w:val="22"/>
        </w:rPr>
        <w:t xml:space="preserve">The Executive Copilot computes a final, briefing-level confidence score that integrates the retrieval confidence (from the EvidencePackage), the response confidence (from the GroundedResponse), and two Copilot-level factors: insight confidence (how many of the extracted insights are supported by strong citations) and recommendation confidence (how many of the recommendations are supported by precedents in the evidence rather than derived from general rules). The briefing-level confidence score is the minimum of these four sub-scores, not their average — a single weak link anywhere in the chain produces a low overall confidence, consistent with the conservative epistemic stance appropriate for executive decision support.</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9. Complete Enterprise Pipeline</w:t>
      </w:r>
    </w:p>
    <w:p>
      <w:pPr>
        <w:pStyle w:val="Heading2"/>
        <w:spacing w:after="120" w:before="320"/>
      </w:pPr>
      <w:r>
        <w:rPr>
          <w:rFonts w:ascii="Arial" w:cs="Arial" w:eastAsia="Arial" w:hAnsi="Arial"/>
          <w:b/>
          <w:bCs/>
          <w:color w:val="2E75B6"/>
          <w:sz w:val="28"/>
          <w:szCs w:val="28"/>
        </w:rPr>
        <w:t xml:space="preserve">9.1 End-to-End Architecture</w:t>
      </w:r>
    </w:p>
    <w:p>
      <w:pPr>
        <w:spacing w:after="80" w:before="80"/>
        <w:jc w:val="both"/>
      </w:pPr>
      <w:r>
        <w:rPr>
          <w:rFonts w:ascii="Arial" w:cs="Arial" w:eastAsia="Arial" w:hAnsi="Arial"/>
          <w:sz w:val="22"/>
          <w:szCs w:val="22"/>
        </w:rPr>
        <w:t xml:space="preserve">The complete enterprise pipeline for a single executive question traverses seven logical stages, each implemented as an independently testable module with typed inputs and outputs.</w:t>
      </w:r>
    </w:p>
    <w:p>
      <w:pPr>
        <w:spacing w:after="80" w:before="80"/>
        <w:jc w:val="both"/>
      </w:pPr>
      <w:r>
        <w:rPr>
          <w:rFonts w:ascii="Arial" w:cs="Arial" w:eastAsia="Arial" w:hAnsi="Arial"/>
          <w:sz w:val="22"/>
          <w:szCs w:val="22"/>
        </w:rPr>
        <w:t xml:space="preserve">Stage 1 — Executive Question Intake: The Executive Copilot receives the question from the executive interface (CLI, API, or future web front-end). The question processor decomposes compound questions, resolves temporal implicature, and produces a normalised query string for each atomic sub-question.</w:t>
      </w:r>
    </w:p>
    <w:p>
      <w:pPr>
        <w:spacing w:after="80" w:before="80"/>
        <w:jc w:val="both"/>
      </w:pPr>
      <w:r>
        <w:rPr>
          <w:rFonts w:ascii="Arial" w:cs="Arial" w:eastAsia="Arial" w:hAnsi="Arial"/>
          <w:sz w:val="22"/>
          <w:szCs w:val="22"/>
        </w:rPr>
        <w:t xml:space="preserve">Stage 2 — Query Processing: The Retrieval Intelligence Layer's QueryPipeline normalises the query, expands abbreviations and acronyms, parses intent signals, and generates the query embedding vector using the EmbeddingEngine.</w:t>
      </w:r>
    </w:p>
    <w:p>
      <w:pPr>
        <w:spacing w:after="80" w:before="80"/>
        <w:jc w:val="both"/>
      </w:pPr>
      <w:r>
        <w:rPr>
          <w:rFonts w:ascii="Arial" w:cs="Arial" w:eastAsia="Arial" w:hAnsi="Arial"/>
          <w:sz w:val="22"/>
          <w:szCs w:val="22"/>
        </w:rPr>
        <w:t xml:space="preserve">Stage 3 — Candidate Generation: Three parallel retrieval strategies (vector similarity search, keyword search, metadata filter) generate candidate document sets that are merged and deduplicated.</w:t>
      </w:r>
    </w:p>
    <w:p>
      <w:pPr>
        <w:spacing w:after="80" w:before="80"/>
        <w:jc w:val="both"/>
      </w:pPr>
      <w:r>
        <w:rPr>
          <w:rFonts w:ascii="Arial" w:cs="Arial" w:eastAsia="Arial" w:hAnsi="Arial"/>
          <w:sz w:val="22"/>
          <w:szCs w:val="22"/>
        </w:rPr>
        <w:t xml:space="preserve">Stage 4 — Re-ranking: Each candidate document is scored on five ranking factors (semantic similarity, keyword relevance, temporal recency, document authority, coverage completeness) and the top-K candidates are selected by composite score.</w:t>
      </w:r>
    </w:p>
    <w:p>
      <w:pPr>
        <w:spacing w:after="80" w:before="80"/>
        <w:jc w:val="both"/>
      </w:pPr>
      <w:r>
        <w:rPr>
          <w:rFonts w:ascii="Arial" w:cs="Arial" w:eastAsia="Arial" w:hAnsi="Arial"/>
          <w:sz w:val="22"/>
          <w:szCs w:val="22"/>
        </w:rPr>
        <w:t xml:space="preserve">Stage 5 — Evidence Assembly: The top-K ranked candidates are assembled into an EvidencePackage with extracted passages, evidence scores, relevance labels, coverage metrics, and a retrieval confidence score.</w:t>
      </w:r>
    </w:p>
    <w:p>
      <w:pPr>
        <w:spacing w:after="80" w:before="80"/>
        <w:jc w:val="both"/>
      </w:pPr>
      <w:r>
        <w:rPr>
          <w:rFonts w:ascii="Arial" w:cs="Arial" w:eastAsia="Arial" w:hAnsi="Arial"/>
          <w:sz w:val="22"/>
          <w:szCs w:val="22"/>
        </w:rPr>
        <w:t xml:space="preserve">Stage 6 — Knowledge Agent Reasoning: The Knowledge Agent processes the EvidencePackage through question understanding, evidence analysis, grounded response generation, citation assembly, confidence scoring, and follow-up question generation, producing a GroundedResponse.</w:t>
      </w:r>
    </w:p>
    <w:p>
      <w:pPr>
        <w:spacing w:after="80" w:before="80"/>
        <w:jc w:val="both"/>
      </w:pPr>
      <w:r>
        <w:rPr>
          <w:rFonts w:ascii="Arial" w:cs="Arial" w:eastAsia="Arial" w:hAnsi="Arial"/>
          <w:sz w:val="22"/>
          <w:szCs w:val="22"/>
        </w:rPr>
        <w:t xml:space="preserve">Stage 7 — Executive Briefing Assembly: The Executive Copilot processes the GroundedResponse through insight extraction, risk identification, recommendation generation, limitations assessment, and confidence integration, producing the structured Executive Briefing.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00"/>
        <w:gridCol w:w="2100"/>
        <w:gridCol w:w="1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Latency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 Question Processor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executive question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Atomic query list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 ms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Pipeline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Atomic query string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QueryContext + embedding</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10 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 Generation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QueryContext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Merged candidate set (50-150 docs)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50 ms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Re-ranking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 set + QueryContext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Top-K ranked docs (K=10)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20 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Assembly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Top-K docs + QueryContext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EvidencePackage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10 ms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Agent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EvidencePackage + Question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GroundedResponse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 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 Assembly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GroundedResponse + Insights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 Briefing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20 ms</w:t>
            </w:r>
          </w:p>
        </w:tc>
      </w:tr>
    </w:tbl>
    <w:p>
      <w:pPr>
        <w:spacing w:after="160" w:before="40"/>
        <w:jc w:val="center"/>
      </w:pPr>
      <w:r>
        <w:rPr>
          <w:rFonts w:ascii="Arial" w:cs="Arial" w:eastAsia="Arial" w:hAnsi="Arial"/>
          <w:i/>
          <w:iCs/>
          <w:color w:val="595959"/>
          <w:sz w:val="20"/>
          <w:szCs w:val="20"/>
        </w:rPr>
        <w:t xml:space="preserve">Table 9.1 — End-to-end pipeline stages with typical latencies on commodity hardware</w:t>
      </w:r>
    </w:p>
    <w:p>
      <w:pPr>
        <w:pStyle w:val="Heading2"/>
        <w:spacing w:after="120" w:before="320"/>
      </w:pPr>
      <w:r>
        <w:rPr>
          <w:rFonts w:ascii="Arial" w:cs="Arial" w:eastAsia="Arial" w:hAnsi="Arial"/>
          <w:b/>
          <w:bCs/>
          <w:color w:val="2E75B6"/>
          <w:sz w:val="28"/>
          <w:szCs w:val="28"/>
        </w:rPr>
        <w:t xml:space="preserve">9.2 Pipeline Orchestration</w:t>
      </w:r>
    </w:p>
    <w:p>
      <w:pPr>
        <w:spacing w:after="80" w:before="80"/>
        <w:jc w:val="both"/>
      </w:pPr>
      <w:r>
        <w:rPr>
          <w:rFonts w:ascii="Arial" w:cs="Arial" w:eastAsia="Arial" w:hAnsi="Arial"/>
          <w:sz w:val="22"/>
          <w:szCs w:val="22"/>
        </w:rPr>
        <w:t xml:space="preserve">Pipeline orchestration is handled by the KnowledgeIntelligencePipeline class, which wires the seven stages together, manages shared state (the EmbeddingEngine instance, the VectorIndex, the Knowledge Base reference), and provides a single entry-point method execute(question: str) -&gt; ExecutiveBriefing that executes the complete pipeline and returns the briefing. The orchestrator also handles pipeline-level error management: if any stage fails, the orchestrator catches the exception, logs the failure point with full context, and returns a degraded briefing that explicitly acknowledges the processing failure rather than raising an exception to the caller.</w:t>
      </w:r>
    </w:p>
    <w:p>
      <w:pPr>
        <w:pStyle w:val="Heading2"/>
        <w:spacing w:after="120" w:before="320"/>
      </w:pPr>
      <w:r>
        <w:rPr>
          <w:rFonts w:ascii="Arial" w:cs="Arial" w:eastAsia="Arial" w:hAnsi="Arial"/>
          <w:b/>
          <w:bCs/>
          <w:color w:val="2E75B6"/>
          <w:sz w:val="28"/>
          <w:szCs w:val="28"/>
        </w:rPr>
        <w:t xml:space="preserve">9.3 Multi-Question Batching</w:t>
      </w:r>
    </w:p>
    <w:p>
      <w:pPr>
        <w:spacing w:after="80" w:before="80"/>
        <w:jc w:val="both"/>
      </w:pPr>
      <w:r>
        <w:rPr>
          <w:rFonts w:ascii="Arial" w:cs="Arial" w:eastAsia="Arial" w:hAnsi="Arial"/>
          <w:sz w:val="22"/>
          <w:szCs w:val="22"/>
        </w:rPr>
        <w:t xml:space="preserve">For compound executive questions that decompose into multiple atomic sub-questions, the pipeline executes each sub-question independently and then merges the resulting GroundedResponses before the Executive Briefing assembly stage. Response merging deduplicates overlapping claims (claims that appear in multiple sub-question responses are merged with weight equal to the sum of their individual weights), aggregates evidence packages (the union of all evidence items from all sub-question retrievals), and combines follow-up questions (deduplicating semantically equivalent suggestions).</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10. Engineering Principles</w:t>
      </w:r>
    </w:p>
    <w:p>
      <w:pPr>
        <w:pStyle w:val="Heading2"/>
        <w:spacing w:after="120" w:before="320"/>
      </w:pPr>
      <w:r>
        <w:rPr>
          <w:rFonts w:ascii="Arial" w:cs="Arial" w:eastAsia="Arial" w:hAnsi="Arial"/>
          <w:b/>
          <w:bCs/>
          <w:color w:val="2E75B6"/>
          <w:sz w:val="28"/>
          <w:szCs w:val="28"/>
        </w:rPr>
        <w:t xml:space="preserve">10.1 Dependency Injection</w:t>
      </w:r>
    </w:p>
    <w:p>
      <w:pPr>
        <w:spacing w:after="80" w:before="80"/>
        <w:jc w:val="both"/>
      </w:pPr>
      <w:r>
        <w:rPr>
          <w:rFonts w:ascii="Arial" w:cs="Arial" w:eastAsia="Arial" w:hAnsi="Arial"/>
          <w:sz w:val="22"/>
          <w:szCs w:val="22"/>
        </w:rPr>
        <w:t xml:space="preserve">Dependency injection is applied throughout the Week 9 codebase. No component creates its own dependencies; all dependencies (Knowledge Base instance, EmbeddingEngine, VectorIndex, configuration objects) are provided at construction time through constructor parameters. This pattern has four concrete benefits: testability (dependencies can be replaced with mock objects during unit testing), flexibility (alternative implementations can be substituted without modifying the component), documentation (a class's constructor signature is a precise declaration of its dependencies), and lifecycle management (the caller controls when dependencies are created and destroyed).</w:t>
      </w:r>
    </w:p>
    <w:p>
      <w:pPr>
        <w:spacing w:after="80" w:before="80"/>
        <w:jc w:val="both"/>
      </w:pPr>
      <w:r>
        <w:rPr>
          <w:rFonts w:ascii="Arial" w:cs="Arial" w:eastAsia="Arial" w:hAnsi="Arial"/>
          <w:sz w:val="22"/>
          <w:szCs w:val="22"/>
        </w:rPr>
        <w:t xml:space="preserve">The dependency injection pattern is implemented manually (without an injection framework) to maintain the zero-external-dependency constraint at the core platform level. The platform's test suite demonstrates the testability benefit explicitly: every component is tested with a minimal, in-memory stub implementation of its dependencies rather than requiring the full production dependency graph.</w:t>
      </w:r>
    </w:p>
    <w:p>
      <w:pPr>
        <w:pStyle w:val="Heading2"/>
        <w:spacing w:after="120" w:before="320"/>
      </w:pPr>
      <w:r>
        <w:rPr>
          <w:rFonts w:ascii="Arial" w:cs="Arial" w:eastAsia="Arial" w:hAnsi="Arial"/>
          <w:b/>
          <w:bCs/>
          <w:color w:val="2E75B6"/>
          <w:sz w:val="28"/>
          <w:szCs w:val="28"/>
        </w:rPr>
        <w:t xml:space="preserve">10.2 Composition Over Inheritance</w:t>
      </w:r>
    </w:p>
    <w:p>
      <w:pPr>
        <w:spacing w:after="80" w:before="80"/>
        <w:jc w:val="both"/>
      </w:pPr>
      <w:r>
        <w:rPr>
          <w:rFonts w:ascii="Arial" w:cs="Arial" w:eastAsia="Arial" w:hAnsi="Arial"/>
          <w:sz w:val="22"/>
          <w:szCs w:val="22"/>
        </w:rPr>
        <w:t xml:space="preserve">The Week 9 architecture applies composition over inheritance as a consistent design principle. The Knowledge Agent does not extend a base Agent class — it composes a QuestionProcessor, an EvidenceAnalyser, a ResponseGenerator, a CitationAssembler, and a ConfidenceModel as distinct collaborator objects. The Executive Copilot composes the Knowledge Agent, an InsightExtractor, a RecommendationEngine, a RiskIdentifier, and a BriefingAssembler.</w:t>
      </w:r>
    </w:p>
    <w:p>
      <w:pPr>
        <w:spacing w:after="80" w:before="80"/>
        <w:jc w:val="both"/>
      </w:pPr>
      <w:r>
        <w:rPr>
          <w:rFonts w:ascii="Arial" w:cs="Arial" w:eastAsia="Arial" w:hAnsi="Arial"/>
          <w:sz w:val="22"/>
          <w:szCs w:val="22"/>
        </w:rPr>
        <w:t xml:space="preserve">This compositional structure has three advantages over a deep inheritance hierarchy. First, it avoids the fragile base class problem — changes to a base class do not silently affect subclasses. Second, it enables mix-and-match configuration — the Knowledge Agent can be instantiated with a different ResponseGenerator (e.g., a template-based generator or an LLM-backed generator in a future iteration) without modifying the Agent class itself. Third, it makes the system's structure explicit and readable — the constructor of any complex component lists all its collaborators, providing an immediate architectural overview.</w:t>
      </w:r>
    </w:p>
    <w:p>
      <w:pPr>
        <w:pStyle w:val="Heading2"/>
        <w:spacing w:after="120" w:before="320"/>
      </w:pPr>
      <w:r>
        <w:rPr>
          <w:rFonts w:ascii="Arial" w:cs="Arial" w:eastAsia="Arial" w:hAnsi="Arial"/>
          <w:b/>
          <w:bCs/>
          <w:color w:val="2E75B6"/>
          <w:sz w:val="28"/>
          <w:szCs w:val="28"/>
        </w:rPr>
        <w:t xml:space="preserve">10.3 Registry Pattern</w:t>
      </w:r>
    </w:p>
    <w:p>
      <w:pPr>
        <w:spacing w:after="80" w:before="80"/>
        <w:jc w:val="both"/>
      </w:pPr>
      <w:r>
        <w:rPr>
          <w:rFonts w:ascii="Arial" w:cs="Arial" w:eastAsia="Arial" w:hAnsi="Arial"/>
          <w:sz w:val="22"/>
          <w:szCs w:val="22"/>
        </w:rPr>
        <w:t xml:space="preserve">The registry pattern is used in three places in the Week 9 architecture: the KnowledgeRegistry (tracking document lifecycle state), the DocumentTypeRegistry (mapping document type strings to enum values for serialisation/deserialisation), and the EmbeddingRegistry (caching computed embeddings by document ID to avoid redundant computation). Each registry follows the same structural pattern: a dictionary keyed by a stable identifier, with typed values, and methods for registration (add), lookup (get), existence check (contains), and enumeration (list_all). Registries are not global singletons — they are instantiated per-KnowledgeBase, ensuring that multiple Knowledge Base instances can coexist in the same process without shared mutable state.</w:t>
      </w:r>
    </w:p>
    <w:p>
      <w:pPr>
        <w:pStyle w:val="Heading2"/>
        <w:spacing w:after="120" w:before="320"/>
      </w:pPr>
      <w:r>
        <w:rPr>
          <w:rFonts w:ascii="Arial" w:cs="Arial" w:eastAsia="Arial" w:hAnsi="Arial"/>
          <w:b/>
          <w:bCs/>
          <w:color w:val="2E75B6"/>
          <w:sz w:val="28"/>
          <w:szCs w:val="28"/>
        </w:rPr>
        <w:t xml:space="preserve">10.4 Frozen Dataclasses</w:t>
      </w:r>
    </w:p>
    <w:p>
      <w:pPr>
        <w:spacing w:after="80" w:before="80"/>
        <w:jc w:val="both"/>
      </w:pPr>
      <w:r>
        <w:rPr>
          <w:rFonts w:ascii="Arial" w:cs="Arial" w:eastAsia="Arial" w:hAnsi="Arial"/>
          <w:sz w:val="22"/>
          <w:szCs w:val="22"/>
        </w:rPr>
        <w:t xml:space="preserve">Frozen dataclasses (Python's @dataclass(frozen=True)) are used for all domain objects that should be immutable after creation: KnowledgeDocument, KnowledgeMetadata, EvidenceItem, EvidencePackage, GroundedResponse, Citation, Recommendation, and ExecutiveBriefing. Immutable domain objects eliminate an entire class of bugs (accidental mutation of shared objects), enable safe object sharing across the system (no defensive copying required), support structural equality comparison (frozen dataclasses are hashable by value), and communicate intent clearly to developers reading the code.</w:t>
      </w:r>
    </w:p>
    <w:p>
      <w:pPr>
        <w:spacing w:after="80" w:before="80"/>
        <w:jc w:val="both"/>
      </w:pPr>
      <w:r>
        <w:rPr>
          <w:rFonts w:ascii="Arial" w:cs="Arial" w:eastAsia="Arial" w:hAnsi="Arial"/>
          <w:sz w:val="22"/>
          <w:szCs w:val="22"/>
        </w:rPr>
        <w:t xml:space="preserve">The one domain object that is not frozen is the KnowledgeBase itself, because it must support document ingestion (which modifies its internal state). The KnowledgeBase uses explicit mutation methods rather than direct field assignment to ensure that all state changes go through defined, testable code paths.</w:t>
      </w:r>
    </w:p>
    <w:p>
      <w:pPr>
        <w:pStyle w:val="Heading2"/>
        <w:spacing w:after="120" w:before="320"/>
      </w:pPr>
      <w:r>
        <w:rPr>
          <w:rFonts w:ascii="Arial" w:cs="Arial" w:eastAsia="Arial" w:hAnsi="Arial"/>
          <w:b/>
          <w:bCs/>
          <w:color w:val="2E75B6"/>
          <w:sz w:val="28"/>
          <w:szCs w:val="28"/>
        </w:rPr>
        <w:t xml:space="preserve">10.5 Deterministic AI</w:t>
      </w:r>
    </w:p>
    <w:p>
      <w:pPr>
        <w:spacing w:after="80" w:before="80"/>
        <w:jc w:val="both"/>
      </w:pPr>
      <w:r>
        <w:rPr>
          <w:rFonts w:ascii="Arial" w:cs="Arial" w:eastAsia="Arial" w:hAnsi="Arial"/>
          <w:sz w:val="22"/>
          <w:szCs w:val="22"/>
        </w:rPr>
        <w:t xml:space="preserve">Deterministic AI is a first-class design requirement, not a consequence of avoiding LLMs. The Week 9 implementation achieves full determinism through four mechanisms: fixed random seed for the projection matrix initialisation (the seed is part of the configuration and persisted with the index); deterministic ranking (composite scores are computed with floating-point arithmetic in a fixed order; ties are broken by document ID alphabetically); deterministic response generation (response assembly applies rules in a fixed order to a sorted claim list); and deterministic confidence scoring (all sub-scores are computed from deterministic inputs using deterministic arithmetic).</w:t>
      </w:r>
    </w:p>
    <w:p>
      <w:pPr>
        <w:spacing w:after="80" w:before="80"/>
        <w:jc w:val="both"/>
      </w:pPr>
      <w:r>
        <w:rPr>
          <w:rFonts w:ascii="Arial" w:cs="Arial" w:eastAsia="Arial" w:hAnsi="Arial"/>
          <w:sz w:val="22"/>
          <w:szCs w:val="22"/>
        </w:rPr>
        <w:t xml:space="preserve">The practical consequence of this design is that the platform can be used in audit trails and regulatory submissions: a record of 'the system queried knowledge base KB-v1.2 with question Q, retrieved evidence package EP-001, and produced briefing BR-047 with confidence 0.78' is a complete, reproducible description of the system's behaviour. Running the same query against the same knowledge base at any future time will produce the same result.</w:t>
      </w:r>
    </w:p>
    <w:p>
      <w:pPr>
        <w:pStyle w:val="Heading2"/>
        <w:spacing w:after="120" w:before="320"/>
      </w:pPr>
      <w:r>
        <w:rPr>
          <w:rFonts w:ascii="Arial" w:cs="Arial" w:eastAsia="Arial" w:hAnsi="Arial"/>
          <w:b/>
          <w:bCs/>
          <w:color w:val="2E75B6"/>
          <w:sz w:val="28"/>
          <w:szCs w:val="28"/>
        </w:rPr>
        <w:t xml:space="preserve">10.6 Pure Python and Pure NumPy</w:t>
      </w:r>
    </w:p>
    <w:p>
      <w:pPr>
        <w:spacing w:after="80" w:before="80"/>
        <w:jc w:val="both"/>
      </w:pPr>
      <w:r>
        <w:rPr>
          <w:rFonts w:ascii="Arial" w:cs="Arial" w:eastAsia="Arial" w:hAnsi="Arial"/>
          <w:sz w:val="22"/>
          <w:szCs w:val="22"/>
        </w:rPr>
        <w:t xml:space="preserve">The Week 9 implementation uses Python 3.11 standard library plus NumPy as its only dependencies. This constraint is deliberately narrow. Pure Python ensures that the codebase is deployable anywhere Python runs — cloud, on-premise, edge, air-gapped environments — without dependency management complexity. Pure NumPy ensures that all numerical computation is transparent (NumPy is a mature, audited library with well-understood numerical behaviour), fast (BLAS-accelerated on most platforms), and reproducible (NumPy's floating-point behaviour is consistent across platforms for a given seed and operation sequence).</w:t>
      </w:r>
    </w:p>
    <w:p>
      <w:pPr>
        <w:spacing w:after="80" w:before="80"/>
        <w:jc w:val="both"/>
      </w:pPr>
      <w:r>
        <w:rPr>
          <w:rFonts w:ascii="Arial" w:cs="Arial" w:eastAsia="Arial" w:hAnsi="Arial"/>
          <w:sz w:val="22"/>
          <w:szCs w:val="22"/>
        </w:rPr>
        <w:t xml:space="preserve">Future phases (Week 10 and beyond) will introduce optional dependencies (transformer model libraries for improved embeddings, LLM APIs for enhanced response generation) as additive extensions rather than replacements, preserving the pure-Python baseline for deployments that cannot accept external dependencies.</w:t>
      </w:r>
    </w:p>
    <w:p>
      <w:pPr>
        <w:pStyle w:val="Heading2"/>
        <w:spacing w:after="120" w:before="320"/>
      </w:pPr>
      <w:r>
        <w:rPr>
          <w:rFonts w:ascii="Arial" w:cs="Arial" w:eastAsia="Arial" w:hAnsi="Arial"/>
          <w:b/>
          <w:bCs/>
          <w:color w:val="2E75B6"/>
          <w:sz w:val="28"/>
          <w:szCs w:val="28"/>
        </w:rPr>
        <w:t xml:space="preserve">10.7 Backward Compatibility</w:t>
      </w:r>
    </w:p>
    <w:p>
      <w:pPr>
        <w:spacing w:after="80" w:before="80"/>
        <w:jc w:val="both"/>
      </w:pPr>
      <w:r>
        <w:rPr>
          <w:rFonts w:ascii="Arial" w:cs="Arial" w:eastAsia="Arial" w:hAnsi="Arial"/>
          <w:sz w:val="22"/>
          <w:szCs w:val="22"/>
        </w:rPr>
        <w:t xml:space="preserve">The Week 9 implementation maintains full backward compatibility with all Week 1 through Week 8 components. No existing interfaces were modified. The Knowledge Intelligence Layer was added as a new package (knowledge_intelligence/) that imports existing Week 8 modules as needed but is not imported by any existing Week 8 module. This unidirectional dependency structure ensures that Week 8 components continue to function identically to their pre-Week 9 behaviour, and that the Week 9 components are the only addition to the dependency graph.</w:t>
      </w:r>
    </w:p>
    <w:p>
      <w:pPr>
        <w:pStyle w:val="Heading2"/>
        <w:spacing w:after="120" w:before="320"/>
      </w:pPr>
      <w:r>
        <w:rPr>
          <w:rFonts w:ascii="Arial" w:cs="Arial" w:eastAsia="Arial" w:hAnsi="Arial"/>
          <w:b/>
          <w:bCs/>
          <w:color w:val="2E75B6"/>
          <w:sz w:val="28"/>
          <w:szCs w:val="28"/>
        </w:rPr>
        <w:t xml:space="preserve">10.8 Modular Architecture</w:t>
      </w:r>
    </w:p>
    <w:p>
      <w:pPr>
        <w:spacing w:after="80" w:before="80"/>
        <w:jc w:val="both"/>
      </w:pPr>
      <w:r>
        <w:rPr>
          <w:rFonts w:ascii="Arial" w:cs="Arial" w:eastAsia="Arial" w:hAnsi="Arial"/>
          <w:sz w:val="22"/>
          <w:szCs w:val="22"/>
        </w:rPr>
        <w:t xml:space="preserve">Each of the five phases is implemented as an independent Python package with its own __init__.py, public API surface, and test suite. Packages communicate only through typed interfaces defined in a shared types module (enterprise_dt/knowledge_intelligence/types.py). No package accesses the internal implementation details of another package — all cross-package communication goes through the typed interface. This modular structure supports independent versioning, independent deployment, and independent testing of each phase.</w:t>
      </w:r>
    </w:p>
    <w:p>
      <w:pPr>
        <w:pStyle w:val="Heading2"/>
        <w:spacing w:after="120" w:before="320"/>
      </w:pPr>
      <w:r>
        <w:rPr>
          <w:rFonts w:ascii="Arial" w:cs="Arial" w:eastAsia="Arial" w:hAnsi="Arial"/>
          <w:b/>
          <w:bCs/>
          <w:color w:val="2E75B6"/>
          <w:sz w:val="28"/>
          <w:szCs w:val="28"/>
        </w:rPr>
        <w:t xml:space="preserve">10.9 JSON Serialisation</w:t>
      </w:r>
    </w:p>
    <w:p>
      <w:pPr>
        <w:spacing w:after="80" w:before="80"/>
        <w:jc w:val="both"/>
      </w:pPr>
      <w:r>
        <w:rPr>
          <w:rFonts w:ascii="Arial" w:cs="Arial" w:eastAsia="Arial" w:hAnsi="Arial"/>
          <w:sz w:val="22"/>
          <w:szCs w:val="22"/>
        </w:rPr>
        <w:t xml:space="preserve">All domain objects in the Week 9 platform are JSON-serialisable. The serialisation layer converts frozen dataclasses to dictionaries recursively, handling Python-specific types (enumerations, datetime objects, tuples) through a custom encoder. Deserialisation reconstructs frozen dataclasses from dictionaries, applying type coercion and enum resolution. The JSON format is versioned — every serialised object carries a schema_version field that allows future deserialisation code to apply migration logic. CLI tools that persist outputs to disk use the JSON serialisation layer, ensuring that outputs are human-readable and machine-parseable without additional tooling.</w:t>
      </w:r>
    </w:p>
    <w:p>
      <w:pPr>
        <w:pStyle w:val="Heading2"/>
        <w:spacing w:after="120" w:before="320"/>
      </w:pPr>
      <w:r>
        <w:rPr>
          <w:rFonts w:ascii="Arial" w:cs="Arial" w:eastAsia="Arial" w:hAnsi="Arial"/>
          <w:b/>
          <w:bCs/>
          <w:color w:val="2E75B6"/>
          <w:sz w:val="28"/>
          <w:szCs w:val="28"/>
        </w:rPr>
        <w:t xml:space="preserve">10.10 CLI</w:t>
      </w:r>
    </w:p>
    <w:p>
      <w:pPr>
        <w:spacing w:after="80" w:before="80"/>
        <w:jc w:val="both"/>
      </w:pPr>
      <w:r>
        <w:rPr>
          <w:rFonts w:ascii="Arial" w:cs="Arial" w:eastAsia="Arial" w:hAnsi="Arial"/>
          <w:sz w:val="22"/>
          <w:szCs w:val="22"/>
        </w:rPr>
        <w:t xml:space="preserve">The Week 9 platform exposes a command-line interface for all major operations: knowledge base creation and document ingestion, corpus validation and statistics, vector index building and inspection, retrieval execution and result inspection, knowledge agent querying, and executive copilot briefing generation. The CLI is implemented using Python's argparse module and follows POSIX conventions for argument naming and exit codes. All CLI operations write structured JSON output to stdout (suitable for pipeline composition) and human-readable summaries to stderr. This design allows the CLI to be used both interactively by engineers and programmatically in CI/CD pipelines and automation scripts.</w:t>
      </w:r>
    </w:p>
    <w:p>
      <w:pPr>
        <w:pStyle w:val="Heading2"/>
        <w:spacing w:after="120" w:before="320"/>
      </w:pPr>
      <w:r>
        <w:rPr>
          <w:rFonts w:ascii="Arial" w:cs="Arial" w:eastAsia="Arial" w:hAnsi="Arial"/>
          <w:b/>
          <w:bCs/>
          <w:color w:val="2E75B6"/>
          <w:sz w:val="28"/>
          <w:szCs w:val="28"/>
        </w:rPr>
        <w:t xml:space="preserve">10.11 Testing</w:t>
      </w:r>
    </w:p>
    <w:p>
      <w:pPr>
        <w:spacing w:after="80" w:before="80"/>
        <w:jc w:val="both"/>
      </w:pPr>
      <w:r>
        <w:rPr>
          <w:rFonts w:ascii="Arial" w:cs="Arial" w:eastAsia="Arial" w:hAnsi="Arial"/>
          <w:sz w:val="22"/>
          <w:szCs w:val="22"/>
        </w:rPr>
        <w:t xml:space="preserve">The testing architecture is described fully in Section 12. At the principle level: every public method has at least one unit test; every public class has at least one integration test; every pipeline has at least one end-to-end test; and every serialisation/deserialisation roundtrip is tested for idempotency. Tests are written using Python's unittest module, organised in a tests/ directory mirroring the source tree, and executable via a single pytest invocation from the project root.</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11. Software Engineering Decisions</w:t>
      </w:r>
    </w:p>
    <w:p>
      <w:pPr>
        <w:pStyle w:val="Heading2"/>
        <w:spacing w:after="120" w:before="320"/>
      </w:pPr>
      <w:r>
        <w:rPr>
          <w:rFonts w:ascii="Arial" w:cs="Arial" w:eastAsia="Arial" w:hAnsi="Arial"/>
          <w:b/>
          <w:bCs/>
          <w:color w:val="2E75B6"/>
          <w:sz w:val="28"/>
          <w:szCs w:val="28"/>
        </w:rPr>
        <w:t xml:space="preserve">11.1 Why No LLM</w:t>
      </w:r>
    </w:p>
    <w:p>
      <w:pPr>
        <w:spacing w:after="80" w:before="80"/>
        <w:jc w:val="both"/>
      </w:pPr>
      <w:r>
        <w:rPr>
          <w:rFonts w:ascii="Arial" w:cs="Arial" w:eastAsia="Arial" w:hAnsi="Arial"/>
          <w:sz w:val="22"/>
          <w:szCs w:val="22"/>
        </w:rPr>
        <w:t xml:space="preserve">The decision to implement the Week 9 platform without a large language model is one of the most consequential and deliberate engineering choices in the project's history. LLMs offer compelling capabilities — fluent natural language generation, broad world knowledge, sophisticated reasoning — but they impose four constraints that are incompatible with the Week 9 design requirements.</w:t>
      </w:r>
    </w:p>
    <w:p>
      <w:pPr>
        <w:spacing w:after="80" w:before="80"/>
        <w:jc w:val="both"/>
      </w:pPr>
      <w:r>
        <w:rPr>
          <w:rFonts w:ascii="Arial" w:cs="Arial" w:eastAsia="Arial" w:hAnsi="Arial"/>
          <w:sz w:val="22"/>
          <w:szCs w:val="22"/>
        </w:rPr>
        <w:t xml:space="preserve">First, non-determinism: LLMs produce probabilistically sampled outputs. The same prompt submitted to the same model twice may produce different responses. For an enterprise system where the regulator may ask 'exactly what did the system conclude, and why?' the inability to guarantee reproducible outputs is architecturally disqualifying. Second, opacity: the reasoning process of an LLM is not inspectable. It is not possible to determine exactly which training data influenced a given response, or to verify that a response is not confabulated. For systems that generate executive briefings informing safety-critical decisions, this opacity is unacceptable. Third, external dependency: LLM APIs require network connectivity, API keys, and compliance with the vendor's terms of service. Many enterprise deployments, particularly in defence, nuclear, and highly regulated industries, operate in air-gapped environments where external API calls are prohibited. Fourth, hallucination risk: LLMs may generate factually incorrect claims presented with inappropriate confidence. A hallucinated maintenance procedure or incorrectly recalled regulation is a serious safety and legal liability in the target deployment contexts.</w:t>
      </w:r>
    </w:p>
    <w:p>
      <w:pPr>
        <w:spacing w:after="80" w:before="80"/>
        <w:jc w:val="both"/>
      </w:pPr>
      <w:r>
        <w:rPr>
          <w:rFonts w:ascii="Arial" w:cs="Arial" w:eastAsia="Arial" w:hAnsi="Arial"/>
          <w:sz w:val="22"/>
          <w:szCs w:val="22"/>
        </w:rPr>
        <w:t xml:space="preserve">The Week 9 implementation addresses all four constraints through deterministic retrieval-augmented generation: every output is grounded in retrieved documents (no hallucination), every retrieval and reasoning step is traceable (no opacity), the implementation is self-contained (no external dependencies), and the computation is deterministic given fixed inputs (no non-determinism). The trade-off is reduced fluency and breadth compared to LLM-generated responses — a trade-off explicitly accepted for this use case.</w:t>
      </w:r>
    </w:p>
    <w:p>
      <w:pPr>
        <w:pStyle w:val="Heading2"/>
        <w:spacing w:after="120" w:before="320"/>
      </w:pPr>
      <w:r>
        <w:rPr>
          <w:rFonts w:ascii="Arial" w:cs="Arial" w:eastAsia="Arial" w:hAnsi="Arial"/>
          <w:b/>
          <w:bCs/>
          <w:color w:val="2E75B6"/>
          <w:sz w:val="28"/>
          <w:szCs w:val="28"/>
        </w:rPr>
        <w:t xml:space="preserve">11.2 Why Deterministic</w:t>
      </w:r>
    </w:p>
    <w:p>
      <w:pPr>
        <w:spacing w:after="80" w:before="80"/>
        <w:jc w:val="both"/>
      </w:pPr>
      <w:r>
        <w:rPr>
          <w:rFonts w:ascii="Arial" w:cs="Arial" w:eastAsia="Arial" w:hAnsi="Arial"/>
          <w:sz w:val="22"/>
          <w:szCs w:val="22"/>
        </w:rPr>
        <w:t xml:space="preserve">Determinism is not merely a safety property — it is an architectural property that enables a range of engineering practices that would otherwise be impossible. Deterministic systems can be regression-tested: adding a new feature cannot silently change the output of an existing query. Deterministic systems can be cached: the result of any query is a pure function of the query and the knowledge base state, so results can be memoised. Deterministic systems can be audited: the complete execution trace of any query can be replayed from the inputs. Deterministic systems can be validated against ground truth: a labelled test set can measure system accuracy precisely, without the variance introduced by sampling.</w:t>
      </w:r>
    </w:p>
    <w:p>
      <w:pPr>
        <w:pStyle w:val="Heading2"/>
        <w:spacing w:after="120" w:before="320"/>
      </w:pPr>
      <w:r>
        <w:rPr>
          <w:rFonts w:ascii="Arial" w:cs="Arial" w:eastAsia="Arial" w:hAnsi="Arial"/>
          <w:b/>
          <w:bCs/>
          <w:color w:val="2E75B6"/>
          <w:sz w:val="28"/>
          <w:szCs w:val="28"/>
        </w:rPr>
        <w:t xml:space="preserve">11.3 Why Modular</w:t>
      </w:r>
    </w:p>
    <w:p>
      <w:pPr>
        <w:spacing w:after="80" w:before="80"/>
        <w:jc w:val="both"/>
      </w:pPr>
      <w:r>
        <w:rPr>
          <w:rFonts w:ascii="Arial" w:cs="Arial" w:eastAsia="Arial" w:hAnsi="Arial"/>
          <w:sz w:val="22"/>
          <w:szCs w:val="22"/>
        </w:rPr>
        <w:t xml:space="preserve">Modularity was chosen over a monolithic design for five reasons. First, independent testability: each module can be tested in isolation with mock collaborators, without requiring the full system to be instantiated. Second, independent replaceability: when a better embedding model, a faster ranking algorithm, or a more sophisticated response generator becomes available, it can be substituted into the relevant module without touching the rest of the system. Third, independent deployability: in a future microservices deployment, each module can become a separately deployable service. Fourth, cognitive tractability: no single module exceeds the cognitive complexity that a single engineer can hold in working memory, making the system maintainable by teams of varying sizes. Fifth, explicit interfaces: module boundaries force the design of explicit, typed interfaces, which serve as living documentation of the system's information flows.</w:t>
      </w:r>
    </w:p>
    <w:p>
      <w:pPr>
        <w:pStyle w:val="Heading2"/>
        <w:spacing w:after="120" w:before="320"/>
      </w:pPr>
      <w:r>
        <w:rPr>
          <w:rFonts w:ascii="Arial" w:cs="Arial" w:eastAsia="Arial" w:hAnsi="Arial"/>
          <w:b/>
          <w:bCs/>
          <w:color w:val="2E75B6"/>
          <w:sz w:val="28"/>
          <w:szCs w:val="28"/>
        </w:rPr>
        <w:t xml:space="preserve">11.4 Why Layered</w:t>
      </w:r>
    </w:p>
    <w:p>
      <w:pPr>
        <w:spacing w:after="80" w:before="80"/>
        <w:jc w:val="both"/>
      </w:pPr>
      <w:r>
        <w:rPr>
          <w:rFonts w:ascii="Arial" w:cs="Arial" w:eastAsia="Arial" w:hAnsi="Arial"/>
          <w:sz w:val="22"/>
          <w:szCs w:val="22"/>
        </w:rPr>
        <w:t xml:space="preserve">The layered architecture (Knowledge Base, Vector Search, Retrieval Intelligence, Knowledge Agent, Executive Copilot) was chosen because it matches the natural abstraction hierarchy of the problem. Lower layers deal with more primitive, general-purpose concerns (storing documents, computing similarities) while higher layers deal with more specialised, problem-specific concerns (understanding executive questions, generating briefings). Each layer provides a strictly higher level of abstraction than the layer below it, and each layer's interface is simpler than its implementation — which is the defining property of a well-designed layer boundary.</w:t>
      </w:r>
    </w:p>
    <w:p>
      <w:pPr>
        <w:pStyle w:val="Heading2"/>
        <w:spacing w:after="120" w:before="320"/>
      </w:pPr>
      <w:r>
        <w:rPr>
          <w:rFonts w:ascii="Arial" w:cs="Arial" w:eastAsia="Arial" w:hAnsi="Arial"/>
          <w:b/>
          <w:bCs/>
          <w:color w:val="2E75B6"/>
          <w:sz w:val="28"/>
          <w:szCs w:val="28"/>
        </w:rPr>
        <w:t xml:space="preserve">11.5 Why Orchestration</w:t>
      </w:r>
    </w:p>
    <w:p>
      <w:pPr>
        <w:spacing w:after="80" w:before="80"/>
        <w:jc w:val="both"/>
      </w:pPr>
      <w:r>
        <w:rPr>
          <w:rFonts w:ascii="Arial" w:cs="Arial" w:eastAsia="Arial" w:hAnsi="Arial"/>
          <w:sz w:val="22"/>
          <w:szCs w:val="22"/>
        </w:rPr>
        <w:t xml:space="preserve">The KnowledgeIntelligencePipeline orchestrator was introduced to manage the complexity of wiring together five phases, each with multiple configuration parameters, shared dependencies, and failure modes. Without an orchestrator, the calling code would need to understand the internal structure of all five phases, the correct order of operations, the error handling contract for each phase, and the interface between adjacent phases. The orchestrator encapsulates all of this complexity behind a single execute() method, reducing the cognitive burden on callers and providing a single point of pipeline-level configuration, monitoring, and error handling.</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12. Testing Strategy</w:t>
      </w:r>
    </w:p>
    <w:p>
      <w:pPr>
        <w:pStyle w:val="Heading2"/>
        <w:spacing w:after="120" w:before="320"/>
      </w:pPr>
      <w:r>
        <w:rPr>
          <w:rFonts w:ascii="Arial" w:cs="Arial" w:eastAsia="Arial" w:hAnsi="Arial"/>
          <w:b/>
          <w:bCs/>
          <w:color w:val="2E75B6"/>
          <w:sz w:val="28"/>
          <w:szCs w:val="28"/>
        </w:rPr>
        <w:t xml:space="preserve">12.1 Testing Philosophy</w:t>
      </w:r>
    </w:p>
    <w:p>
      <w:pPr>
        <w:spacing w:after="80" w:before="80"/>
        <w:jc w:val="both"/>
      </w:pPr>
      <w:r>
        <w:rPr>
          <w:rFonts w:ascii="Arial" w:cs="Arial" w:eastAsia="Arial" w:hAnsi="Arial"/>
          <w:sz w:val="22"/>
          <w:szCs w:val="22"/>
        </w:rPr>
        <w:t xml:space="preserve">The Week 9 testing strategy is built on four principles. First, test at the right level: unit tests verify individual class methods in isolation; integration tests verify that adjacent components interact correctly through their typed interfaces; end-to-end tests verify that the complete pipeline produces correct outputs for representative inputs. Second, test the contract, not the implementation: tests specify what a method should return, not how it should compute the return value — this allows internal refactoring without breaking tests. Third, test failure modes explicitly: for every success-path test, there is at least one failure-mode test verifying that the component handles invalid inputs, missing dependencies, and edge cases gracefully. Fourth, test serialisation roundtrips: every domain object that is serialised to JSON is tested for exact roundtrip fidelity (serialise then deserialise produces an object equal to the original).</w:t>
      </w:r>
    </w:p>
    <w:p>
      <w:pPr>
        <w:pStyle w:val="Heading2"/>
        <w:spacing w:after="120" w:before="320"/>
      </w:pPr>
      <w:r>
        <w:rPr>
          <w:rFonts w:ascii="Arial" w:cs="Arial" w:eastAsia="Arial" w:hAnsi="Arial"/>
          <w:b/>
          <w:bCs/>
          <w:color w:val="2E75B6"/>
          <w:sz w:val="28"/>
          <w:szCs w:val="28"/>
        </w:rPr>
        <w:t xml:space="preserve">12.2 Phase 1 Tests — Knowledge Base</w:t>
      </w:r>
    </w:p>
    <w:p>
      <w:pPr>
        <w:spacing w:after="80" w:before="80"/>
        <w:jc w:val="both"/>
      </w:pPr>
      <w:r>
        <w:rPr>
          <w:rFonts w:ascii="Arial" w:cs="Arial" w:eastAsia="Arial" w:hAnsi="Arial"/>
          <w:sz w:val="22"/>
          <w:szCs w:val="22"/>
        </w:rPr>
        <w:t xml:space="preserve">The Phase 1 test suite covers the Knowledge Base subsystem with 42 test cases. Key test categories include: document ingestion (valid documents accepted, invalid documents rejected with correct ValidationResult), registry operations (registration, lookup by ID, lookup by collection, duplicate rejection), collection management (collection creation, document assignment, collection filtering), metadata validation (required fields enforced, optional fields defaulted correctly), keyword search (single-term exact match, multi-term AND/OR search, empty query handling, term not in corpus), statistics computation (correct counts after ingestion, correct statistics after deletion), serialisation roundtrip (complete Knowledge Base serialised and deserialised with full fidelity), and validation rules (each validation rule exercised with a document that violates it and a document that satisfies it).</w:t>
      </w:r>
    </w:p>
    <w:p>
      <w:pPr>
        <w:pStyle w:val="Heading2"/>
        <w:spacing w:after="120" w:before="320"/>
      </w:pPr>
      <w:r>
        <w:rPr>
          <w:rFonts w:ascii="Arial" w:cs="Arial" w:eastAsia="Arial" w:hAnsi="Arial"/>
          <w:b/>
          <w:bCs/>
          <w:color w:val="2E75B6"/>
          <w:sz w:val="28"/>
          <w:szCs w:val="28"/>
        </w:rPr>
        <w:t xml:space="preserve">12.3 Phase 2 Tests — Vector Search Engine</w:t>
      </w:r>
    </w:p>
    <w:p>
      <w:pPr>
        <w:spacing w:after="80" w:before="80"/>
        <w:jc w:val="both"/>
      </w:pPr>
      <w:r>
        <w:rPr>
          <w:rFonts w:ascii="Arial" w:cs="Arial" w:eastAsia="Arial" w:hAnsi="Arial"/>
          <w:sz w:val="22"/>
          <w:szCs w:val="22"/>
        </w:rPr>
        <w:t xml:space="preserve">The Phase 2 test suite covers the Vector Search Engine with 48 test cases. Key test categories include: feature hashing (determinism — same text produces same hash vector; collision behaviour — different texts mapped to same bucket; normalisation — hashed vectors have correct L1 norm), vector generation (embedding dimensionality, norm preservation, batch embedding consistency with single embedding), vector index operations (add, search with K=1 through K=corpus_size, search against empty index, search with K exceeding corpus size), similarity metrics (cosine similarity range validation, Euclidean distance triangle inequality, dot product consistency with cosine for unit vectors), hybrid search (RRF score computation correctness, hybrid result set is superset of individual result sets, tie-breaking determinism), and index serialisation (index saved and loaded with search results identical before and after).</w:t>
      </w:r>
    </w:p>
    <w:p>
      <w:pPr>
        <w:pStyle w:val="Heading2"/>
        <w:spacing w:after="120" w:before="320"/>
      </w:pPr>
      <w:r>
        <w:rPr>
          <w:rFonts w:ascii="Arial" w:cs="Arial" w:eastAsia="Arial" w:hAnsi="Arial"/>
          <w:b/>
          <w:bCs/>
          <w:color w:val="2E75B6"/>
          <w:sz w:val="28"/>
          <w:szCs w:val="28"/>
        </w:rPr>
        <w:t xml:space="preserve">12.4 Phase 3 Tests — Retrieval Intelligence</w:t>
      </w:r>
    </w:p>
    <w:p>
      <w:pPr>
        <w:spacing w:after="80" w:before="80"/>
        <w:jc w:val="both"/>
      </w:pPr>
      <w:r>
        <w:rPr>
          <w:rFonts w:ascii="Arial" w:cs="Arial" w:eastAsia="Arial" w:hAnsi="Arial"/>
          <w:sz w:val="22"/>
          <w:szCs w:val="22"/>
        </w:rPr>
        <w:t xml:space="preserve">The Phase 3 test suite covers the Retrieval Intelligence Layer with 44 test cases. Key test categories include: query pipeline (normalisation correctness, expansion of registered abbreviations, intent signal extraction, query embedding generation), candidate generation (each strategy individually, combined strategy correctness, empty corpus handling, query with no matching documents), ranking (composite score computation with known inputs, score normalisation, minimum threshold filtering, top-K selection, tie-breaking), evidence assembly (EvidencePackage structure validation, evidence item count matches K, relevance label assignment correctness), context construction (context length within configured maximum, truncation at sentence boundaries), coverage assessment (correct coverage for fully-addressed queries, correct gap identification for partially-addressed queries), and confidence estimation (high confidence for complete evidence, low confidence for sparse evidence).</w:t>
      </w:r>
    </w:p>
    <w:p>
      <w:pPr>
        <w:pStyle w:val="Heading2"/>
        <w:spacing w:after="120" w:before="320"/>
      </w:pPr>
      <w:r>
        <w:rPr>
          <w:rFonts w:ascii="Arial" w:cs="Arial" w:eastAsia="Arial" w:hAnsi="Arial"/>
          <w:b/>
          <w:bCs/>
          <w:color w:val="2E75B6"/>
          <w:sz w:val="28"/>
          <w:szCs w:val="28"/>
        </w:rPr>
        <w:t xml:space="preserve">12.5 Phase 4 Tests — Knowledge Agent</w:t>
      </w:r>
    </w:p>
    <w:p>
      <w:pPr>
        <w:spacing w:after="80" w:before="80"/>
        <w:jc w:val="both"/>
      </w:pPr>
      <w:r>
        <w:rPr>
          <w:rFonts w:ascii="Arial" w:cs="Arial" w:eastAsia="Arial" w:hAnsi="Arial"/>
          <w:sz w:val="22"/>
          <w:szCs w:val="22"/>
        </w:rPr>
        <w:t xml:space="preserve">The Phase 4 test suite covers the Knowledge Agent with 46 test cases. Key test categories include: question understanding (question type classification for all eight categories, subject entity extraction, temporal scope detection), evidence analysis (filtering of LOW relevance items, claim extraction from passage text, claim deduplication and weight summation), response generation (grounding invariant — every sentence in the response traces to an evidence item; gap acknowledgment — missing information explicitly noted; citation key insertion), citation assembly (citation format correctness, citation strength assessment, citation completeness — all evidence items in top-K appear in citation list), confidence model (high confidence for strong multi-source evidence, low confidence for single weak source, compound question penalty applied correctly), and follow-up questions (follow-up relevance — all follow-ups address either gaps or related topics; duplicate follow-up elimination).</w:t>
      </w:r>
    </w:p>
    <w:p>
      <w:pPr>
        <w:pStyle w:val="Heading2"/>
        <w:spacing w:after="120" w:before="320"/>
      </w:pPr>
      <w:r>
        <w:rPr>
          <w:rFonts w:ascii="Arial" w:cs="Arial" w:eastAsia="Arial" w:hAnsi="Arial"/>
          <w:b/>
          <w:bCs/>
          <w:color w:val="2E75B6"/>
          <w:sz w:val="28"/>
          <w:szCs w:val="28"/>
        </w:rPr>
        <w:t xml:space="preserve">12.6 Phase 5 Tests — Executive RAG Copilot</w:t>
      </w:r>
    </w:p>
    <w:p>
      <w:pPr>
        <w:spacing w:after="80" w:before="80"/>
        <w:jc w:val="both"/>
      </w:pPr>
      <w:r>
        <w:rPr>
          <w:rFonts w:ascii="Arial" w:cs="Arial" w:eastAsia="Arial" w:hAnsi="Arial"/>
          <w:sz w:val="22"/>
          <w:szCs w:val="22"/>
        </w:rPr>
        <w:t xml:space="preserve">The Phase 5 test suite covers the Executive RAG Copilot with 40 test cases. Key test categories include: executive question processing (compound question decomposition, temporal implicature resolution, contextual reference resolution), insight extraction (trend detection from time-series evidence, anomaly flagging, cross-domain correlation identification), recommendation generation (IMMEDIATE/SHORT_TERM/STRATEGIC classification correctness, priority scoring, citation linking), briefing structure (all seven mandatory sections present, section ordering preserved, minimum content requirements met), risk assessment (risk identification for all six risk dimensions, severity scoring correctness, risk ordering), limitations disclosure (information gap identification, evidence staleness detection, breadth limitation flagging), and confidence integration (minimum-of-sub-scores aggregation, confidence level assignment, LOW confidence advisory generation).</w:t>
      </w:r>
    </w:p>
    <w:p>
      <w:pPr>
        <w:pStyle w:val="Heading2"/>
        <w:spacing w:after="120" w:before="320"/>
      </w:pPr>
      <w:r>
        <w:rPr>
          <w:rFonts w:ascii="Arial" w:cs="Arial" w:eastAsia="Arial" w:hAnsi="Arial"/>
          <w:b/>
          <w:bCs/>
          <w:color w:val="2E75B6"/>
          <w:sz w:val="28"/>
          <w:szCs w:val="28"/>
        </w:rPr>
        <w:t xml:space="preserve">12.7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Count</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Focus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Knowledge 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Ingestion, registry, search, validation, serialisation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 Search 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Hashing, embedding, indexing, similarity, hybrid search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Retrieval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pipeline, candidate gen, ranking, evidence assembly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Agent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Classification, analysis, grounding, citations, confidence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 Copilot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 handling, insights, briefing, risks, limitations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Knowledge Intelligence Stack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integration, end-to-end, serialisation roundtrips</w:t>
            </w:r>
          </w:p>
        </w:tc>
      </w:tr>
    </w:tbl>
    <w:p>
      <w:pPr>
        <w:spacing w:after="160" w:before="40"/>
        <w:jc w:val="center"/>
      </w:pPr>
      <w:r>
        <w:rPr>
          <w:rFonts w:ascii="Arial" w:cs="Arial" w:eastAsia="Arial" w:hAnsi="Arial"/>
          <w:i/>
          <w:iCs/>
          <w:color w:val="595959"/>
          <w:sz w:val="20"/>
          <w:szCs w:val="20"/>
        </w:rPr>
        <w:t xml:space="preserve">Table 12.1 — Test distribution across the five knowledge intelligence phases</w:t>
      </w:r>
    </w:p>
    <w:p>
      <w:pPr>
        <w:pStyle w:val="Heading2"/>
        <w:spacing w:after="120" w:before="320"/>
      </w:pPr>
      <w:r>
        <w:rPr>
          <w:rFonts w:ascii="Arial" w:cs="Arial" w:eastAsia="Arial" w:hAnsi="Arial"/>
          <w:b/>
          <w:bCs/>
          <w:color w:val="2E75B6"/>
          <w:sz w:val="28"/>
          <w:szCs w:val="28"/>
        </w:rPr>
        <w:t xml:space="preserve">12.8 Regression Strategy</w:t>
      </w:r>
    </w:p>
    <w:p>
      <w:pPr>
        <w:spacing w:after="80" w:before="80"/>
        <w:jc w:val="both"/>
      </w:pPr>
      <w:r>
        <w:rPr>
          <w:rFonts w:ascii="Arial" w:cs="Arial" w:eastAsia="Arial" w:hAnsi="Arial"/>
          <w:sz w:val="22"/>
          <w:szCs w:val="22"/>
        </w:rPr>
        <w:t xml:space="preserve">The regression strategy uses the full test suite as a regression gate: no code change is accepted that causes any test to fail. A CI pipeline (configured using GitHub Actions) runs the complete test suite on every pull request and on every merge to the main branch. The test suite must complete within 120 seconds on standard CI hardware — any test that cannot complete within this budget is redesigned to use smaller synthetic fixtures rather than full-scale corpora. Performance benchmarks (response latency, throughput) are tracked as separate metrics and flagged if they regress by more than 10% between releases.</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13. Performance Analysis</w:t>
      </w:r>
    </w:p>
    <w:p>
      <w:pPr>
        <w:pStyle w:val="Heading2"/>
        <w:spacing w:after="120" w:before="320"/>
      </w:pPr>
      <w:r>
        <w:rPr>
          <w:rFonts w:ascii="Arial" w:cs="Arial" w:eastAsia="Arial" w:hAnsi="Arial"/>
          <w:b/>
          <w:bCs/>
          <w:color w:val="2E75B6"/>
          <w:sz w:val="28"/>
          <w:szCs w:val="28"/>
        </w:rPr>
        <w:t xml:space="preserve">13.1 Memory</w:t>
      </w:r>
    </w:p>
    <w:p>
      <w:pPr>
        <w:spacing w:after="80" w:before="80"/>
        <w:jc w:val="both"/>
      </w:pPr>
      <w:r>
        <w:rPr>
          <w:rFonts w:ascii="Arial" w:cs="Arial" w:eastAsia="Arial" w:hAnsi="Arial"/>
          <w:sz w:val="22"/>
          <w:szCs w:val="22"/>
        </w:rPr>
        <w:t xml:space="preserve">Memory consumption in the Week 9 platform is dominated by three components: the Knowledge Base (proportional to total document content), the Vector Index (proportional to corpus size and embedding dimension), and the Inverted Index for keyword search (proportional to vocabulary size and document frequency distributions). For a typical enterprise corpus of 10,000 documents averaging 2,000 words each, memory consumption is approximately: Knowledge Base (document objects): 800MB; Vector Index (10,000 vectors at 128 dimensions, float32): 5MB; Inverted Index: 50MB. Total working memory: approximately 855MB, well within the capacity of a standard enterprise server with 16GB RAM.</w:t>
      </w:r>
    </w:p>
    <w:p>
      <w:pPr>
        <w:spacing w:after="80" w:before="80"/>
        <w:jc w:val="both"/>
      </w:pPr>
      <w:r>
        <w:rPr>
          <w:rFonts w:ascii="Arial" w:cs="Arial" w:eastAsia="Arial" w:hAnsi="Arial"/>
          <w:sz w:val="22"/>
          <w:szCs w:val="22"/>
        </w:rPr>
        <w:t xml:space="preserve">For larger corpora (100,000 documents), document object memory becomes the dominant factor at approximately 8GB. At this scale, a lazy-loading strategy (loading document content from disk on demand rather than keeping all documents in memory simultaneously) would be appropriate. The platform architecture supports this through the Knowledge Base's pluggable persistence interface — a disk-resident lazy-loading implementation can replace the in-memory implementation without modifying any Knowledge Intelligence Layer code.</w:t>
      </w:r>
    </w:p>
    <w:p>
      <w:pPr>
        <w:pStyle w:val="Heading2"/>
        <w:spacing w:after="120" w:before="320"/>
      </w:pPr>
      <w:r>
        <w:rPr>
          <w:rFonts w:ascii="Arial" w:cs="Arial" w:eastAsia="Arial" w:hAnsi="Arial"/>
          <w:b/>
          <w:bCs/>
          <w:color w:val="2E75B6"/>
          <w:sz w:val="28"/>
          <w:szCs w:val="28"/>
        </w:rPr>
        <w:t xml:space="preserve">13.2 CPU</w:t>
      </w:r>
    </w:p>
    <w:p>
      <w:pPr>
        <w:spacing w:after="80" w:before="80"/>
        <w:jc w:val="both"/>
      </w:pPr>
      <w:r>
        <w:rPr>
          <w:rFonts w:ascii="Arial" w:cs="Arial" w:eastAsia="Arial" w:hAnsi="Arial"/>
          <w:sz w:val="22"/>
          <w:szCs w:val="22"/>
        </w:rPr>
        <w:t xml:space="preserve">The most CPU-intensive operation in the Week 9 pipeline is vector similarity search: computing cosine similarities between a query vector and all indexed vectors using a matrix-vector product. For a 10,000-document corpus with 128-dimensional embeddings, this computation takes approximately 0.5 milliseconds on a modern CPU with BLAS acceleration. For a 100,000-document corpus, the computation takes approximately 5 milliseconds — still well within the 50ms latency budget for the complete retrieval stage.</w:t>
      </w:r>
    </w:p>
    <w:p>
      <w:pPr>
        <w:spacing w:after="80" w:before="80"/>
        <w:jc w:val="both"/>
      </w:pPr>
      <w:r>
        <w:rPr>
          <w:rFonts w:ascii="Arial" w:cs="Arial" w:eastAsia="Arial" w:hAnsi="Arial"/>
          <w:sz w:val="22"/>
          <w:szCs w:val="22"/>
        </w:rPr>
        <w:t xml:space="preserve">Feature hashing for document ingestion is the most CPU-intensive operation per document: normalising text, computing hash values for each term, and accumulating the feature vector takes approximately 50 milliseconds per document for a 2,000-word document. For a batch ingestion of 10,000 documents, this amounts to approximately 500 seconds of compute time — acceptable for a one-time offline indexing operation but too slow for real-time ingestion at high document arrival rates. Future optimisation will parallelise batch ingestion across CPU cores using Python's multiprocessing module.</w:t>
      </w:r>
    </w:p>
    <w:p>
      <w:pPr>
        <w:pStyle w:val="Heading2"/>
        <w:spacing w:after="120" w:before="320"/>
      </w:pPr>
      <w:r>
        <w:rPr>
          <w:rFonts w:ascii="Arial" w:cs="Arial" w:eastAsia="Arial" w:hAnsi="Arial"/>
          <w:b/>
          <w:bCs/>
          <w:color w:val="2E75B6"/>
          <w:sz w:val="28"/>
          <w:szCs w:val="28"/>
        </w:rPr>
        <w:t xml:space="preserve">13.3 Scalability</w:t>
      </w:r>
    </w:p>
    <w:p>
      <w:pPr>
        <w:spacing w:after="80" w:before="80"/>
        <w:jc w:val="both"/>
      </w:pPr>
      <w:r>
        <w:rPr>
          <w:rFonts w:ascii="Arial" w:cs="Arial" w:eastAsia="Arial" w:hAnsi="Arial"/>
          <w:sz w:val="22"/>
          <w:szCs w:val="22"/>
        </w:rPr>
        <w:t xml:space="preserve">The Week 9 architecture scales along two dimensions: corpus size and query rate. For corpus size, the primary constraint is the vector similarity search operation, which has O(N) time complexity per query. This scales linearly: doubling the corpus size doubles the search latency. For corpora up to approximately 100,000 documents, linear scaling is acceptable. Above this threshold, approximate nearest-neighbour indexing (HNSW) reduces search time to O(log N) at the cost of approximate (rather than exact) results.</w:t>
      </w:r>
    </w:p>
    <w:p>
      <w:pPr>
        <w:spacing w:after="80" w:before="80"/>
        <w:jc w:val="both"/>
      </w:pPr>
      <w:r>
        <w:rPr>
          <w:rFonts w:ascii="Arial" w:cs="Arial" w:eastAsia="Arial" w:hAnsi="Arial"/>
          <w:sz w:val="22"/>
          <w:szCs w:val="22"/>
        </w:rPr>
        <w:t xml:space="preserve">For query rate, the primary constraint is that the pipeline is currently synchronous and single-threaded. A single pipeline instance can handle approximately 20 queries per second on commodity hardware (based on the 50ms total pipeline latency budget). For higher throughput, the pipeline can be replicated across multiple processes (sharing the read-only VectorIndex and Knowledge Base via memory-mapped files) or migrated to an async implementation that overlaps the I/O-bound stages.</w:t>
      </w:r>
    </w:p>
    <w:p>
      <w:pPr>
        <w:pStyle w:val="Heading2"/>
        <w:spacing w:after="120" w:before="320"/>
      </w:pPr>
      <w:r>
        <w:rPr>
          <w:rFonts w:ascii="Arial" w:cs="Arial" w:eastAsia="Arial" w:hAnsi="Arial"/>
          <w:b/>
          <w:bCs/>
          <w:color w:val="2E75B6"/>
          <w:sz w:val="28"/>
          <w:szCs w:val="28"/>
        </w:rPr>
        <w:t xml:space="preserve">13.4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Complexity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Dominant Factor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 = document word 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hashing, indexing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Keyword search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 + 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 = query terms, R = result set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Inverted index lookup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 similarity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 = corpus size, d = embedding dim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ANN; O(log N * d) for HNSW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 generation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 d + T + 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 of above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 strategies in parallel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Re-ranking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O(K * 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 = candidates, F = ranking factors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Five factor computations per doc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assembly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O(K * L_avg)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 = top-K docs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Passage extraction per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O(E *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 = evidence items, C = claims per item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Claim extraction and weighting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 assembly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 + R + 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 = insights, R = recs, S = sections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Structured assembly, linear in inputs</w:t>
            </w:r>
          </w:p>
        </w:tc>
      </w:tr>
    </w:tbl>
    <w:p>
      <w:pPr>
        <w:spacing w:after="160" w:before="40"/>
        <w:jc w:val="center"/>
      </w:pPr>
      <w:r>
        <w:rPr>
          <w:rFonts w:ascii="Arial" w:cs="Arial" w:eastAsia="Arial" w:hAnsi="Arial"/>
          <w:i/>
          <w:iCs/>
          <w:color w:val="595959"/>
          <w:sz w:val="20"/>
          <w:szCs w:val="20"/>
        </w:rPr>
        <w:t xml:space="preserve">Table 13.1 — Time complexity of primary pipeline operations</w:t>
      </w:r>
    </w:p>
    <w:p>
      <w:pPr>
        <w:pStyle w:val="Heading2"/>
        <w:spacing w:after="120" w:before="320"/>
      </w:pPr>
      <w:r>
        <w:rPr>
          <w:rFonts w:ascii="Arial" w:cs="Arial" w:eastAsia="Arial" w:hAnsi="Arial"/>
          <w:b/>
          <w:bCs/>
          <w:color w:val="2E75B6"/>
          <w:sz w:val="28"/>
          <w:szCs w:val="28"/>
        </w:rPr>
        <w:t xml:space="preserve">13.5 Space Complexity</w:t>
      </w:r>
    </w:p>
    <w:p>
      <w:pPr>
        <w:spacing w:after="80" w:before="80"/>
        <w:jc w:val="both"/>
      </w:pPr>
      <w:r>
        <w:rPr>
          <w:rFonts w:ascii="Arial" w:cs="Arial" w:eastAsia="Arial" w:hAnsi="Arial"/>
          <w:sz w:val="22"/>
          <w:szCs w:val="22"/>
        </w:rPr>
        <w:t xml:space="preserve">The dominant space consumer is the vector index: O(N * d) for N documents and d-dimensional embeddings. At 128 dimensions and float32 precision, each vector occupies 512 bytes. The inverted index requires O(V * N_avg) space, where V is the vocabulary size and N_avg is the average number of documents per term. For typical technical corpora, V ≈ 50,000 and N_avg ≈ 100, giving approximately 5 million index entries at approximately 8 bytes each (integer document ID), totalling approximately 40MB. All other data structures are O(N) or smaller.</w:t>
      </w:r>
    </w:p>
    <w:p>
      <w:pPr>
        <w:pStyle w:val="Heading2"/>
        <w:spacing w:after="120" w:before="320"/>
      </w:pPr>
      <w:r>
        <w:rPr>
          <w:rFonts w:ascii="Arial" w:cs="Arial" w:eastAsia="Arial" w:hAnsi="Arial"/>
          <w:b/>
          <w:bCs/>
          <w:color w:val="2E75B6"/>
          <w:sz w:val="28"/>
          <w:szCs w:val="28"/>
        </w:rPr>
        <w:t xml:space="preserve">13.6 Future Optimisations</w:t>
      </w:r>
    </w:p>
    <w:p>
      <w:pPr>
        <w:spacing w:after="80" w:before="80"/>
        <w:jc w:val="both"/>
      </w:pPr>
      <w:r>
        <w:rPr>
          <w:rFonts w:ascii="Arial" w:cs="Arial" w:eastAsia="Arial" w:hAnsi="Arial"/>
          <w:sz w:val="22"/>
          <w:szCs w:val="22"/>
        </w:rPr>
        <w:t xml:space="preserve">Three optimisation opportunities are identified for future implementation. First, approximate nearest-neighbour indexing (HNSW) for vector search: this reduces per-query search time from O(N) to O(log N) with recall above 95% for typical parameter settings. Implementation requires replacing the brute-force matrix-vector product in VectorIndex with an HNSW graph traversal, at the cost of a longer index build time and an additional memory overhead for the HNSW graph structure. Second, lazy loading with content-addressed storage for the Knowledge Base: documents are loaded from disk only when needed (during evidence assembly), with frequently accessed documents cached in an LRU cache. This reduces the memory footprint from O(total_content_size) to O(LRU_cache_size). Third, quantisation of embedding vectors: replacing float32 embeddings with int8 quantised representations reduces memory by 4x and speeds up similarity computation by 2-4x with less than 1% degradation in retrieval quality for typical corpora.</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14. Enterprise Applications</w:t>
      </w:r>
    </w:p>
    <w:p>
      <w:pPr>
        <w:pStyle w:val="Heading2"/>
        <w:spacing w:after="120" w:before="320"/>
      </w:pPr>
      <w:r>
        <w:rPr>
          <w:rFonts w:ascii="Arial" w:cs="Arial" w:eastAsia="Arial" w:hAnsi="Arial"/>
          <w:b/>
          <w:bCs/>
          <w:color w:val="2E75B6"/>
          <w:sz w:val="28"/>
          <w:szCs w:val="28"/>
        </w:rPr>
        <w:t xml:space="preserve">14.1 Manufacturing</w:t>
      </w:r>
    </w:p>
    <w:p>
      <w:pPr>
        <w:spacing w:after="80" w:before="80"/>
        <w:jc w:val="both"/>
      </w:pPr>
      <w:r>
        <w:rPr>
          <w:rFonts w:ascii="Arial" w:cs="Arial" w:eastAsia="Arial" w:hAnsi="Arial"/>
          <w:sz w:val="22"/>
          <w:szCs w:val="22"/>
        </w:rPr>
        <w:t xml:space="preserve">In manufacturing environments, the Executive RAG Copilot enables plant operations executives to query the accumulated knowledge of their production systems — maintenance histories, quality control reports, process specifications, engineering change orders, and supplier quality audits — through a single natural language interface. A plant manager can ask 'What are the root causes of the increased defect rate in Line 3 over the last six weeks?' and receive a grounded briefing that synthesises maintenance logs, quality inspection reports, and process parameter change records, with citations to specific source documents and confidence-calibrated conclusions.</w:t>
      </w:r>
    </w:p>
    <w:p>
      <w:pPr>
        <w:spacing w:after="80" w:before="80"/>
        <w:jc w:val="both"/>
      </w:pPr>
      <w:r>
        <w:rPr>
          <w:rFonts w:ascii="Arial" w:cs="Arial" w:eastAsia="Arial" w:hAnsi="Arial"/>
          <w:sz w:val="22"/>
          <w:szCs w:val="22"/>
        </w:rPr>
        <w:t xml:space="preserve">The manufacturing use case also benefits from the platform's temporal reasoning capabilities: queries that specify time windows (last quarter, since the last planned maintenance, before the equipment upgrade) are handled accurately through the temporal intent parsing and temporal recency scoring mechanisms.</w:t>
      </w:r>
    </w:p>
    <w:p>
      <w:pPr>
        <w:pStyle w:val="Heading2"/>
        <w:spacing w:after="120" w:before="320"/>
      </w:pPr>
      <w:r>
        <w:rPr>
          <w:rFonts w:ascii="Arial" w:cs="Arial" w:eastAsia="Arial" w:hAnsi="Arial"/>
          <w:b/>
          <w:bCs/>
          <w:color w:val="2E75B6"/>
          <w:sz w:val="28"/>
          <w:szCs w:val="28"/>
        </w:rPr>
        <w:t xml:space="preserve">14.2 Oil and Gas</w:t>
      </w:r>
    </w:p>
    <w:p>
      <w:pPr>
        <w:spacing w:after="80" w:before="80"/>
        <w:jc w:val="both"/>
      </w:pPr>
      <w:r>
        <w:rPr>
          <w:rFonts w:ascii="Arial" w:cs="Arial" w:eastAsia="Arial" w:hAnsi="Arial"/>
          <w:sz w:val="22"/>
          <w:szCs w:val="22"/>
        </w:rPr>
        <w:t xml:space="preserve">Offshore and onshore oil and gas operations generate massive volumes of technical documentation: well logs, production reports, HSE incident records, regulatory submissions, equipment inspection certificates, and environmental monitoring data. The Executive RAG Copilot allows production directors and HSE managers to interrogate this documentation corpus without the weeks-long manual search-and-synthesis process currently required.</w:t>
      </w:r>
    </w:p>
    <w:p>
      <w:pPr>
        <w:spacing w:after="80" w:before="80"/>
        <w:jc w:val="both"/>
      </w:pPr>
      <w:r>
        <w:rPr>
          <w:rFonts w:ascii="Arial" w:cs="Arial" w:eastAsia="Arial" w:hAnsi="Arial"/>
          <w:sz w:val="22"/>
          <w:szCs w:val="22"/>
        </w:rPr>
        <w:t xml:space="preserve">Critically, the platform's citation traceability and confidence scoring capabilities directly support the regulatory reporting requirements of oil and gas operations. When a safety incident triggers a regulatory inquiry, the executive briefing system can produce a documented record of exactly what the organisation's knowledge base contained about the relevant equipment, process, and risk at the time of the incident — a capability with direct legal and regulatory value.</w:t>
      </w:r>
    </w:p>
    <w:p>
      <w:pPr>
        <w:pStyle w:val="Heading2"/>
        <w:spacing w:after="120" w:before="320"/>
      </w:pPr>
      <w:r>
        <w:rPr>
          <w:rFonts w:ascii="Arial" w:cs="Arial" w:eastAsia="Arial" w:hAnsi="Arial"/>
          <w:b/>
          <w:bCs/>
          <w:color w:val="2E75B6"/>
          <w:sz w:val="28"/>
          <w:szCs w:val="28"/>
        </w:rPr>
        <w:t xml:space="preserve">14.3 Energy</w:t>
      </w:r>
    </w:p>
    <w:p>
      <w:pPr>
        <w:spacing w:after="80" w:before="80"/>
        <w:jc w:val="both"/>
      </w:pPr>
      <w:r>
        <w:rPr>
          <w:rFonts w:ascii="Arial" w:cs="Arial" w:eastAsia="Arial" w:hAnsi="Arial"/>
          <w:sz w:val="22"/>
          <w:szCs w:val="22"/>
        </w:rPr>
        <w:t xml:space="preserve">Energy utilities operating complex grid infrastructure, generation assets, and distribution networks accumulate engineering knowledge across decades. Ageing asset management requires querying historical inspection records, maintenance logs, failure analyses, and engineering specifications to support asset life extension decisions. The Executive RAG Copilot provides a natural language interface to this historical knowledge, enabling asset managers to ask questions like 'What do historical inspection records say about remaining service life for transformer units installed before 1995?' and receive evidence-grounded briefings that draw on decades of maintenance documentation.</w:t>
      </w:r>
    </w:p>
    <w:p>
      <w:pPr>
        <w:pStyle w:val="Heading2"/>
        <w:spacing w:after="120" w:before="320"/>
      </w:pPr>
      <w:r>
        <w:rPr>
          <w:rFonts w:ascii="Arial" w:cs="Arial" w:eastAsia="Arial" w:hAnsi="Arial"/>
          <w:b/>
          <w:bCs/>
          <w:color w:val="2E75B6"/>
          <w:sz w:val="28"/>
          <w:szCs w:val="28"/>
        </w:rPr>
        <w:t xml:space="preserve">14.4 Aviation</w:t>
      </w:r>
    </w:p>
    <w:p>
      <w:pPr>
        <w:spacing w:after="80" w:before="80"/>
        <w:jc w:val="both"/>
      </w:pPr>
      <w:r>
        <w:rPr>
          <w:rFonts w:ascii="Arial" w:cs="Arial" w:eastAsia="Arial" w:hAnsi="Arial"/>
          <w:sz w:val="22"/>
          <w:szCs w:val="22"/>
        </w:rPr>
        <w:t xml:space="preserve">Commercial aviation maintenance organisations (MROs) and airline technical operations departments maintain extensive knowledge corpora covering airworthiness directives, maintenance manuals, service bulletins, maintenance task cards, engineering orders, and defect records. The Executive RAG Copilot enables MRO directors and technical operations executives to query this corpus without navigating complex documentation management systems. The platform's document type classification (which includes STANDARD and PROCEDURE types appropriate for airworthiness documents) and authority scoring (which can be configured to treat airworthiness directives as highest-authority documents) are specifically applicable to the aviation maintenance context.</w:t>
      </w:r>
    </w:p>
    <w:p>
      <w:pPr>
        <w:pStyle w:val="Heading2"/>
        <w:spacing w:after="120" w:before="320"/>
      </w:pPr>
      <w:r>
        <w:rPr>
          <w:rFonts w:ascii="Arial" w:cs="Arial" w:eastAsia="Arial" w:hAnsi="Arial"/>
          <w:b/>
          <w:bCs/>
          <w:color w:val="2E75B6"/>
          <w:sz w:val="28"/>
          <w:szCs w:val="28"/>
        </w:rPr>
        <w:t xml:space="preserve">14.5 Railways</w:t>
      </w:r>
    </w:p>
    <w:p>
      <w:pPr>
        <w:spacing w:after="80" w:before="80"/>
        <w:jc w:val="both"/>
      </w:pPr>
      <w:r>
        <w:rPr>
          <w:rFonts w:ascii="Arial" w:cs="Arial" w:eastAsia="Arial" w:hAnsi="Arial"/>
          <w:sz w:val="22"/>
          <w:szCs w:val="22"/>
        </w:rPr>
        <w:t xml:space="preserve">Railway infrastructure managers maintain large corpora of track inspection records, rolling stock maintenance histories, signalling system documentation, regulatory filings, incident reports, and engineering standards. The Executive RAG Copilot enables infrastructure executives to query this corpus for evidence-grounded insights into asset reliability, safety performance, and regulatory compliance. The platform's collection system allows railway knowledge bases to be partitioned by infrastructure type (track, signalling, power supply, rolling stock) or geographic region, supporting scoped queries that retrieve evidence only from the relevant collection.</w:t>
      </w:r>
    </w:p>
    <w:p>
      <w:pPr>
        <w:pStyle w:val="Heading2"/>
        <w:spacing w:after="120" w:before="320"/>
      </w:pPr>
      <w:r>
        <w:rPr>
          <w:rFonts w:ascii="Arial" w:cs="Arial" w:eastAsia="Arial" w:hAnsi="Arial"/>
          <w:b/>
          <w:bCs/>
          <w:color w:val="2E75B6"/>
          <w:sz w:val="28"/>
          <w:szCs w:val="28"/>
        </w:rPr>
        <w:t xml:space="preserve">14.6 Automotive</w:t>
      </w:r>
    </w:p>
    <w:p>
      <w:pPr>
        <w:spacing w:after="80" w:before="80"/>
        <w:jc w:val="both"/>
      </w:pPr>
      <w:r>
        <w:rPr>
          <w:rFonts w:ascii="Arial" w:cs="Arial" w:eastAsia="Arial" w:hAnsi="Arial"/>
          <w:sz w:val="22"/>
          <w:szCs w:val="22"/>
        </w:rPr>
        <w:t xml:space="preserve">Automotive OEMs and tier-1 suppliers maintain extensive technical knowledge covering design specifications, testing reports, supplier quality records, field failure data, warranty claims, and recall documentation. The Executive RAG Copilot enables engineering directors and quality executives to query this knowledge for product development insights, quality trend analysis, and risk assessment. The platform's multi-factor ranking — which combines semantic similarity with document authority and temporal recency — is particularly well-suited to automotive knowledge bases, where recently published test reports and current regulatory standards must take precedence over legacy specifications.</w:t>
      </w:r>
    </w:p>
    <w:p>
      <w:pPr>
        <w:pStyle w:val="Heading2"/>
        <w:spacing w:after="120" w:before="320"/>
      </w:pPr>
      <w:r>
        <w:rPr>
          <w:rFonts w:ascii="Arial" w:cs="Arial" w:eastAsia="Arial" w:hAnsi="Arial"/>
          <w:b/>
          <w:bCs/>
          <w:color w:val="2E75B6"/>
          <w:sz w:val="28"/>
          <w:szCs w:val="28"/>
        </w:rPr>
        <w:t xml:space="preserve">14.7 Industrial IoT</w:t>
      </w:r>
    </w:p>
    <w:p>
      <w:pPr>
        <w:spacing w:after="80" w:before="80"/>
        <w:jc w:val="both"/>
      </w:pPr>
      <w:r>
        <w:rPr>
          <w:rFonts w:ascii="Arial" w:cs="Arial" w:eastAsia="Arial" w:hAnsi="Arial"/>
          <w:sz w:val="22"/>
          <w:szCs w:val="22"/>
        </w:rPr>
        <w:t xml:space="preserve">Industrial IoT deployments generate both structured sensor data (handled by the Week 1-8 platform components) and unstructured operational knowledge (handled by the Week 9 Knowledge Intelligence Layer). The integration of these two data streams is a key capability of the complete platform: a maintenance supervisor can query 'What do the maintenance manuals say about the operating conditions that caused the anomalous vibration pattern detected on Pump Station 7?' and receive a response that combines knowledge retrieved from the document corpus with the anomalous sensor pattern identified by the Week 7 anomaly detection component.</w:t>
      </w:r>
    </w:p>
    <w:p>
      <w:pPr>
        <w:pStyle w:val="Heading2"/>
        <w:spacing w:after="120" w:before="320"/>
      </w:pPr>
      <w:r>
        <w:rPr>
          <w:rFonts w:ascii="Arial" w:cs="Arial" w:eastAsia="Arial" w:hAnsi="Arial"/>
          <w:b/>
          <w:bCs/>
          <w:color w:val="2E75B6"/>
          <w:sz w:val="28"/>
          <w:szCs w:val="28"/>
        </w:rPr>
        <w:t xml:space="preserve">14.8 Smart Factory</w:t>
      </w:r>
    </w:p>
    <w:p>
      <w:pPr>
        <w:spacing w:after="80" w:before="80"/>
        <w:jc w:val="both"/>
      </w:pPr>
      <w:r>
        <w:rPr>
          <w:rFonts w:ascii="Arial" w:cs="Arial" w:eastAsia="Arial" w:hAnsi="Arial"/>
          <w:sz w:val="22"/>
          <w:szCs w:val="22"/>
        </w:rPr>
        <w:t xml:space="preserve">Smart factory deployments integrate process automation, digital twin simulation, and knowledge intelligence into a unified operational intelligence platform. The Week 9 Knowledge Intelligence Layer completes the smart factory intelligence stack by adding the knowledge layer that connects automated process data to documented engineering knowledge. When a digital twin simulation predicts a process deviation, the Knowledge Agent can automatically query the knowledge corpus for relevant engineering guidance, maintenance procedures, and historical precedents, and the Executive Copilot can assemble a situation briefing that combines the simulation prediction with the knowledge-grounded context for the production manager.</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15. Research Contribution</w:t>
      </w:r>
    </w:p>
    <w:p>
      <w:pPr>
        <w:pStyle w:val="Heading2"/>
        <w:spacing w:after="120" w:before="320"/>
      </w:pPr>
      <w:r>
        <w:rPr>
          <w:rFonts w:ascii="Arial" w:cs="Arial" w:eastAsia="Arial" w:hAnsi="Arial"/>
          <w:b/>
          <w:bCs/>
          <w:color w:val="2E75B6"/>
          <w:sz w:val="28"/>
          <w:szCs w:val="28"/>
        </w:rPr>
        <w:t xml:space="preserve">15.1 Novel Contributions</w:t>
      </w:r>
    </w:p>
    <w:p>
      <w:pPr>
        <w:spacing w:after="80" w:before="80"/>
        <w:jc w:val="both"/>
      </w:pPr>
      <w:r>
        <w:rPr>
          <w:rFonts w:ascii="Arial" w:cs="Arial" w:eastAsia="Arial" w:hAnsi="Arial"/>
          <w:sz w:val="22"/>
          <w:szCs w:val="22"/>
        </w:rPr>
        <w:t xml:space="preserve">The Week 9 platform makes several contributions that distinguish it from existing enterprise RAG implementations in the research literature and commercial marketplace.</w:t>
      </w:r>
    </w:p>
    <w:p>
      <w:pPr>
        <w:spacing w:after="80" w:before="80"/>
        <w:jc w:val="both"/>
      </w:pPr>
      <w:r>
        <w:rPr>
          <w:rFonts w:ascii="Arial" w:cs="Arial" w:eastAsia="Arial" w:hAnsi="Arial"/>
          <w:sz w:val="22"/>
          <w:szCs w:val="22"/>
        </w:rPr>
        <w:t xml:space="preserve">Contribution 1 — Deterministic Enterprise RAG: The platform demonstrates that a production-grade retrieval-augmented generation system can be implemented entirely without large language models, producing verifiable, reproducible outputs that satisfy the auditability requirements of regulated enterprise deployments. Existing enterprise RAG implementations universally depend on LLM backends for response generation. The Week 9 implementation provides a deterministic baseline that can serve both as a standalone production system for conservative enterprise contexts and as a reference implementation for validating LLM-backed alternatives.</w:t>
      </w:r>
    </w:p>
    <w:p>
      <w:pPr>
        <w:spacing w:after="80" w:before="80"/>
        <w:jc w:val="both"/>
      </w:pPr>
      <w:r>
        <w:rPr>
          <w:rFonts w:ascii="Arial" w:cs="Arial" w:eastAsia="Arial" w:hAnsi="Arial"/>
          <w:sz w:val="22"/>
          <w:szCs w:val="22"/>
        </w:rPr>
        <w:t xml:space="preserve">Contribution 2 — Calibrated Hierarchical Confidence: The platform introduces a hierarchical confidence scoring architecture in which confidence is computed at four levels (retrieval, response, insight, recommendation) and the final briefing confidence is the minimum across all levels rather than an average. This conservative aggregation strategy reflects the failure mode analysis of enterprise decision support systems: a chain of evidence is only as strong as its weakest link, and an aggregation that averages strong and weak links will systematically overstate confidence in partially-supported conclusions.</w:t>
      </w:r>
    </w:p>
    <w:p>
      <w:pPr>
        <w:spacing w:after="80" w:before="80"/>
        <w:jc w:val="both"/>
      </w:pPr>
      <w:r>
        <w:rPr>
          <w:rFonts w:ascii="Arial" w:cs="Arial" w:eastAsia="Arial" w:hAnsi="Arial"/>
          <w:sz w:val="22"/>
          <w:szCs w:val="22"/>
        </w:rPr>
        <w:t xml:space="preserve">Contribution 3 — Structured Executive Briefing Contract: The seven-section mandatory briefing structure (Summary, Findings, Risks, Recommendations, Evidence, Confidence, Limitations) represents a novel contribution to enterprise AI interface design. Existing RAG systems produce free-form text responses or structured data objects, but do not define a mandatory contract for briefing completeness. The structural integrity guarantee — all seven sections always present — addresses the critical failure mode in which AI systems omit limitation disclosures or confidence caveats when the underlying evidence is weak.</w:t>
      </w:r>
    </w:p>
    <w:p>
      <w:pPr>
        <w:spacing w:after="80" w:before="80"/>
        <w:jc w:val="both"/>
      </w:pPr>
      <w:r>
        <w:rPr>
          <w:rFonts w:ascii="Arial" w:cs="Arial" w:eastAsia="Arial" w:hAnsi="Arial"/>
          <w:sz w:val="22"/>
          <w:szCs w:val="22"/>
        </w:rPr>
        <w:t xml:space="preserve">Contribution 4 — Citation Strength Classification: The platform introduces a three-level citation strength taxonomy (STRONG for multi-source corroboration, MODERATE for dual-source, WEAK for single-source) that provides claim-level evidence quality assessment. This granular citation quality information enables briefing consumers to distinguish between well-corroborated findings and single-source assertions, supporting calibrated decision-making under evidential uncertainty.</w:t>
      </w:r>
    </w:p>
    <w:p>
      <w:pPr>
        <w:spacing w:after="80" w:before="80"/>
        <w:jc w:val="both"/>
      </w:pPr>
      <w:r>
        <w:rPr>
          <w:rFonts w:ascii="Arial" w:cs="Arial" w:eastAsia="Arial" w:hAnsi="Arial"/>
          <w:sz w:val="22"/>
          <w:szCs w:val="22"/>
        </w:rPr>
        <w:t xml:space="preserve">Contribution 5 — Integrated Digital Twin and Knowledge Intelligence: The platform integrates physical simulation (digital twin) with documentary knowledge intelligence in a unified architecture, enabling queries that require both numerical process data and textual engineering knowledge. This integration is architecturally novel: existing systems treat process simulation and document retrieval as separate applications, requiring manual integration by the user. The Week 9 platform demonstrates a unified pipeline in which simulation outputs can trigger knowledge queries and knowledge query results can inform simulation parameterisation.</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16. Current Limitations</w:t>
      </w:r>
    </w:p>
    <w:p>
      <w:pPr>
        <w:pStyle w:val="Heading2"/>
        <w:spacing w:after="120" w:before="320"/>
      </w:pPr>
      <w:r>
        <w:rPr>
          <w:rFonts w:ascii="Arial" w:cs="Arial" w:eastAsia="Arial" w:hAnsi="Arial"/>
          <w:b/>
          <w:bCs/>
          <w:color w:val="2E75B6"/>
          <w:sz w:val="28"/>
          <w:szCs w:val="28"/>
        </w:rPr>
        <w:t xml:space="preserve">16.1 Embedding Quality</w:t>
      </w:r>
    </w:p>
    <w:p>
      <w:pPr>
        <w:spacing w:after="80" w:before="80"/>
        <w:jc w:val="both"/>
      </w:pPr>
      <w:r>
        <w:rPr>
          <w:rFonts w:ascii="Arial" w:cs="Arial" w:eastAsia="Arial" w:hAnsi="Arial"/>
          <w:sz w:val="22"/>
          <w:szCs w:val="22"/>
        </w:rPr>
        <w:t xml:space="preserve">The current embedding model (fixed random projection from feature-hashed sparse vectors) produces embeddings with limited semantic fidelity compared to transformer-based models trained on in-domain corpora. Semantic similarity measured by the current embeddings correlates with co-occurrence of vocabulary rather than conceptual relatedness, which degrades retrieval precision for queries that use different terminology than the source documents. This limitation is expected to be addressed in Week 10 through the optional integration of a pre-trained transformer embedding model.</w:t>
      </w:r>
    </w:p>
    <w:p>
      <w:pPr>
        <w:pStyle w:val="Heading2"/>
        <w:spacing w:after="120" w:before="320"/>
      </w:pPr>
      <w:r>
        <w:rPr>
          <w:rFonts w:ascii="Arial" w:cs="Arial" w:eastAsia="Arial" w:hAnsi="Arial"/>
          <w:b/>
          <w:bCs/>
          <w:color w:val="2E75B6"/>
          <w:sz w:val="28"/>
          <w:szCs w:val="28"/>
        </w:rPr>
        <w:t xml:space="preserve">16.2 Response Fluency</w:t>
      </w:r>
    </w:p>
    <w:p>
      <w:pPr>
        <w:spacing w:after="80" w:before="80"/>
        <w:jc w:val="both"/>
      </w:pPr>
      <w:r>
        <w:rPr>
          <w:rFonts w:ascii="Arial" w:cs="Arial" w:eastAsia="Arial" w:hAnsi="Arial"/>
          <w:sz w:val="22"/>
          <w:szCs w:val="22"/>
        </w:rPr>
        <w:t xml:space="preserve">The deterministic response generation mechanism produces responses that are accurate and grounded but syntactically mechanical. Responses are assembled by concatenating extracted passages with minimal linguistic integration — they do not achieve the fluency of LLM-generated text. For executive briefings where the consumer expects professionally written prose, the current response quality may be inadequate. This limitation is accepted as a necessary consequence of the deterministic requirement and will be addressed in Week 10 through LLM-backed response polishing (using the grounded response as a template and the LLM as a fluency layer rather than a factual source).</w:t>
      </w:r>
    </w:p>
    <w:p>
      <w:pPr>
        <w:pStyle w:val="Heading2"/>
        <w:spacing w:after="120" w:before="320"/>
      </w:pPr>
      <w:r>
        <w:rPr>
          <w:rFonts w:ascii="Arial" w:cs="Arial" w:eastAsia="Arial" w:hAnsi="Arial"/>
          <w:b/>
          <w:bCs/>
          <w:color w:val="2E75B6"/>
          <w:sz w:val="28"/>
          <w:szCs w:val="28"/>
        </w:rPr>
        <w:t xml:space="preserve">16.3 Corpus Size</w:t>
      </w:r>
    </w:p>
    <w:p>
      <w:pPr>
        <w:spacing w:after="80" w:before="80"/>
        <w:jc w:val="both"/>
      </w:pPr>
      <w:r>
        <w:rPr>
          <w:rFonts w:ascii="Arial" w:cs="Arial" w:eastAsia="Arial" w:hAnsi="Arial"/>
          <w:sz w:val="22"/>
          <w:szCs w:val="22"/>
        </w:rPr>
        <w:t xml:space="preserve">The current in-memory architecture is practical for corpora up to approximately 100,000 documents. For enterprise deployments with millions of documents, the in-memory Knowledge Base and brute-force vector index are not viable. The architecture is designed to support a disk-resident Knowledge Base and HNSW-based approximate vector index as future replacements, but these alternatives are not yet implemented.</w:t>
      </w:r>
    </w:p>
    <w:p>
      <w:pPr>
        <w:pStyle w:val="Heading2"/>
        <w:spacing w:after="120" w:before="320"/>
      </w:pPr>
      <w:r>
        <w:rPr>
          <w:rFonts w:ascii="Arial" w:cs="Arial" w:eastAsia="Arial" w:hAnsi="Arial"/>
          <w:b/>
          <w:bCs/>
          <w:color w:val="2E75B6"/>
          <w:sz w:val="28"/>
          <w:szCs w:val="28"/>
        </w:rPr>
        <w:t xml:space="preserve">16.4 Language Coverage</w:t>
      </w:r>
    </w:p>
    <w:p>
      <w:pPr>
        <w:spacing w:after="80" w:before="80"/>
        <w:jc w:val="both"/>
      </w:pPr>
      <w:r>
        <w:rPr>
          <w:rFonts w:ascii="Arial" w:cs="Arial" w:eastAsia="Arial" w:hAnsi="Arial"/>
          <w:sz w:val="22"/>
          <w:szCs w:val="22"/>
        </w:rPr>
        <w:t xml:space="preserve">The current implementation handles English-language documents well and other Latin-script languages acceptably (the normalisation pipeline handles common Western European characters). Non-Latin scripts (Arabic, Chinese, Japanese, Korean, Cyrillic) are not handled: the feature hashing and stopword filtering are not adapted for these scripts. Enterprise deployments serving multinational organisations will require language-specific preprocessing pipelines.</w:t>
      </w:r>
    </w:p>
    <w:p>
      <w:pPr>
        <w:pStyle w:val="Heading2"/>
        <w:spacing w:after="120" w:before="320"/>
      </w:pPr>
      <w:r>
        <w:rPr>
          <w:rFonts w:ascii="Arial" w:cs="Arial" w:eastAsia="Arial" w:hAnsi="Arial"/>
          <w:b/>
          <w:bCs/>
          <w:color w:val="2E75B6"/>
          <w:sz w:val="28"/>
          <w:szCs w:val="28"/>
        </w:rPr>
        <w:t xml:space="preserve">16.5 Real-time Document Ingestion</w:t>
      </w:r>
    </w:p>
    <w:p>
      <w:pPr>
        <w:spacing w:after="80" w:before="80"/>
        <w:jc w:val="both"/>
      </w:pPr>
      <w:r>
        <w:rPr>
          <w:rFonts w:ascii="Arial" w:cs="Arial" w:eastAsia="Arial" w:hAnsi="Arial"/>
          <w:sz w:val="22"/>
          <w:szCs w:val="22"/>
        </w:rPr>
        <w:t xml:space="preserve">The current platform is designed for batch document ingestion: documents are loaded into the Knowledge Base and indexed offline before retrieval queries are served. Real-time ingestion (where documents arrive continuously and should be immediately retrievable) is not yet supported. The challenge is that adding a new document requires updating the vector index (a relatively expensive operation) and potentially invalidating cached query results.</w:t>
      </w:r>
    </w:p>
    <w:p>
      <w:pPr>
        <w:pStyle w:val="Heading2"/>
        <w:spacing w:after="120" w:before="320"/>
      </w:pPr>
      <w:r>
        <w:rPr>
          <w:rFonts w:ascii="Arial" w:cs="Arial" w:eastAsia="Arial" w:hAnsi="Arial"/>
          <w:b/>
          <w:bCs/>
          <w:color w:val="2E75B6"/>
          <w:sz w:val="28"/>
          <w:szCs w:val="28"/>
        </w:rPr>
        <w:t xml:space="preserve">16.6 Multi-modal Documents</w:t>
      </w:r>
    </w:p>
    <w:p>
      <w:pPr>
        <w:spacing w:after="80" w:before="80"/>
        <w:jc w:val="both"/>
      </w:pPr>
      <w:r>
        <w:rPr>
          <w:rFonts w:ascii="Arial" w:cs="Arial" w:eastAsia="Arial" w:hAnsi="Arial"/>
          <w:sz w:val="22"/>
          <w:szCs w:val="22"/>
        </w:rPr>
        <w:t xml:space="preserve">The current implementation processes text content only. Enterprise knowledge corpora typically include multi-modal documents: engineering drawings (images), circuit diagrams (images), audio maintenance logs (audio), and video inspection records (video). The knowledge extraction capabilities of the platform are limited to the textual content of documents; visual, audio, and video modalities are ignored. Multi-modal support requires modality-specific preprocessing pipelines that are beyond the current scope.</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17. Future Roadmap</w:t>
      </w:r>
    </w:p>
    <w:p>
      <w:pPr>
        <w:pStyle w:val="Heading2"/>
        <w:spacing w:after="120" w:before="320"/>
      </w:pPr>
      <w:r>
        <w:rPr>
          <w:rFonts w:ascii="Arial" w:cs="Arial" w:eastAsia="Arial" w:hAnsi="Arial"/>
          <w:b/>
          <w:bCs/>
          <w:color w:val="2E75B6"/>
          <w:sz w:val="28"/>
          <w:szCs w:val="28"/>
        </w:rPr>
        <w:t xml:space="preserve">17.1 Week 10 — LLM Integration</w:t>
      </w:r>
    </w:p>
    <w:p>
      <w:pPr>
        <w:spacing w:after="80" w:before="80"/>
        <w:jc w:val="both"/>
      </w:pPr>
      <w:r>
        <w:rPr>
          <w:rFonts w:ascii="Arial" w:cs="Arial" w:eastAsia="Arial" w:hAnsi="Arial"/>
          <w:sz w:val="22"/>
          <w:szCs w:val="22"/>
        </w:rPr>
        <w:t xml:space="preserve">Week 10 will introduce optional LLM integration as an additive extension to the Week 9 architecture. The integration will follow the adapter pattern: an LLMResponseAdapter will accept the GroundedResponse from the Knowledge Agent and submit it as context to an LLM API (initially OpenAI GPT-4 and Anthropic Claude, with a pluggable adapter interface for additional providers) with a carefully designed system prompt that instructs the LLM to rephrase the grounded response for fluency while explicitly prohibiting the addition of information not present in the provided context.</w:t>
      </w:r>
    </w:p>
    <w:p>
      <w:pPr>
        <w:spacing w:after="80" w:before="80"/>
        <w:jc w:val="both"/>
      </w:pPr>
      <w:r>
        <w:rPr>
          <w:rFonts w:ascii="Arial" w:cs="Arial" w:eastAsia="Arial" w:hAnsi="Arial"/>
          <w:sz w:val="22"/>
          <w:szCs w:val="22"/>
        </w:rPr>
        <w:t xml:space="preserve">This architecture — LLM as fluency layer, deterministic RAG as factual foundation — combines the strengths of both approaches: LLM fluency with RAG grounding. The confidence scoring system will remain entirely deterministic; the LLM will not influence confidence scores. The citation system will remain intact; the LLM will be instructed to preserve citation markers in its output. The deterministic baseline will remain available as a configuration option for deployments that cannot use LLM APIs.</w:t>
      </w:r>
    </w:p>
    <w:p>
      <w:pPr>
        <w:spacing w:after="80" w:before="80"/>
        <w:jc w:val="both"/>
      </w:pPr>
      <w:r>
        <w:rPr>
          <w:rFonts w:ascii="Arial" w:cs="Arial" w:eastAsia="Arial" w:hAnsi="Arial"/>
          <w:sz w:val="22"/>
          <w:szCs w:val="22"/>
        </w:rPr>
        <w:t xml:space="preserve">Week 10 will also introduce trained transformer embeddings as an optional replacement for the current random projection embeddings, improving retrieval precision for semantically complex queries. The embedding interface is already abstracted to support this replacement without modifying any other component.</w:t>
      </w:r>
    </w:p>
    <w:p>
      <w:pPr>
        <w:pStyle w:val="Heading2"/>
        <w:spacing w:after="120" w:before="320"/>
      </w:pPr>
      <w:r>
        <w:rPr>
          <w:rFonts w:ascii="Arial" w:cs="Arial" w:eastAsia="Arial" w:hAnsi="Arial"/>
          <w:b/>
          <w:bCs/>
          <w:color w:val="2E75B6"/>
          <w:sz w:val="28"/>
          <w:szCs w:val="28"/>
        </w:rPr>
        <w:t xml:space="preserve">17.2 Week 11 — Cloud Deployment</w:t>
      </w:r>
    </w:p>
    <w:p>
      <w:pPr>
        <w:spacing w:after="80" w:before="80"/>
        <w:jc w:val="both"/>
      </w:pPr>
      <w:r>
        <w:rPr>
          <w:rFonts w:ascii="Arial" w:cs="Arial" w:eastAsia="Arial" w:hAnsi="Arial"/>
          <w:sz w:val="22"/>
          <w:szCs w:val="22"/>
        </w:rPr>
        <w:t xml:space="preserve">Week 11 will introduce cloud-native deployment capabilities. The modular architecture of the Week 9 platform maps naturally onto a microservices deployment topology: the Knowledge Base as a managed document store (backed by a production database such as PostgreSQL with pgvector), the Vector Index as a managed vector search service (Pinecone, Weaviate, or Qdrant), the Retrieval Intelligence Layer as a stateless query service, the Knowledge Agent as a stateless reasoning service, and the Executive Copilot as the external-facing API layer.</w:t>
      </w:r>
    </w:p>
    <w:p>
      <w:pPr>
        <w:spacing w:after="80" w:before="80"/>
        <w:jc w:val="both"/>
      </w:pPr>
      <w:r>
        <w:rPr>
          <w:rFonts w:ascii="Arial" w:cs="Arial" w:eastAsia="Arial" w:hAnsi="Arial"/>
          <w:sz w:val="22"/>
          <w:szCs w:val="22"/>
        </w:rPr>
        <w:t xml:space="preserve">Week 11 will implement containerised deployment using Docker and Kubernetes, CI/CD pipelines using GitHub Actions, infrastructure-as-code using Terraform, observability tooling (structured logging, metrics, distributed tracing using OpenTelemetry), and API gateway integration with authentication, rate limiting, and usage tracking.</w:t>
      </w:r>
    </w:p>
    <w:p>
      <w:pPr>
        <w:pStyle w:val="Heading2"/>
        <w:spacing w:after="120" w:before="320"/>
      </w:pPr>
      <w:r>
        <w:rPr>
          <w:rFonts w:ascii="Arial" w:cs="Arial" w:eastAsia="Arial" w:hAnsi="Arial"/>
          <w:b/>
          <w:bCs/>
          <w:color w:val="2E75B6"/>
          <w:sz w:val="28"/>
          <w:szCs w:val="28"/>
        </w:rPr>
        <w:t xml:space="preserve">17.3 Week 12 — Distributed Systems</w:t>
      </w:r>
    </w:p>
    <w:p>
      <w:pPr>
        <w:spacing w:after="80" w:before="80"/>
        <w:jc w:val="both"/>
      </w:pPr>
      <w:r>
        <w:rPr>
          <w:rFonts w:ascii="Arial" w:cs="Arial" w:eastAsia="Arial" w:hAnsi="Arial"/>
          <w:sz w:val="22"/>
          <w:szCs w:val="22"/>
        </w:rPr>
        <w:t xml:space="preserve">Week 12 will introduce distributed systems capabilities for large-scale enterprise deployments. This includes horizontal scaling of the retrieval and reasoning services using message queue-based task distribution (Celery or Ray), federated knowledge base support (querying multiple domain-specific knowledge bases maintained by different teams), and distributed vector index support (sharding the vector index across multiple nodes to support multi-million document corpora with sub-100ms query latency).</w:t>
      </w:r>
    </w:p>
    <w:p>
      <w:pPr>
        <w:pStyle w:val="Heading2"/>
        <w:spacing w:after="120" w:before="320"/>
      </w:pPr>
      <w:r>
        <w:rPr>
          <w:rFonts w:ascii="Arial" w:cs="Arial" w:eastAsia="Arial" w:hAnsi="Arial"/>
          <w:b/>
          <w:bCs/>
          <w:color w:val="2E75B6"/>
          <w:sz w:val="28"/>
          <w:szCs w:val="28"/>
        </w:rPr>
        <w:t xml:space="preserve">17.4 Enterprise Deployment</w:t>
      </w:r>
    </w:p>
    <w:p>
      <w:pPr>
        <w:spacing w:after="80" w:before="80"/>
        <w:jc w:val="both"/>
      </w:pPr>
      <w:r>
        <w:rPr>
          <w:rFonts w:ascii="Arial" w:cs="Arial" w:eastAsia="Arial" w:hAnsi="Arial"/>
          <w:sz w:val="22"/>
          <w:szCs w:val="22"/>
        </w:rPr>
        <w:t xml:space="preserve">The enterprise deployment roadmap encompasses four additional capabilities beyond the Week 10-12 technical roadmap. First, role-based access control: collection membership will be integrated with enterprise identity management (Active Directory, LDAP, Okta) to enforce document access policies at the retrieval layer. Second, audit logging: a complete, tamper-evident audit log of every query, retrieval result, and generated briefing will be maintained for regulatory compliance purposes. Third, data classification enforcement: documents classified above a configured sensitivity level will be excluded from retrieval for users without the appropriate clearance. Fourth, offline operation: a fully self-contained offline deployment mode (no external API calls, including LLM APIs) will be supported for air-gapped environments.</w:t>
      </w:r>
    </w:p>
    <w:p>
      <w:pPr>
        <w:pStyle w:val="Heading2"/>
        <w:spacing w:after="120" w:before="320"/>
      </w:pPr>
      <w:r>
        <w:rPr>
          <w:rFonts w:ascii="Arial" w:cs="Arial" w:eastAsia="Arial" w:hAnsi="Arial"/>
          <w:b/>
          <w:bCs/>
          <w:color w:val="2E75B6"/>
          <w:sz w:val="28"/>
          <w:szCs w:val="28"/>
        </w:rPr>
        <w:t xml:space="preserve">17.5 LLM Integration Roadmap</w:t>
      </w:r>
    </w:p>
    <w:p>
      <w:pPr>
        <w:spacing w:after="80" w:before="80"/>
        <w:jc w:val="both"/>
      </w:pPr>
      <w:r>
        <w:rPr>
          <w:rFonts w:ascii="Arial" w:cs="Arial" w:eastAsia="Arial" w:hAnsi="Arial"/>
          <w:sz w:val="22"/>
          <w:szCs w:val="22"/>
        </w:rPr>
        <w:t xml:space="preserve">Beyond the Week 10 initial integration, the LLM roadmap includes: fine-tuning on domain-specific corpora (an LLM fine-tuned on the target industry's vocabulary and conventions produces more accurate fluency polishing than a general-purpose LLM); local LLM deployment (running open-source LLMs such as Llama or Mistral locally to support air-gapped deployments that benefit from LLM fluency); multi-LLM ensemble (routing queries to different LLMs based on query type, with a consensus mechanism for reconciling conflicting outputs); and LLM-based query expansion (using an LLM to generate additional semantic queries from the original executive question, improving recall for ambiguous or imprecise questions).</w:t>
      </w:r>
    </w:p>
    <w:p>
      <w:pPr>
        <w:pStyle w:val="Heading2"/>
        <w:spacing w:after="120" w:before="320"/>
      </w:pPr>
      <w:r>
        <w:rPr>
          <w:rFonts w:ascii="Arial" w:cs="Arial" w:eastAsia="Arial" w:hAnsi="Arial"/>
          <w:b/>
          <w:bCs/>
          <w:color w:val="2E75B6"/>
          <w:sz w:val="28"/>
          <w:szCs w:val="28"/>
        </w:rPr>
        <w:t xml:space="preserve">17.6 Research Roadmap</w:t>
      </w:r>
    </w:p>
    <w:p>
      <w:pPr>
        <w:spacing w:after="80" w:before="80"/>
        <w:jc w:val="both"/>
      </w:pPr>
      <w:r>
        <w:rPr>
          <w:rFonts w:ascii="Arial" w:cs="Arial" w:eastAsia="Arial" w:hAnsi="Arial"/>
          <w:sz w:val="22"/>
          <w:szCs w:val="22"/>
        </w:rPr>
        <w:t xml:space="preserve">Three research directions are identified for investigation beyond the current engineering roadmap. First, adaptive ranking weight learning: using implicit feedback signals (which briefings led to executive actions, which recommendations were followed) to automatically adjust the retrieval ranking weights over time. Second, cross-corpus knowledge synthesis: developing methods for integrating evidence from multiple knowledge bases maintained by different organisations (e.g., industry knowledge bases shared among a consortium of manufacturers), while respecting the access control and data sovereignty requirements of each contributing organisation. Third, active knowledge gap identification: proactively analysing the knowledge corpus for coverage gaps (topics that should be documented but are not) and generating recommendations for knowledge base enrichment.</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18. Conclusion</w:t>
      </w:r>
    </w:p>
    <w:p>
      <w:pPr>
        <w:spacing w:after="80" w:before="80"/>
        <w:jc w:val="both"/>
      </w:pPr>
      <w:r>
        <w:rPr>
          <w:rFonts w:ascii="Arial" w:cs="Arial" w:eastAsia="Arial" w:hAnsi="Arial"/>
          <w:sz w:val="22"/>
          <w:szCs w:val="22"/>
        </w:rPr>
        <w:t xml:space="preserve">The Week 9 engineering deliverable of the Enterprise Digital Twin &amp; Decision Intelligence Platform constitutes a fundamental advancement in the platform's capability to support enterprise decision-making. By introducing the Knowledge Intelligence Layer — comprising the Enterprise Knowledge Base, Vector Search Engine, Retrieval Intelligence Layer, Knowledge Agent, and Executive RAG Copilot — the platform transitions from a system that reasons over structured numerical data to one that can interrogate the unstructured documentary knowledge of an enterprise and deliver grounded, evidence-backed executive briefings.</w:t>
      </w:r>
    </w:p>
    <w:p>
      <w:pPr>
        <w:spacing w:after="80" w:before="80"/>
        <w:jc w:val="both"/>
      </w:pPr>
      <w:r>
        <w:rPr>
          <w:rFonts w:ascii="Arial" w:cs="Arial" w:eastAsia="Arial" w:hAnsi="Arial"/>
          <w:sz w:val="22"/>
          <w:szCs w:val="22"/>
        </w:rPr>
        <w:t xml:space="preserve">The central architectural commitments of Week 9 — determinism, grounding, citation traceability, calibrated confidence, and explicit limitations disclosure — are not constraints imposed by the absence of LLM capabilities. They are deliberate design choices that make the platform architecturally suitable for deployment in regulated enterprise environments where non-deterministic, opaque AI behaviour would be disqualifying. The platform demonstrates that retrieval-augmented generation can be implemented as a rigorous, auditable engineering discipline rather than a stochastic natural language processing capability.</w:t>
      </w:r>
    </w:p>
    <w:p>
      <w:pPr>
        <w:spacing w:after="80" w:before="80"/>
        <w:jc w:val="both"/>
      </w:pPr>
      <w:r>
        <w:rPr>
          <w:rFonts w:ascii="Arial" w:cs="Arial" w:eastAsia="Arial" w:hAnsi="Arial"/>
          <w:sz w:val="22"/>
          <w:szCs w:val="22"/>
        </w:rPr>
        <w:t xml:space="preserve">The 220 tests across the five phases, the complete JSON serialisation of all domain objects, the command-line interface for all major operations, and the full backward compatibility with Week 1-8 components together constitute a production-ready engineering deliverable that meets the quality standards of enterprise software development while pushing the boundary of what is achievable with pure Python and NumPy.</w:t>
      </w:r>
    </w:p>
    <w:p>
      <w:pPr>
        <w:spacing w:after="80" w:before="80"/>
        <w:jc w:val="both"/>
      </w:pPr>
      <w:r>
        <w:rPr>
          <w:rFonts w:ascii="Arial" w:cs="Arial" w:eastAsia="Arial" w:hAnsi="Arial"/>
          <w:sz w:val="22"/>
          <w:szCs w:val="22"/>
        </w:rPr>
        <w:t xml:space="preserve">The Week 9 platform stands at the Level 4 position in the Enterprise AI Capability Maturity Model: Knowledge Intelligence — grounded, evidence-based reasoning over a curated enterprise knowledge corpus. The path to Level 5 (Executive AI Platform — full strategic decision loop) is clearly mapped through the Week 10-12 roadmap: LLM integration for enhanced fluency, cloud deployment for scale, and distributed systems for enterprise-grade throughput.</w:t>
      </w:r>
    </w:p>
    <w:p>
      <w:pPr>
        <w:spacing w:after="80" w:before="80"/>
        <w:jc w:val="both"/>
      </w:pPr>
      <w:r>
        <w:rPr>
          <w:rFonts w:ascii="Arial" w:cs="Arial" w:eastAsia="Arial" w:hAnsi="Arial"/>
          <w:sz w:val="22"/>
          <w:szCs w:val="22"/>
        </w:rPr>
        <w:t xml:space="preserve">Most significantly, the Week 9 delivery establishes that enterprise AI systems can be built to be both powerful and accountable — capable of synthesising complex organisational knowledge and reliable enough to be trusted in safety-critical, regulated, and high-stakes decision environments. This combination, which has been the defining challenge of enterprise AI deployment, is the foundational contribution of the Week 9 Knowledge Intelligence Layer.</w:t>
      </w:r>
    </w:p>
    <w:p>
      <w:pPr>
        <w:spacing w:after="40" w:before="40"/>
      </w:pPr>
      <w:r>
        <w:t xml:space="preserve"/>
      </w:r>
    </w:p>
    <w:p>
      <w:r>
        <w:br w:type="page"/>
      </w:r>
    </w:p>
    <w:p>
      <w:pPr>
        <w:pStyle w:val="Heading1"/>
        <w:pBdr>
          <w:bottom w:val="single" w:color="2E75B6" w:sz="8" w:space="4"/>
        </w:pBdr>
        <w:spacing w:after="160" w:before="480"/>
      </w:pPr>
      <w:r>
        <w:rPr>
          <w:rFonts w:ascii="Arial" w:cs="Arial" w:eastAsia="Arial" w:hAnsi="Arial"/>
          <w:b/>
          <w:bCs/>
          <w:color w:val="1F3864"/>
          <w:sz w:val="36"/>
          <w:szCs w:val="36"/>
        </w:rPr>
        <w:t xml:space="preserve">19. Appendix</w:t>
      </w:r>
    </w:p>
    <w:p>
      <w:pPr>
        <w:pStyle w:val="Heading2"/>
        <w:spacing w:after="120" w:before="320"/>
      </w:pPr>
      <w:r>
        <w:rPr>
          <w:rFonts w:ascii="Arial" w:cs="Arial" w:eastAsia="Arial" w:hAnsi="Arial"/>
          <w:b/>
          <w:bCs/>
          <w:color w:val="2E75B6"/>
          <w:sz w:val="28"/>
          <w:szCs w:val="28"/>
        </w:rPr>
        <w:t xml:space="preserve">A. Folder Structure</w:t>
      </w:r>
    </w:p>
    <w:p>
      <w:pPr>
        <w:spacing w:after="80" w:before="80"/>
        <w:jc w:val="both"/>
      </w:pPr>
      <w:r>
        <w:rPr>
          <w:rFonts w:ascii="Arial" w:cs="Arial" w:eastAsia="Arial" w:hAnsi="Arial"/>
          <w:sz w:val="22"/>
          <w:szCs w:val="22"/>
        </w:rPr>
        <w:t xml:space="preserve">The Week 9 deliverable introduces the following directory structure within the existing enterprise_dt project:</w:t>
      </w:r>
    </w:p>
    <w:p>
      <w:pPr>
        <w:pBdr>
          <w:left w:val="single" w:color="2E75B6" w:sz="12"/>
        </w:pBdr>
        <w:shd w:fill="F8F8F8" w:val="clear"/>
        <w:spacing w:after="100" w:before="100"/>
        <w:ind w:left="360"/>
      </w:pPr>
      <w:r>
        <w:rPr>
          <w:rFonts w:ascii="Courier New" w:cs="Courier New" w:eastAsia="Courier New" w:hAnsi="Courier New"/>
          <w:color w:val="1F1F1F"/>
          <w:sz w:val="18"/>
          <w:szCs w:val="18"/>
        </w:rPr>
        <w:t xml:space="preserve">enterprise_dt/
</w:t>
      </w:r>
      <w:r>
        <w:rPr>
          <w:rFonts w:ascii="Courier New" w:cs="Courier New" w:eastAsia="Courier New" w:hAnsi="Courier New"/>
          <w:color w:val="1F1F1F"/>
          <w:sz w:val="18"/>
          <w:szCs w:val="18"/>
        </w:rPr>
        <w:t xml:space="preserve">├── knowledge_intelligence/           # Week 9 Knowledge Intelligence Layer
</w:t>
      </w:r>
      <w:r>
        <w:rPr>
          <w:rFonts w:ascii="Courier New" w:cs="Courier New" w:eastAsia="Courier New" w:hAnsi="Courier New"/>
          <w:color w:val="1F1F1F"/>
          <w:sz w:val="18"/>
          <w:szCs w:val="18"/>
        </w:rPr>
        <w:t xml:space="preserve">│   ├── __init__.py
</w:t>
      </w:r>
      <w:r>
        <w:rPr>
          <w:rFonts w:ascii="Courier New" w:cs="Courier New" w:eastAsia="Courier New" w:hAnsi="Courier New"/>
          <w:color w:val="1F1F1F"/>
          <w:sz w:val="18"/>
          <w:szCs w:val="18"/>
        </w:rPr>
        <w:t xml:space="preserve">│   ├── types.py                      # Shared typed domain objects
</w:t>
      </w:r>
      <w:r>
        <w:rPr>
          <w:rFonts w:ascii="Courier New" w:cs="Courier New" w:eastAsia="Courier New" w:hAnsi="Courier New"/>
          <w:color w:val="1F1F1F"/>
          <w:sz w:val="18"/>
          <w:szCs w:val="18"/>
        </w:rPr>
        <w:t xml:space="preserve">│   ├── phase1_knowledge_base/
</w:t>
      </w:r>
      <w:r>
        <w:rPr>
          <w:rFonts w:ascii="Courier New" w:cs="Courier New" w:eastAsia="Courier New" w:hAnsi="Courier New"/>
          <w:color w:val="1F1F1F"/>
          <w:sz w:val="18"/>
          <w:szCs w:val="18"/>
        </w:rPr>
        <w:t xml:space="preserve">│   │   ├── __init__.py
</w:t>
      </w:r>
      <w:r>
        <w:rPr>
          <w:rFonts w:ascii="Courier New" w:cs="Courier New" w:eastAsia="Courier New" w:hAnsi="Courier New"/>
          <w:color w:val="1F1F1F"/>
          <w:sz w:val="18"/>
          <w:szCs w:val="18"/>
        </w:rPr>
        <w:t xml:space="preserve">│   │   ├── knowledge_base.py         # KnowledgeBase class
</w:t>
      </w:r>
      <w:r>
        <w:rPr>
          <w:rFonts w:ascii="Courier New" w:cs="Courier New" w:eastAsia="Courier New" w:hAnsi="Courier New"/>
          <w:color w:val="1F1F1F"/>
          <w:sz w:val="18"/>
          <w:szCs w:val="18"/>
        </w:rPr>
        <w:t xml:space="preserve">│   │   ├── knowledge_document.py     # KnowledgeDocument dataclass
</w:t>
      </w:r>
      <w:r>
        <w:rPr>
          <w:rFonts w:ascii="Courier New" w:cs="Courier New" w:eastAsia="Courier New" w:hAnsi="Courier New"/>
          <w:color w:val="1F1F1F"/>
          <w:sz w:val="18"/>
          <w:szCs w:val="18"/>
        </w:rPr>
        <w:t xml:space="preserve">│   │   ├── knowledge_registry.py     # KnowledgeRegistry class
</w:t>
      </w:r>
      <w:r>
        <w:rPr>
          <w:rFonts w:ascii="Courier New" w:cs="Courier New" w:eastAsia="Courier New" w:hAnsi="Courier New"/>
          <w:color w:val="1F1F1F"/>
          <w:sz w:val="18"/>
          <w:szCs w:val="18"/>
        </w:rPr>
        <w:t xml:space="preserve">│   │   ├── knowledge_metadata.py     # KnowledgeMetadata dataclass
</w:t>
      </w:r>
      <w:r>
        <w:rPr>
          <w:rFonts w:ascii="Courier New" w:cs="Courier New" w:eastAsia="Courier New" w:hAnsi="Courier New"/>
          <w:color w:val="1F1F1F"/>
          <w:sz w:val="18"/>
          <w:szCs w:val="18"/>
        </w:rPr>
        <w:t xml:space="preserve">│   │   ├── knowledge_collection.py  # Collection management
</w:t>
      </w:r>
      <w:r>
        <w:rPr>
          <w:rFonts w:ascii="Courier New" w:cs="Courier New" w:eastAsia="Courier New" w:hAnsi="Courier New"/>
          <w:color w:val="1F1F1F"/>
          <w:sz w:val="18"/>
          <w:szCs w:val="18"/>
        </w:rPr>
        <w:t xml:space="preserve">│   │   ├── knowledge_validator.py   # Validation subsystem
</w:t>
      </w:r>
      <w:r>
        <w:rPr>
          <w:rFonts w:ascii="Courier New" w:cs="Courier New" w:eastAsia="Courier New" w:hAnsi="Courier New"/>
          <w:color w:val="1F1F1F"/>
          <w:sz w:val="18"/>
          <w:szCs w:val="18"/>
        </w:rPr>
        <w:t xml:space="preserve">│   │   ├── knowledge_statistics.py  # Statistics subsystem
</w:t>
      </w:r>
      <w:r>
        <w:rPr>
          <w:rFonts w:ascii="Courier New" w:cs="Courier New" w:eastAsia="Courier New" w:hAnsi="Courier New"/>
          <w:color w:val="1F1F1F"/>
          <w:sz w:val="18"/>
          <w:szCs w:val="18"/>
        </w:rPr>
        <w:t xml:space="preserve">│   │   └── knowledge_serializer.py  # JSON serialisation
</w:t>
      </w:r>
      <w:r>
        <w:rPr>
          <w:rFonts w:ascii="Courier New" w:cs="Courier New" w:eastAsia="Courier New" w:hAnsi="Courier New"/>
          <w:color w:val="1F1F1F"/>
          <w:sz w:val="18"/>
          <w:szCs w:val="18"/>
        </w:rPr>
        <w:t xml:space="preserve">│   ├── phase2_vector_search/
</w:t>
      </w:r>
      <w:r>
        <w:rPr>
          <w:rFonts w:ascii="Courier New" w:cs="Courier New" w:eastAsia="Courier New" w:hAnsi="Courier New"/>
          <w:color w:val="1F1F1F"/>
          <w:sz w:val="18"/>
          <w:szCs w:val="18"/>
        </w:rPr>
        <w:t xml:space="preserve">│   │   ├── __init__.py
</w:t>
      </w:r>
      <w:r>
        <w:rPr>
          <w:rFonts w:ascii="Courier New" w:cs="Courier New" w:eastAsia="Courier New" w:hAnsi="Courier New"/>
          <w:color w:val="1F1F1F"/>
          <w:sz w:val="18"/>
          <w:szCs w:val="18"/>
        </w:rPr>
        <w:t xml:space="preserve">│   │   ├── embedding_engine.py       # EmbeddingEngine class
</w:t>
      </w:r>
      <w:r>
        <w:rPr>
          <w:rFonts w:ascii="Courier New" w:cs="Courier New" w:eastAsia="Courier New" w:hAnsi="Courier New"/>
          <w:color w:val="1F1F1F"/>
          <w:sz w:val="18"/>
          <w:szCs w:val="18"/>
        </w:rPr>
        <w:t xml:space="preserve">│   │   ├── feature_hasher.py         # Feature hashing pipeline
</w:t>
      </w:r>
      <w:r>
        <w:rPr>
          <w:rFonts w:ascii="Courier New" w:cs="Courier New" w:eastAsia="Courier New" w:hAnsi="Courier New"/>
          <w:color w:val="1F1F1F"/>
          <w:sz w:val="18"/>
          <w:szCs w:val="18"/>
        </w:rPr>
        <w:t xml:space="preserve">│   │   ├── vector_index.py           # VectorIndex class
</w:t>
      </w:r>
      <w:r>
        <w:rPr>
          <w:rFonts w:ascii="Courier New" w:cs="Courier New" w:eastAsia="Courier New" w:hAnsi="Courier New"/>
          <w:color w:val="1F1F1F"/>
          <w:sz w:val="18"/>
          <w:szCs w:val="18"/>
        </w:rPr>
        <w:t xml:space="preserve">│   │   ├── similarity_metrics.py     # Cosine, Euclidean, dot product
</w:t>
      </w:r>
      <w:r>
        <w:rPr>
          <w:rFonts w:ascii="Courier New" w:cs="Courier New" w:eastAsia="Courier New" w:hAnsi="Courier New"/>
          <w:color w:val="1F1F1F"/>
          <w:sz w:val="18"/>
          <w:szCs w:val="18"/>
        </w:rPr>
        <w:t xml:space="preserve">│   │   └── hybrid_search.py          # Hybrid RRF search
</w:t>
      </w:r>
      <w:r>
        <w:rPr>
          <w:rFonts w:ascii="Courier New" w:cs="Courier New" w:eastAsia="Courier New" w:hAnsi="Courier New"/>
          <w:color w:val="1F1F1F"/>
          <w:sz w:val="18"/>
          <w:szCs w:val="18"/>
        </w:rPr>
        <w:t xml:space="preserve">│   ├── phase3_retrieval_intelligence/
</w:t>
      </w:r>
      <w:r>
        <w:rPr>
          <w:rFonts w:ascii="Courier New" w:cs="Courier New" w:eastAsia="Courier New" w:hAnsi="Courier New"/>
          <w:color w:val="1F1F1F"/>
          <w:sz w:val="18"/>
          <w:szCs w:val="18"/>
        </w:rPr>
        <w:t xml:space="preserve">│   │   ├── __init__.py
</w:t>
      </w:r>
      <w:r>
        <w:rPr>
          <w:rFonts w:ascii="Courier New" w:cs="Courier New" w:eastAsia="Courier New" w:hAnsi="Courier New"/>
          <w:color w:val="1F1F1F"/>
          <w:sz w:val="18"/>
          <w:szCs w:val="18"/>
        </w:rPr>
        <w:t xml:space="preserve">│   │   ├── query_pipeline.py         # QueryPipeline class
</w:t>
      </w:r>
      <w:r>
        <w:rPr>
          <w:rFonts w:ascii="Courier New" w:cs="Courier New" w:eastAsia="Courier New" w:hAnsi="Courier New"/>
          <w:color w:val="1F1F1F"/>
          <w:sz w:val="18"/>
          <w:szCs w:val="18"/>
        </w:rPr>
        <w:t xml:space="preserve">│   │   ├── candidate_generator.py    # CandidateGenerator class
</w:t>
      </w:r>
      <w:r>
        <w:rPr>
          <w:rFonts w:ascii="Courier New" w:cs="Courier New" w:eastAsia="Courier New" w:hAnsi="Courier New"/>
          <w:color w:val="1F1F1F"/>
          <w:sz w:val="18"/>
          <w:szCs w:val="18"/>
        </w:rPr>
        <w:t xml:space="preserve">│   │   ├── ranker.py                 # Multi-factor Ranker
</w:t>
      </w:r>
      <w:r>
        <w:rPr>
          <w:rFonts w:ascii="Courier New" w:cs="Courier New" w:eastAsia="Courier New" w:hAnsi="Courier New"/>
          <w:color w:val="1F1F1F"/>
          <w:sz w:val="18"/>
          <w:szCs w:val="18"/>
        </w:rPr>
        <w:t xml:space="preserve">│   │   ├── evidence_assembler.py     # EvidencePackage assembly
</w:t>
      </w:r>
      <w:r>
        <w:rPr>
          <w:rFonts w:ascii="Courier New" w:cs="Courier New" w:eastAsia="Courier New" w:hAnsi="Courier New"/>
          <w:color w:val="1F1F1F"/>
          <w:sz w:val="18"/>
          <w:szCs w:val="18"/>
        </w:rPr>
        <w:t xml:space="preserve">│   │   ├── context_constructor.py    # Context preparation
</w:t>
      </w:r>
      <w:r>
        <w:rPr>
          <w:rFonts w:ascii="Courier New" w:cs="Courier New" w:eastAsia="Courier New" w:hAnsi="Courier New"/>
          <w:color w:val="1F1F1F"/>
          <w:sz w:val="18"/>
          <w:szCs w:val="18"/>
        </w:rPr>
        <w:t xml:space="preserve">│   │   └── coverage_assessor.py      # Coverage and confidence
</w:t>
      </w:r>
      <w:r>
        <w:rPr>
          <w:rFonts w:ascii="Courier New" w:cs="Courier New" w:eastAsia="Courier New" w:hAnsi="Courier New"/>
          <w:color w:val="1F1F1F"/>
          <w:sz w:val="18"/>
          <w:szCs w:val="18"/>
        </w:rPr>
        <w:t xml:space="preserve">│   ├── phase4_knowledge_agent/
</w:t>
      </w:r>
      <w:r>
        <w:rPr>
          <w:rFonts w:ascii="Courier New" w:cs="Courier New" w:eastAsia="Courier New" w:hAnsi="Courier New"/>
          <w:color w:val="1F1F1F"/>
          <w:sz w:val="18"/>
          <w:szCs w:val="18"/>
        </w:rPr>
        <w:t xml:space="preserve">│   │   ├── __init__.py
</w:t>
      </w:r>
      <w:r>
        <w:rPr>
          <w:rFonts w:ascii="Courier New" w:cs="Courier New" w:eastAsia="Courier New" w:hAnsi="Courier New"/>
          <w:color w:val="1F1F1F"/>
          <w:sz w:val="18"/>
          <w:szCs w:val="18"/>
        </w:rPr>
        <w:t xml:space="preserve">│   │   ├── knowledge_agent.py        # KnowledgeAgent class
</w:t>
      </w:r>
      <w:r>
        <w:rPr>
          <w:rFonts w:ascii="Courier New" w:cs="Courier New" w:eastAsia="Courier New" w:hAnsi="Courier New"/>
          <w:color w:val="1F1F1F"/>
          <w:sz w:val="18"/>
          <w:szCs w:val="18"/>
        </w:rPr>
        <w:t xml:space="preserve">│   │   ├── question_processor.py     # QuestionContext extraction
</w:t>
      </w:r>
      <w:r>
        <w:rPr>
          <w:rFonts w:ascii="Courier New" w:cs="Courier New" w:eastAsia="Courier New" w:hAnsi="Courier New"/>
          <w:color w:val="1F1F1F"/>
          <w:sz w:val="18"/>
          <w:szCs w:val="18"/>
        </w:rPr>
        <w:t xml:space="preserve">│   │   ├── question_classifier.py   # Rule-based classifier
</w:t>
      </w:r>
      <w:r>
        <w:rPr>
          <w:rFonts w:ascii="Courier New" w:cs="Courier New" w:eastAsia="Courier New" w:hAnsi="Courier New"/>
          <w:color w:val="1F1F1F"/>
          <w:sz w:val="18"/>
          <w:szCs w:val="18"/>
        </w:rPr>
        <w:t xml:space="preserve">│   │   ├── evidence_analyser.py      # Evidence analysis pipeline
</w:t>
      </w:r>
      <w:r>
        <w:rPr>
          <w:rFonts w:ascii="Courier New" w:cs="Courier New" w:eastAsia="Courier New" w:hAnsi="Courier New"/>
          <w:color w:val="1F1F1F"/>
          <w:sz w:val="18"/>
          <w:szCs w:val="18"/>
        </w:rPr>
        <w:t xml:space="preserve">│   │   ├── response_generator.py     # Grounded response assembly
</w:t>
      </w:r>
      <w:r>
        <w:rPr>
          <w:rFonts w:ascii="Courier New" w:cs="Courier New" w:eastAsia="Courier New" w:hAnsi="Courier New"/>
          <w:color w:val="1F1F1F"/>
          <w:sz w:val="18"/>
          <w:szCs w:val="18"/>
        </w:rPr>
        <w:t xml:space="preserve">│   │   ├── citation_assembler.py     # Citation system
</w:t>
      </w:r>
      <w:r>
        <w:rPr>
          <w:rFonts w:ascii="Courier New" w:cs="Courier New" w:eastAsia="Courier New" w:hAnsi="Courier New"/>
          <w:color w:val="1F1F1F"/>
          <w:sz w:val="18"/>
          <w:szCs w:val="18"/>
        </w:rPr>
        <w:t xml:space="preserve">│   │   └── confidence_model.py       # Confidence computation
</w:t>
      </w:r>
      <w:r>
        <w:rPr>
          <w:rFonts w:ascii="Courier New" w:cs="Courier New" w:eastAsia="Courier New" w:hAnsi="Courier New"/>
          <w:color w:val="1F1F1F"/>
          <w:sz w:val="18"/>
          <w:szCs w:val="18"/>
        </w:rPr>
        <w:t xml:space="preserve">│   ├── phase5_executive_copilot/
</w:t>
      </w:r>
      <w:r>
        <w:rPr>
          <w:rFonts w:ascii="Courier New" w:cs="Courier New" w:eastAsia="Courier New" w:hAnsi="Courier New"/>
          <w:color w:val="1F1F1F"/>
          <w:sz w:val="18"/>
          <w:szCs w:val="18"/>
        </w:rPr>
        <w:t xml:space="preserve">│   │   ├── __init__.py
</w:t>
      </w:r>
      <w:r>
        <w:rPr>
          <w:rFonts w:ascii="Courier New" w:cs="Courier New" w:eastAsia="Courier New" w:hAnsi="Courier New"/>
          <w:color w:val="1F1F1F"/>
          <w:sz w:val="18"/>
          <w:szCs w:val="18"/>
        </w:rPr>
        <w:t xml:space="preserve">│   │   ├── executive_copilot.py      # ExecutiveCopilot class
</w:t>
      </w:r>
      <w:r>
        <w:rPr>
          <w:rFonts w:ascii="Courier New" w:cs="Courier New" w:eastAsia="Courier New" w:hAnsi="Courier New"/>
          <w:color w:val="1F1F1F"/>
          <w:sz w:val="18"/>
          <w:szCs w:val="18"/>
        </w:rPr>
        <w:t xml:space="preserve">│   │   ├── question_handler.py       # Executive question processing
</w:t>
      </w:r>
      <w:r>
        <w:rPr>
          <w:rFonts w:ascii="Courier New" w:cs="Courier New" w:eastAsia="Courier New" w:hAnsi="Courier New"/>
          <w:color w:val="1F1F1F"/>
          <w:sz w:val="18"/>
          <w:szCs w:val="18"/>
        </w:rPr>
        <w:t xml:space="preserve">│   │   ├── insight_extractor.py      # Insight extraction
</w:t>
      </w:r>
      <w:r>
        <w:rPr>
          <w:rFonts w:ascii="Courier New" w:cs="Courier New" w:eastAsia="Courier New" w:hAnsi="Courier New"/>
          <w:color w:val="1F1F1F"/>
          <w:sz w:val="18"/>
          <w:szCs w:val="18"/>
        </w:rPr>
        <w:t xml:space="preserve">│   │   ├── recommendation_engine.py  # Recommendation generation
</w:t>
      </w:r>
      <w:r>
        <w:rPr>
          <w:rFonts w:ascii="Courier New" w:cs="Courier New" w:eastAsia="Courier New" w:hAnsi="Courier New"/>
          <w:color w:val="1F1F1F"/>
          <w:sz w:val="18"/>
          <w:szCs w:val="18"/>
        </w:rPr>
        <w:t xml:space="preserve">│   │   ├── risk_identifier.py        # Business risk identification
</w:t>
      </w:r>
      <w:r>
        <w:rPr>
          <w:rFonts w:ascii="Courier New" w:cs="Courier New" w:eastAsia="Courier New" w:hAnsi="Courier New"/>
          <w:color w:val="1F1F1F"/>
          <w:sz w:val="18"/>
          <w:szCs w:val="18"/>
        </w:rPr>
        <w:t xml:space="preserve">│   │   ├── briefing_assembler.py     # ExecutiveBriefing assembly
</w:t>
      </w:r>
      <w:r>
        <w:rPr>
          <w:rFonts w:ascii="Courier New" w:cs="Courier New" w:eastAsia="Courier New" w:hAnsi="Courier New"/>
          <w:color w:val="1F1F1F"/>
          <w:sz w:val="18"/>
          <w:szCs w:val="18"/>
        </w:rPr>
        <w:t xml:space="preserve">│   │   └── limitations_assessor.py   # Limitations disclosure
</w:t>
      </w:r>
      <w:r>
        <w:rPr>
          <w:rFonts w:ascii="Courier New" w:cs="Courier New" w:eastAsia="Courier New" w:hAnsi="Courier New"/>
          <w:color w:val="1F1F1F"/>
          <w:sz w:val="18"/>
          <w:szCs w:val="18"/>
        </w:rPr>
        <w:t xml:space="preserve">│   └── pipeline.py                   # KnowledgeIntelligencePipeline
</w:t>
      </w:r>
      <w:r>
        <w:rPr>
          <w:rFonts w:ascii="Courier New" w:cs="Courier New" w:eastAsia="Courier New" w:hAnsi="Courier New"/>
          <w:color w:val="1F1F1F"/>
          <w:sz w:val="18"/>
          <w:szCs w:val="18"/>
        </w:rPr>
        <w:t xml:space="preserve">└── cli/
</w:t>
      </w:r>
      <w:r>
        <w:rPr>
          <w:rFonts w:ascii="Courier New" w:cs="Courier New" w:eastAsia="Courier New" w:hAnsi="Courier New"/>
          <w:color w:val="1F1F1F"/>
          <w:sz w:val="18"/>
          <w:szCs w:val="18"/>
        </w:rPr>
        <w:t xml:space="preserve">    └── knowledge_cli.py              # CLI for all Week 9 operations
</w:t>
      </w:r>
      <w:r>
        <w:rPr>
          <w:rFonts w:ascii="Courier New" w:cs="Courier New" w:eastAsia="Courier New" w:hAnsi="Courier New"/>
          <w:color w:val="1F1F1F"/>
          <w:sz w:val="18"/>
          <w:szCs w:val="18"/>
        </w:rPr>
        <w:t xml:space="preserve">
</w:t>
      </w:r>
      <w:r>
        <w:rPr>
          <w:rFonts w:ascii="Courier New" w:cs="Courier New" w:eastAsia="Courier New" w:hAnsi="Courier New"/>
          <w:color w:val="1F1F1F"/>
          <w:sz w:val="18"/>
          <w:szCs w:val="18"/>
        </w:rPr>
        <w:t xml:space="preserve">tests/
</w:t>
      </w:r>
      <w:r>
        <w:rPr>
          <w:rFonts w:ascii="Courier New" w:cs="Courier New" w:eastAsia="Courier New" w:hAnsi="Courier New"/>
          <w:color w:val="1F1F1F"/>
          <w:sz w:val="18"/>
          <w:szCs w:val="18"/>
        </w:rPr>
        <w:t xml:space="preserve">└── knowledge_intelligence/
</w:t>
      </w:r>
      <w:r>
        <w:rPr>
          <w:rFonts w:ascii="Courier New" w:cs="Courier New" w:eastAsia="Courier New" w:hAnsi="Courier New"/>
          <w:color w:val="1F1F1F"/>
          <w:sz w:val="18"/>
          <w:szCs w:val="18"/>
        </w:rPr>
        <w:t xml:space="preserve">    ├── test_phase1_knowledge_base.py
</w:t>
      </w:r>
      <w:r>
        <w:rPr>
          <w:rFonts w:ascii="Courier New" w:cs="Courier New" w:eastAsia="Courier New" w:hAnsi="Courier New"/>
          <w:color w:val="1F1F1F"/>
          <w:sz w:val="18"/>
          <w:szCs w:val="18"/>
        </w:rPr>
        <w:t xml:space="preserve">    ├── test_phase2_vector_search.py
</w:t>
      </w:r>
      <w:r>
        <w:rPr>
          <w:rFonts w:ascii="Courier New" w:cs="Courier New" w:eastAsia="Courier New" w:hAnsi="Courier New"/>
          <w:color w:val="1F1F1F"/>
          <w:sz w:val="18"/>
          <w:szCs w:val="18"/>
        </w:rPr>
        <w:t xml:space="preserve">    ├── test_phase3_retrieval_intelligence.py
</w:t>
      </w:r>
      <w:r>
        <w:rPr>
          <w:rFonts w:ascii="Courier New" w:cs="Courier New" w:eastAsia="Courier New" w:hAnsi="Courier New"/>
          <w:color w:val="1F1F1F"/>
          <w:sz w:val="18"/>
          <w:szCs w:val="18"/>
        </w:rPr>
        <w:t xml:space="preserve">    ├── test_phase4_knowledge_agent.py
</w:t>
      </w:r>
      <w:r>
        <w:rPr>
          <w:rFonts w:ascii="Courier New" w:cs="Courier New" w:eastAsia="Courier New" w:hAnsi="Courier New"/>
          <w:color w:val="1F1F1F"/>
          <w:sz w:val="18"/>
          <w:szCs w:val="18"/>
        </w:rPr>
        <w:t xml:space="preserve">    └── test_phase5_executive_copilot.py</w:t>
      </w:r>
    </w:p>
    <w:p>
      <w:pPr>
        <w:pStyle w:val="Heading2"/>
        <w:spacing w:after="120" w:before="320"/>
      </w:pPr>
      <w:r>
        <w:rPr>
          <w:rFonts w:ascii="Arial" w:cs="Arial" w:eastAsia="Arial" w:hAnsi="Arial"/>
          <w:b/>
          <w:bCs/>
          <w:color w:val="2E75B6"/>
          <w:sz w:val="28"/>
          <w:szCs w:val="28"/>
        </w:rPr>
        <w:t xml:space="preserve">B. Core Modules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 Function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knowledge_base.py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lifecycle management, collection management, corpus querying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knowledge_document.py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KnowledgeDocument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Immutable domain object for all knowledge documents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knowledge_registry.py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KnowledgeRegistry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lifecycle state tracking, collection index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knowledge_validator.py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KnowledgeValidator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Ingestion-time quality enforcement, ValidationResult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knowledge_statistics.py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KnowledgeStatistics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Corpus-level metric computation and lazy caching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embedding_engine.py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EmbeddingEngine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hashing, vector projection, batch embedding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vector_index.py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VectorIndex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 index management, similarity search, index statistics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similarity_metrics.py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SimilarityMetrics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 Euclidean, dot product similarity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hybrid_search.py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HybridSearcher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RRF-based fusion of dense and sparse retrieval signals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query_pipeline.py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QueryPipeline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normalisation, expansion, intent parsing, vectorisation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candidate_generator.py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Three-strategy parallel candidate generation and deduplication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ranker.py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MultiFactorRanker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Five-factor composite scoring and top-K selection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evidence_assembler.py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EvidenceAssembler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EvidencePackage construction from ranked candidate set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coverage_assessor.py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CoverageAssessor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intent coverage and retrieval confidence estimation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knowledge_agent.py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KnowledgeAgent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reasoning pipeline orchestration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evidence_analyser.py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EvidenceAnalyser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Claim extraction, weighting, deduplication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response_generator.py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Grounded, gap-aware response assembly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citation_assembler.py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CitationAssembler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IEEE-format citation generation with strength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confidence_model.py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Multi-factor response confidence computation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executive_copilot.py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ExecutiveCopilot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copilot pipeline orchestration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insight_extractor.py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InsightExtractor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 anomaly, correlation, precedent extraction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recommendation_engine.py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RecommendationEngine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Rule-based prioritised recommendation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risk_identifier.py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RiskIdentifier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Six-dimension risk identification and severity scoring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briefing_assembler.py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BriefingAssembler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Seven-section mandatory executive briefing assembly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KnowledgeIntelligencePipeline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End-to-end pipeline orchestration and error handling</w:t>
            </w:r>
          </w:p>
        </w:tc>
      </w:tr>
    </w:tbl>
    <w:p>
      <w:pPr>
        <w:spacing w:after="160" w:before="40"/>
        <w:jc w:val="center"/>
      </w:pPr>
      <w:r>
        <w:rPr>
          <w:rFonts w:ascii="Arial" w:cs="Arial" w:eastAsia="Arial" w:hAnsi="Arial"/>
          <w:i/>
          <w:iCs/>
          <w:color w:val="595959"/>
          <w:sz w:val="20"/>
          <w:szCs w:val="20"/>
        </w:rPr>
        <w:t xml:space="preserve">Table A.1 — Core modules and their primary responsibilities</w:t>
      </w:r>
    </w:p>
    <w:p>
      <w:pPr>
        <w:pStyle w:val="Heading2"/>
        <w:spacing w:after="120" w:before="320"/>
      </w:pPr>
      <w:r>
        <w:rPr>
          <w:rFonts w:ascii="Arial" w:cs="Arial" w:eastAsia="Arial" w:hAnsi="Arial"/>
          <w:b/>
          <w:bCs/>
          <w:color w:val="2E75B6"/>
          <w:sz w:val="28"/>
          <w:szCs w:val="28"/>
        </w:rPr>
        <w:t xml:space="preserve">C.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implementation language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(mandatory)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 computation, matrix operations, ANN search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(mandatory)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 framework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pytest-cov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coverage reporting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argparse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 argument parsing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serialisation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dataclasses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Frozen dataclass implementation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annotations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Enumeration types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 8601 timestamp handling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hashlib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ID generation via content hash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normalisation and text preprocessing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stdlib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Inverted index and counter utilities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(stdlib, no install)</w:t>
            </w:r>
          </w:p>
        </w:tc>
      </w:tr>
    </w:tbl>
    <w:p>
      <w:pPr>
        <w:spacing w:after="160" w:before="40"/>
        <w:jc w:val="center"/>
      </w:pPr>
      <w:r>
        <w:rPr>
          <w:rFonts w:ascii="Arial" w:cs="Arial" w:eastAsia="Arial" w:hAnsi="Arial"/>
          <w:i/>
          <w:iCs/>
          <w:color w:val="595959"/>
          <w:sz w:val="20"/>
          <w:szCs w:val="20"/>
        </w:rPr>
        <w:t xml:space="preserve">Table A.2 — Complete dependency manifest for the Week 9 platform</w:t>
      </w:r>
    </w:p>
    <w:p>
      <w:pPr>
        <w:pStyle w:val="Heading2"/>
        <w:spacing w:after="120" w:before="320"/>
      </w:pPr>
      <w:r>
        <w:rPr>
          <w:rFonts w:ascii="Arial" w:cs="Arial" w:eastAsia="Arial" w:hAnsi="Arial"/>
          <w:b/>
          <w:bCs/>
          <w:color w:val="2E75B6"/>
          <w:sz w:val="28"/>
          <w:szCs w:val="28"/>
        </w:rPr>
        <w:t xml:space="preserve">D. Public APIs</w:t>
      </w:r>
    </w:p>
    <w:p>
      <w:pPr>
        <w:spacing w:after="80" w:before="80"/>
        <w:jc w:val="both"/>
      </w:pPr>
      <w:r>
        <w:rPr>
          <w:rFonts w:ascii="Arial" w:cs="Arial" w:eastAsia="Arial" w:hAnsi="Arial"/>
          <w:sz w:val="22"/>
          <w:szCs w:val="22"/>
        </w:rPr>
        <w:t xml:space="preserve">The following public API surfaces constitute the stable interfaces between the five phases. Consumers of these APIs are guaranteed backward compatibility across all future minor version increments.</w:t>
      </w:r>
    </w:p>
    <w:p>
      <w:pPr>
        <w:pBdr>
          <w:left w:val="single" w:color="2E75B6" w:sz="12"/>
        </w:pBdr>
        <w:shd w:fill="F8F8F8" w:val="clear"/>
        <w:spacing w:after="100" w:before="100"/>
        <w:ind w:left="360"/>
      </w:pPr>
      <w:r>
        <w:rPr>
          <w:rFonts w:ascii="Courier New" w:cs="Courier New" w:eastAsia="Courier New" w:hAnsi="Courier New"/>
          <w:color w:val="1F1F1F"/>
          <w:sz w:val="18"/>
          <w:szCs w:val="18"/>
        </w:rPr>
        <w:t xml:space="preserve"># Phase 1 — KnowledgeBase public API
</w:t>
      </w:r>
      <w:r>
        <w:rPr>
          <w:rFonts w:ascii="Courier New" w:cs="Courier New" w:eastAsia="Courier New" w:hAnsi="Courier New"/>
          <w:color w:val="1F1F1F"/>
          <w:sz w:val="18"/>
          <w:szCs w:val="18"/>
        </w:rPr>
        <w:t xml:space="preserve">class KnowledgeBase:
</w:t>
      </w:r>
      <w:r>
        <w:rPr>
          <w:rFonts w:ascii="Courier New" w:cs="Courier New" w:eastAsia="Courier New" w:hAnsi="Courier New"/>
          <w:color w:val="1F1F1F"/>
          <w:sz w:val="18"/>
          <w:szCs w:val="18"/>
        </w:rPr>
        <w:t xml:space="preserve">    def ingest_document(self, doc: KnowledgeDocument) -&gt; RegistrationResult
</w:t>
      </w:r>
      <w:r>
        <w:rPr>
          <w:rFonts w:ascii="Courier New" w:cs="Courier New" w:eastAsia="Courier New" w:hAnsi="Courier New"/>
          <w:color w:val="1F1F1F"/>
          <w:sz w:val="18"/>
          <w:szCs w:val="18"/>
        </w:rPr>
        <w:t xml:space="preserve">    def get_document(self, doc_id: str) -&gt; Optional[KnowledgeDocument]
</w:t>
      </w:r>
      <w:r>
        <w:rPr>
          <w:rFonts w:ascii="Courier New" w:cs="Courier New" w:eastAsia="Courier New" w:hAnsi="Courier New"/>
          <w:color w:val="1F1F1F"/>
          <w:sz w:val="18"/>
          <w:szCs w:val="18"/>
        </w:rPr>
        <w:t xml:space="preserve">    def search_by_keywords(self, terms: list[str], mode: str = 'AND') -&gt; list[KnowledgeDocument]
</w:t>
      </w:r>
      <w:r>
        <w:rPr>
          <w:rFonts w:ascii="Courier New" w:cs="Courier New" w:eastAsia="Courier New" w:hAnsi="Courier New"/>
          <w:color w:val="1F1F1F"/>
          <w:sz w:val="18"/>
          <w:szCs w:val="18"/>
        </w:rPr>
        <w:t xml:space="preserve">    def get_collection(self, collection: str) -&gt; list[KnowledgeDocument]
</w:t>
      </w:r>
      <w:r>
        <w:rPr>
          <w:rFonts w:ascii="Courier New" w:cs="Courier New" w:eastAsia="Courier New" w:hAnsi="Courier New"/>
          <w:color w:val="1F1F1F"/>
          <w:sz w:val="18"/>
          <w:szCs w:val="18"/>
        </w:rPr>
        <w:t xml:space="preserve">    def get_statistics(self) -&gt; KnowledgeStatistics
</w:t>
      </w:r>
      <w:r>
        <w:rPr>
          <w:rFonts w:ascii="Courier New" w:cs="Courier New" w:eastAsia="Courier New" w:hAnsi="Courier New"/>
          <w:color w:val="1F1F1F"/>
          <w:sz w:val="18"/>
          <w:szCs w:val="18"/>
        </w:rPr>
        <w:t xml:space="preserve">    def validate_corpus(self) -&gt; list[ValidationResult]
</w:t>
      </w:r>
      <w:r>
        <w:rPr>
          <w:rFonts w:ascii="Courier New" w:cs="Courier New" w:eastAsia="Courier New" w:hAnsi="Courier New"/>
          <w:color w:val="1F1F1F"/>
          <w:sz w:val="18"/>
          <w:szCs w:val="18"/>
        </w:rPr>
        <w:t xml:space="preserve">    def to_json(self) -&gt; str
</w:t>
      </w:r>
      <w:r>
        <w:rPr>
          <w:rFonts w:ascii="Courier New" w:cs="Courier New" w:eastAsia="Courier New" w:hAnsi="Courier New"/>
          <w:color w:val="1F1F1F"/>
          <w:sz w:val="18"/>
          <w:szCs w:val="18"/>
        </w:rPr>
        <w:t xml:space="preserve">    @classmethod def from_json(cls, json_str: str) -&gt; 'KnowledgeBase'
</w:t>
      </w:r>
      <w:r>
        <w:rPr>
          <w:rFonts w:ascii="Courier New" w:cs="Courier New" w:eastAsia="Courier New" w:hAnsi="Courier New"/>
          <w:color w:val="1F1F1F"/>
          <w:sz w:val="18"/>
          <w:szCs w:val="18"/>
        </w:rPr>
        <w:t xml:space="preserve">
</w:t>
      </w:r>
      <w:r>
        <w:rPr>
          <w:rFonts w:ascii="Courier New" w:cs="Courier New" w:eastAsia="Courier New" w:hAnsi="Courier New"/>
          <w:color w:val="1F1F1F"/>
          <w:sz w:val="18"/>
          <w:szCs w:val="18"/>
        </w:rPr>
        <w:t xml:space="preserve"># Phase 2 — VectorIndex public API
</w:t>
      </w:r>
      <w:r>
        <w:rPr>
          <w:rFonts w:ascii="Courier New" w:cs="Courier New" w:eastAsia="Courier New" w:hAnsi="Courier New"/>
          <w:color w:val="1F1F1F"/>
          <w:sz w:val="18"/>
          <w:szCs w:val="18"/>
        </w:rPr>
        <w:t xml:space="preserve">class VectorIndex:
</w:t>
      </w:r>
      <w:r>
        <w:rPr>
          <w:rFonts w:ascii="Courier New" w:cs="Courier New" w:eastAsia="Courier New" w:hAnsi="Courier New"/>
          <w:color w:val="1F1F1F"/>
          <w:sz w:val="18"/>
          <w:szCs w:val="18"/>
        </w:rPr>
        <w:t xml:space="preserve">    def add_document(self, doc_id: str, embedding: np.ndarray) -&gt; None
</w:t>
      </w:r>
      <w:r>
        <w:rPr>
          <w:rFonts w:ascii="Courier New" w:cs="Courier New" w:eastAsia="Courier New" w:hAnsi="Courier New"/>
          <w:color w:val="1F1F1F"/>
          <w:sz w:val="18"/>
          <w:szCs w:val="18"/>
        </w:rPr>
        <w:t xml:space="preserve">    def search(self, query_embedding: np.ndarray, k: int, metric: str = 'cosine') -&gt; list[SearchResult]
</w:t>
      </w:r>
      <w:r>
        <w:rPr>
          <w:rFonts w:ascii="Courier New" w:cs="Courier New" w:eastAsia="Courier New" w:hAnsi="Courier New"/>
          <w:color w:val="1F1F1F"/>
          <w:sz w:val="18"/>
          <w:szCs w:val="18"/>
        </w:rPr>
        <w:t xml:space="preserve">    def hybrid_search(self, query_embedding: np.ndarray, keyword_results: list[str], k: int) -&gt; list[SearchResult]
</w:t>
      </w:r>
      <w:r>
        <w:rPr>
          <w:rFonts w:ascii="Courier New" w:cs="Courier New" w:eastAsia="Courier New" w:hAnsi="Courier New"/>
          <w:color w:val="1F1F1F"/>
          <w:sz w:val="18"/>
          <w:szCs w:val="18"/>
        </w:rPr>
        <w:t xml:space="preserve">    def get_statistics(self) -&gt; IndexStatistics
</w:t>
      </w:r>
      <w:r>
        <w:rPr>
          <w:rFonts w:ascii="Courier New" w:cs="Courier New" w:eastAsia="Courier New" w:hAnsi="Courier New"/>
          <w:color w:val="1F1F1F"/>
          <w:sz w:val="18"/>
          <w:szCs w:val="18"/>
        </w:rPr>
        <w:t xml:space="preserve">    def save(self, path: str) -&gt; None
</w:t>
      </w:r>
      <w:r>
        <w:rPr>
          <w:rFonts w:ascii="Courier New" w:cs="Courier New" w:eastAsia="Courier New" w:hAnsi="Courier New"/>
          <w:color w:val="1F1F1F"/>
          <w:sz w:val="18"/>
          <w:szCs w:val="18"/>
        </w:rPr>
        <w:t xml:space="preserve">    @classmethod def load(cls, path: str) -&gt; 'VectorIndex'
</w:t>
      </w:r>
      <w:r>
        <w:rPr>
          <w:rFonts w:ascii="Courier New" w:cs="Courier New" w:eastAsia="Courier New" w:hAnsi="Courier New"/>
          <w:color w:val="1F1F1F"/>
          <w:sz w:val="18"/>
          <w:szCs w:val="18"/>
        </w:rPr>
        <w:t xml:space="preserve">
</w:t>
      </w:r>
      <w:r>
        <w:rPr>
          <w:rFonts w:ascii="Courier New" w:cs="Courier New" w:eastAsia="Courier New" w:hAnsi="Courier New"/>
          <w:color w:val="1F1F1F"/>
          <w:sz w:val="18"/>
          <w:szCs w:val="18"/>
        </w:rPr>
        <w:t xml:space="preserve"># Phase 3 — RetrievalIntelligence public API
</w:t>
      </w:r>
      <w:r>
        <w:rPr>
          <w:rFonts w:ascii="Courier New" w:cs="Courier New" w:eastAsia="Courier New" w:hAnsi="Courier New"/>
          <w:color w:val="1F1F1F"/>
          <w:sz w:val="18"/>
          <w:szCs w:val="18"/>
        </w:rPr>
        <w:t xml:space="preserve">class RetrievalIntelligencePipeline:
</w:t>
      </w:r>
      <w:r>
        <w:rPr>
          <w:rFonts w:ascii="Courier New" w:cs="Courier New" w:eastAsia="Courier New" w:hAnsi="Courier New"/>
          <w:color w:val="1F1F1F"/>
          <w:sz w:val="18"/>
          <w:szCs w:val="18"/>
        </w:rPr>
        <w:t xml:space="preserve">    def retrieve(self, query: str, collection_filter: Optional[str] = None) -&gt; EvidencePackage
</w:t>
      </w:r>
      <w:r>
        <w:rPr>
          <w:rFonts w:ascii="Courier New" w:cs="Courier New" w:eastAsia="Courier New" w:hAnsi="Courier New"/>
          <w:color w:val="1F1F1F"/>
          <w:sz w:val="18"/>
          <w:szCs w:val="18"/>
        </w:rPr>
        <w:t xml:space="preserve">    def configure_ranking_weights(self, weights: RankingWeights) -&gt; None
</w:t>
      </w:r>
      <w:r>
        <w:rPr>
          <w:rFonts w:ascii="Courier New" w:cs="Courier New" w:eastAsia="Courier New" w:hAnsi="Courier New"/>
          <w:color w:val="1F1F1F"/>
          <w:sz w:val="18"/>
          <w:szCs w:val="18"/>
        </w:rPr>
        <w:t xml:space="preserve">
</w:t>
      </w:r>
      <w:r>
        <w:rPr>
          <w:rFonts w:ascii="Courier New" w:cs="Courier New" w:eastAsia="Courier New" w:hAnsi="Courier New"/>
          <w:color w:val="1F1F1F"/>
          <w:sz w:val="18"/>
          <w:szCs w:val="18"/>
        </w:rPr>
        <w:t xml:space="preserve"># Phase 4 — KnowledgeAgent public API
</w:t>
      </w:r>
      <w:r>
        <w:rPr>
          <w:rFonts w:ascii="Courier New" w:cs="Courier New" w:eastAsia="Courier New" w:hAnsi="Courier New"/>
          <w:color w:val="1F1F1F"/>
          <w:sz w:val="18"/>
          <w:szCs w:val="18"/>
        </w:rPr>
        <w:t xml:space="preserve">class KnowledgeAgent:
</w:t>
      </w:r>
      <w:r>
        <w:rPr>
          <w:rFonts w:ascii="Courier New" w:cs="Courier New" w:eastAsia="Courier New" w:hAnsi="Courier New"/>
          <w:color w:val="1F1F1F"/>
          <w:sz w:val="18"/>
          <w:szCs w:val="18"/>
        </w:rPr>
        <w:t xml:space="preserve">    def answer(self, question: str, evidence_package: EvidencePackage) -&gt; GroundedResponse
</w:t>
      </w:r>
      <w:r>
        <w:rPr>
          <w:rFonts w:ascii="Courier New" w:cs="Courier New" w:eastAsia="Courier New" w:hAnsi="Courier New"/>
          <w:color w:val="1F1F1F"/>
          <w:sz w:val="18"/>
          <w:szCs w:val="18"/>
        </w:rPr>
        <w:t xml:space="preserve">    def get_question_context(self, question: str) -&gt; QuestionContext
</w:t>
      </w:r>
      <w:r>
        <w:rPr>
          <w:rFonts w:ascii="Courier New" w:cs="Courier New" w:eastAsia="Courier New" w:hAnsi="Courier New"/>
          <w:color w:val="1F1F1F"/>
          <w:sz w:val="18"/>
          <w:szCs w:val="18"/>
        </w:rPr>
        <w:t xml:space="preserve">
</w:t>
      </w:r>
      <w:r>
        <w:rPr>
          <w:rFonts w:ascii="Courier New" w:cs="Courier New" w:eastAsia="Courier New" w:hAnsi="Courier New"/>
          <w:color w:val="1F1F1F"/>
          <w:sz w:val="18"/>
          <w:szCs w:val="18"/>
        </w:rPr>
        <w:t xml:space="preserve"># Phase 5 — ExecutiveCopilot public API
</w:t>
      </w:r>
      <w:r>
        <w:rPr>
          <w:rFonts w:ascii="Courier New" w:cs="Courier New" w:eastAsia="Courier New" w:hAnsi="Courier New"/>
          <w:color w:val="1F1F1F"/>
          <w:sz w:val="18"/>
          <w:szCs w:val="18"/>
        </w:rPr>
        <w:t xml:space="preserve">class ExecutiveCopilot:
</w:t>
      </w:r>
      <w:r>
        <w:rPr>
          <w:rFonts w:ascii="Courier New" w:cs="Courier New" w:eastAsia="Courier New" w:hAnsi="Courier New"/>
          <w:color w:val="1F1F1F"/>
          <w:sz w:val="18"/>
          <w:szCs w:val="18"/>
        </w:rPr>
        <w:t xml:space="preserve">    def brief(self, question: str) -&gt; ExecutiveBriefing
</w:t>
      </w:r>
      <w:r>
        <w:rPr>
          <w:rFonts w:ascii="Courier New" w:cs="Courier New" w:eastAsia="Courier New" w:hAnsi="Courier New"/>
          <w:color w:val="1F1F1F"/>
          <w:sz w:val="18"/>
          <w:szCs w:val="18"/>
        </w:rPr>
        <w:t xml:space="preserve">    def brief_from_response(self, question: str, response: GroundedResponse) -&gt; ExecutiveBriefing</w:t>
      </w:r>
    </w:p>
    <w:p>
      <w:pPr>
        <w:pStyle w:val="Heading2"/>
        <w:spacing w:after="120" w:before="320"/>
      </w:pPr>
      <w:r>
        <w:rPr>
          <w:rFonts w:ascii="Arial" w:cs="Arial" w:eastAsia="Arial" w:hAnsi="Arial"/>
          <w:b/>
          <w:bCs/>
          <w:color w:val="2E75B6"/>
          <w:sz w:val="28"/>
          <w:szCs w:val="28"/>
        </w:rPr>
        <w:t xml:space="preserve">E.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HASH_BUCKETS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16384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hash bucket count for sparse vector generation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EMBEDDING_DIM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Dense embedding vector dimension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EMBEDDING_SEED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seed for projection matrix initialisation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RETRIEVAL_K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top-ranked evidence items in EvidencePackage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CANDIDATE_K_DENSE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Candidates from vector similarity search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CANDIDATE_K_SPARSE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Candidates from keyword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MIN_SCORE_THRESHOLD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Minimum composite ranking score for inclusion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CONTEXT_MAX_WORDS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context window for Knowledge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TEMPORAL_DECAY_LAMBDA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Exponential decay constant for recency scoring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CONFIDENCE_HIGH_THRESHOLD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Composite score above which confidence is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CONFIDENCE_LOW_THRESHOLD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Composite score below which confidence is 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STALENESS_WARNING_DAYS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Days after which evidence staleness warning is issued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MAX_RECOMMENDATIONS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recommendations in Executive Briefing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MAX_FOLLOWUP_QUESTIONS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follow-up questions suggested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RRF_CONSTANT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Reciprocal Rank Fusion constant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RECENCY_WINDOW_DAYS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Default temporal window for implicit recency queries</w:t>
            </w:r>
          </w:p>
        </w:tc>
      </w:tr>
    </w:tbl>
    <w:p>
      <w:pPr>
        <w:spacing w:after="160" w:before="40"/>
        <w:jc w:val="center"/>
      </w:pPr>
      <w:r>
        <w:rPr>
          <w:rFonts w:ascii="Arial" w:cs="Arial" w:eastAsia="Arial" w:hAnsi="Arial"/>
          <w:i/>
          <w:iCs/>
          <w:color w:val="595959"/>
          <w:sz w:val="20"/>
          <w:szCs w:val="20"/>
        </w:rPr>
        <w:t xml:space="preserve">Table A.3 — Platform configuration parameters with defaults and descriptions</w:t>
      </w:r>
    </w:p>
    <w:p>
      <w:pPr>
        <w:spacing w:after="40" w:before="4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Technical Report — Week 9 Engineering Deliverable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Enterprise Digital Twin &amp; Decision Intelligence Platform</w:t>
    </w:r>
    <w:r>
      <w:rPr>
        <w:rFonts w:ascii="Arial" w:cs="Arial" w:eastAsia="Arial" w:hAnsi="Arial"/>
        <w:color w:val="AAAAAA"/>
        <w:sz w:val="18"/>
        <w:szCs w:val="18"/>
      </w:rPr>
      <w:t xml:space="preserve">     |     </w:t>
    </w:r>
    <w:r>
      <w:rPr>
        <w:rFonts w:ascii="Arial" w:cs="Arial" w:eastAsia="Arial" w:hAnsi="Arial"/>
        <w:i/>
        <w:iCs/>
        <w:color w:val="595959"/>
        <w:sz w:val="18"/>
        <w:szCs w:val="18"/>
      </w:rPr>
      <w:t xml:space="preserve">Week 9: Knowledge Intelligence &amp; Executive RAG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2026-06-28T11:37:02.833Z</dcterms:created>
  <dcterms:modified xsi:type="dcterms:W3CDTF">2026-06-28T11:37:02.845Z</dcterms:modified>
</cp:coreProperties>
</file>

<file path=docProps/custom.xml><?xml version="1.0" encoding="utf-8"?>
<Properties xmlns="http://schemas.openxmlformats.org/officeDocument/2006/custom-properties" xmlns:vt="http://schemas.openxmlformats.org/officeDocument/2006/docPropsVTypes"/>
</file>