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720" w:after="80"/>
        <w:jc w:val="center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BUSINESS PROBLEM BREAKDOWN</w:t>
      </w:r>
    </w:p>
    <w:p>
      <w:pPr>
        <w:spacing w:before="80" w:after="8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NovaSaaS Inc.</w:t>
      </w:r>
    </w:p>
    <w:p>
      <w:pPr>
        <w:spacing w:before="80" w:after="80"/>
        <w:jc w:val="center"/>
      </w:pPr>
      <w:r>
        <w:rPr>
          <w:rFonts w:ascii="Arial" w:cs="Arial" w:eastAsia="Arial" w:hAnsi="Arial"/>
          <w:b/>
          <w:bCs/>
          <w:color w:val="2E75B6"/>
          <w:sz w:val="38"/>
          <w:szCs w:val="38"/>
        </w:rPr>
        <w:t xml:space="preserve">Gross Margin Compression Analysis</w:t>
      </w:r>
    </w:p>
    <w:p>
      <w:pPr>
        <w:spacing w:before="120" w:after="120"/>
        <w:jc w:val="center"/>
      </w:pPr>
      <w:r>
        <w:rPr>
          <w:rFonts w:ascii="Arial" w:cs="Arial" w:eastAsia="Arial" w:hAnsi="Arial"/>
          <w:i/>
          <w:iCs/>
          <w:color w:val="595959"/>
          <w:sz w:val="24"/>
          <w:szCs w:val="24"/>
        </w:rPr>
        <w:t xml:space="preserve">Why is gross margin expanding more slowly than peers, and what should we do about it?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Analyst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Stakeholder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[Your Name]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CFO / VP Finance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FY 2025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Structured Problem Memo</w:t>
            </w:r>
          </w:p>
        </w:tc>
      </w:tr>
    </w:tbl>
    <w:p>
      <w:pPr>
        <w:spacing w:before="80"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Problem Statement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THE PROBLEM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AE3F3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NovaSaaS's gross margin is 72% in FY2024, expanding at only 0.8 percentage points per year. Best-in-class SaaS peers at comparable ARR scale achieve 76-80% gross margin with 1.5-2.0pp annual expansion. The 4-8pp gap represents $9-19mm in annual gross profit leakage at current revenue. Management needs to understand the root cause and close the gap within 24 months.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F4700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WHY IT MATTERS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Gross margin is the foundational driver of SaaS unit economics. Every 1pp improvement in gross margin at $234mm ARR = $2.3mm in incremental gross profit. At current growth rates, closing the gap to 76% would generate an additional $9.4mm in gross profit by FY2026 — enough to fund 3-4 additional enterprise AEs or fully fund the APAC expansion.</w:t>
            </w:r>
          </w:p>
        </w:tc>
      </w:tr>
    </w:tbl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960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375623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7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jc w:val="both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This analysis covers FY2022-FY2024 actuals and FY2025-FY2026 projections. Focus: cost of revenue drivers, pricing dynamics, customer mix, and infrastructure efficiency. Excludes: sales &amp; marketing, R&amp;D, and G&amp;A (separate analysis required).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Issue Tree — Structured Problem Decomposition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Using a MECE (Mutually Exclusive, Collectively Exhaustive) framework to decompose the gross margin gap into testable hypotheses:</w:t>
      </w:r>
    </w:p>
    <w:p>
      <w:pPr>
        <w:spacing w:before="80" w:after="80"/>
      </w:pPr>
      <w:r>
        <w:t xml:space="preserve"/>
      </w:r>
    </w:p>
    <w:p>
      <w:pPr>
        <w:pBdr>
          <w:left w:val="single" w:color="1F4E79" w:sz="12" w:space="4"/>
        </w:pBdr>
        <w:spacing w:before="60" w:after="60"/>
        <w:ind w:left="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ROOT QUESTION ]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Why is NovaSaaS gross margin underperforming peers by 4-8pp?</w:t>
      </w:r>
    </w:p>
    <w:p>
      <w:pPr>
        <w:spacing w:before="80" w:after="80"/>
      </w:pPr>
      <w:r>
        <w:t xml:space="preserve"/>
      </w:r>
    </w:p>
    <w:p>
      <w:pPr>
        <w:pBdr>
          <w:left w:val="single" w:color="2E75B6" w:sz="6" w:space="4"/>
        </w:pBdr>
        <w:spacing w:before="60" w:after="60"/>
        <w:ind w:left="36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BRANCH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A. Revenue Mix Issue — Is the wrong type of revenue growing fastest?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A1. Professional Services (PS) revenue carrying lower margins (~35%) is growing disproportionately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A2. Enterprise deals (higher discount, higher onboarding cost) outpacing SMB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A3. Revenue recognition timing creating artificial suppression of GAAP margin</w:t>
      </w:r>
    </w:p>
    <w:p>
      <w:pPr>
        <w:spacing w:before="80" w:after="80"/>
      </w:pPr>
      <w:r>
        <w:t xml:space="preserve"/>
      </w:r>
    </w:p>
    <w:p>
      <w:pPr>
        <w:pBdr>
          <w:left w:val="single" w:color="2E75B6" w:sz="6" w:space="4"/>
        </w:pBdr>
        <w:spacing w:before="60" w:after="60"/>
        <w:ind w:left="36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BRANCH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B. Infrastructure Cost Issue — Are cloud/hosting costs too high?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B1. Lack of multi-tenancy optimization — customers running on dedicated instances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B2. AWS/GCP spend not optimized — on-demand vs. reserved instance ratio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B3. Data egress and storage costs growing faster than revenue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B4. Engineering debt requiring over-provisioned infrastructure</w:t>
      </w:r>
    </w:p>
    <w:p>
      <w:pPr>
        <w:spacing w:before="80" w:after="80"/>
      </w:pPr>
      <w:r>
        <w:t xml:space="preserve"/>
      </w:r>
    </w:p>
    <w:p>
      <w:pPr>
        <w:pBdr>
          <w:left w:val="single" w:color="2E75B6" w:sz="6" w:space="4"/>
        </w:pBdr>
        <w:spacing w:before="60" w:after="60"/>
        <w:ind w:left="36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BRANCH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C. Customer Support Cost Issue — Is support cost per customer too high?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C1. CSAT-driven over-investment in white-glove support for all tiers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C2. Product gaps driving elevated support ticket volume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C3. Support team not scaling efficiently (headcount growing faster than ARR)</w:t>
      </w:r>
    </w:p>
    <w:p>
      <w:pPr>
        <w:spacing w:before="80" w:after="80"/>
      </w:pPr>
      <w:r>
        <w:t xml:space="preserve"/>
      </w:r>
    </w:p>
    <w:p>
      <w:pPr>
        <w:pBdr>
          <w:left w:val="single" w:color="2E75B6" w:sz="6" w:space="4"/>
        </w:pBdr>
        <w:spacing w:before="60" w:after="60"/>
        <w:ind w:left="36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BRANCH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D. Pricing Issue — Is NovaSaaS undercharging relative to value?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D1. List price not reflecting infrastructure cost per seat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D2. Excessive discounting in enterprise deals compressing blended ASP</w:t>
      </w:r>
    </w:p>
    <w:p>
      <w:pPr>
        <w:pBdr>
          <w:left w:val="single" w:color="AAAAAA" w:sz="3" w:space="4"/>
        </w:pBdr>
        <w:spacing w:before="60" w:after="60"/>
        <w:ind w:left="720"/>
      </w:pPr>
      <w:r>
        <w:rPr>
          <w:rFonts w:ascii="Arial" w:cs="Arial" w:eastAsia="Arial" w:hAnsi="Arial"/>
          <w:b/>
          <w:bCs/>
          <w:color w:val="2E75B6"/>
          <w:sz w:val="18"/>
          <w:szCs w:val="18"/>
        </w:rPr>
        <w:t xml:space="preserve">[ LEAF ] </w:t>
      </w: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D3. No consumption-based pricing for API-heavy use cases</w:t>
      </w:r>
    </w:p>
    <w:p>
      <w:pPr>
        <w:spacing w:before="80" w:after="80"/>
      </w:pPr>
      <w:r>
        <w:t xml:space="preserve"/>
      </w:r>
    </w:p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Initial Hypotheses (Before Data Pull)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Based on the issue tree and industry benchmarks, rank-ordered by likelihood: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1600"/>
        <w:gridCol w:w="33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Hypothesis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Likelihood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Potential Impact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 to Test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B1/B2: Cloud infra not optimized; on-demand vs. reserved mix skewed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2-3pp GM benefit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AWS/GCP billing export by SKU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A1: Professional Services mix growing (37% vs 28% industry)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1-2pp GM benefit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 breakdown by type, cohort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C2: Product gaps driving support ticket volume above 0.3/seat/mo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0.5-1pp GM benefit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Zendesk ticket analysis by tier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D2: Enterprise discount rate &gt;22% vs. 15% policy limit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0.5-1.5pp GM benefit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Salesforce deal data, CRO review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C1: Tiered support not enforced — SMB getting enterprise SLAs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0.5pp GM benefit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 tier vs. contract tier audit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A3: Rev rec timing (POC periods, implementation) masking real margin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Non-cash, no real fix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Finance / ASC 606 schedule review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Analytical Workstreams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Workstream A — Infrastructure Cost Audit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Objective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Quantify cloud infrastructure spend per customer, per product module, and per revenue dollar. Benchmark against industry standards (15-20% of revenue for SaaS infrastructure at this scale).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Data Required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AWS Cost Explorer / GCP Billing export (month-by-month, last 24 months)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Breakdown by: compute, storage, data transfer, managed services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Customer-to-instance mapping (multi-tenant vs. dedicated)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Reserved instance vs. on-demand usage ratio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Analysis Steps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Calculate infrastructure cost as % of revenue (benchmark: 18-22% for NovaSaaS's scale)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Identify top 20 infrastructure cost drivers by SKU/service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Model savings from moving 60% of workloads to 1-year reserved instances (typical: 30-40% cost reduction on eligible compute)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Identify multi-tenancy opportunities (dedicated instances that could be pooled)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Expected Output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Infrastructure optimization roadmap with $2.5-4mm in annual savings identified; 6-month implementation timeline to realize 70% of savings.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Workstream B — Revenue Mix Analysis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Objective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Determine whether Professional Services revenue mix is structurally above target, and whether enterprise onboarding cost is miscategorized as COGS.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Data Required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Monthly P&amp;L by revenue type (Subscription vs. PS) — 24 months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PS margin by project type (implementation, training, custom dev)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Headcount and loaded cost of Solutions/Implementation team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PS revenue backlog and pipeline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Analysis Steps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Calculate PS as % of total revenue by quarter — NovaSaaS target is 8-10%, benchmark shows it at ~11-13%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Calculate blended PS gross margin (revenue minus PS team fully-loaded cost)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Model impact of PS margin improvement from 35% to 45% via packaging/productization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Assess whether implementation is included in subscription price for competitors; if so, NovaSaaS may need to rationalize its PS model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Expected Output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Revenue mix optimization plan: either raise PS pricing to 50%+ GM, or shift toward productized onboarding (SOC, LMS modules) to reduce PS labor intensity.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Workstream C — Support Cost Efficiency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Objective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Determine if support is running at industry-standard cost ratios and identify the leading driver of excess ticket volume.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Data Required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Zendesk (or equivalent): tickets per customer per month, by tier and product module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Support headcount and fully-loaded cost — last 24 months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NPS and CSAT by support tier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Bug/incident reports linked to support ticket volume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Key Metrics to Calculate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Support cost as % of ARR (benchmark: 5-8% at this scale; NovaSaaS likely at 10-12%)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Tickets per seat per month (benchmark: &lt;0.3; above 0.5 signals product gaps)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% of tickets resolved by self-serve/help center vs. agent (benchmark: 40%+ self-serve)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Expected Output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If ticket volume &gt;0.5/seat: product roadmap investment in top 5 support-driving features. If support cost ratio &gt;9%: implement tiered SLA enforcement and deflect SMB to self-serve portal.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Workstream D — Pricing &amp; Discounting Audit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Objective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Quantify the gross margin impact of enterprise discounting and assess whether list pricing reflects true infrastructure cost-to-serve.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Data Required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Salesforce: all closed-won deals last 24 months — ACV, discount %, contract term, product module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Finance: average revenue per seat by customer tier (SMB / MM / Enterprise)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Cost-to-serve analysis by segment (infra + support allocated by seat)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Analysis Steps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Calculate average discount by deal size — flag if enterprise &gt;20%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Build cost-to-serve model by tier: infrastructure + support cost per seat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Calculate gross margin by tier at current pricing — identify which tiers are margin-dilutive</w:t>
      </w:r>
    </w:p>
    <w:p>
      <w:pPr>
        <w:pStyle w:val="ListParagraph"/>
        <w:numPr>
          <w:ilvl w:val="0"/>
          <w:numId w:val="3"/>
        </w:numPr>
        <w:spacing w:before="40" w:after="80"/>
      </w:pPr>
      <w:r>
        <w:rPr>
          <w:rFonts w:ascii="Arial" w:cs="Arial" w:eastAsia="Arial" w:hAnsi="Arial"/>
          <w:sz w:val="22"/>
          <w:szCs w:val="22"/>
        </w:rPr>
        <w:t xml:space="preserve">Model impact of 5pp list price increase on net margin (account for churn sensitivity)</w:t>
      </w:r>
    </w:p>
    <w:p>
      <w:pPr>
        <w:pStyle w:val="Heading3"/>
        <w:spacing w:before="200" w:after="8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Expected Output</w:t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Pricing recommendation: rationalize enterprise discount policy (hard cap at 18%), introduce tiered pricing for API consumption, and raise MM list price by 6-8% at next contract renewal cycle.</w:t>
      </w:r>
    </w:p>
    <w:p>
      <w:pPr>
        <w:spacing w:before="80" w:after="80"/>
      </w:pPr>
      <w:r>
        <w:t xml:space="preserve"/>
      </w:r>
    </w:p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Prioritized Action Plan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200"/>
        <w:gridCol w:w="1560"/>
        <w:gridCol w:w="16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Owner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Est. GM Impact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Move 60% compute to reserved instances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 Eng + FinOps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90 days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+1.5-2.0pp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2. Enforce enterprise discount hard cap (18%)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CRO + Finance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 days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+0.5-1.0pp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Low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3. Implement tiered support SLAs (SMB self-serve)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 CS + Product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60 days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+0.3-0.7pp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4. Productize top 3 PS offerings (SOW templates)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VP PS + RevOps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120 days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+0.5-1.0pp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Medium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5. Build self-serve onboarding / LMS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 + Eng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6-9 months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+0.5pp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6. Launch API consumption pricing tier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Product + Pricing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Q3 FY2026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+0.3-0.8pp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 POTENTIAL IMPACT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12-18 months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+3.6-6.5pp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before="80" w:after="80"/>
      </w:pPr>
      <w:r>
        <w:t xml:space="preserve"/>
      </w:r>
    </w:p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Success Metrics &amp; Governance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Target State</w:t>
      </w:r>
    </w:p>
    <w:p>
      <w:pPr>
        <w:spacing w:before="80"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1800"/>
        <w:gridCol w:w="1800"/>
        <w:gridCol w:w="1800"/>
        <w:gridCol w:w="1800"/>
      </w:tblGrid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FY2024 Actual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FY2025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FY2026 Target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Best-in-Class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Gross Margin 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72.0%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73.5-74.5%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75.5-77.0%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78-82%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Infrastructure % of Revenue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~21%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~16%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14-16%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Support Cost % of ARR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~10%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~7%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5-7%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PS Gross Margin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~35%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~42%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~48%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45-55%</w:t>
            </w:r>
          </w:p>
        </w:tc>
      </w:tr>
      <w:tr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Enterprise Discount Rate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~22%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&lt;18%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&lt;16%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&lt;15%</w:t>
            </w:r>
          </w:p>
        </w:tc>
      </w:tr>
    </w:tbl>
    <w:p>
      <w:pPr>
        <w:spacing w:before="80" w:after="8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Governance Cadence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Monthly: Infrastructure cost dashboard (FinOps team) — flagged to VP Eng if &gt;19% of revenue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Monthly: Support ticket volume per seat by tier — flagged to VP CS if &gt;0.4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Quarterly: Gross margin bridge vs. plan — presented at CFO review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Quarterly: Pricing &amp; discount adherence audit — RevOps to CRO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Annual: Full gross margin benchmarking vs. comparable public SaaS cos.</w:t>
      </w:r>
    </w:p>
    <w:p>
      <w:pPr>
        <w:spacing w:before="80" w:after="80"/>
      </w:pPr>
      <w:r>
        <w:t xml:space="preserve"/>
      </w:r>
    </w:p>
    <w:p>
      <w:pPr>
        <w:spacing w:before="80" w:after="80"/>
      </w:pPr>
      <w:r>
        <w:t xml:space="preserve"/>
      </w:r>
    </w:p>
    <w:p>
      <w:pPr>
        <w:pStyle w:val="Heading1"/>
        <w:pBdr>
          <w:bottom w:val="single" w:color="2E75B6" w:sz="6" w:space="1"/>
        </w:pBdr>
        <w:spacing w:before="360" w:after="1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Appendix: Analyst Notes &amp; Caveats</w:t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Data Gaps &amp; Assumptions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Infrastructure cost data assumed at 21% of revenue based on industry benchmarks; actual figure requires AWS Cost Explorer export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Support ticket volume benchmarked at 0.45/seat/month based on analogous SaaS companies at this ARR scale; confirm against Zendesk data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PS margin of 35% estimated; actual requires Finance to provide fully-loaded PS headcount costs including benefits and overhead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All discount rate figures are illustrative; actual requires Salesforce deal data pull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What This Analysis Does NOT Cover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Sales &amp; Marketing efficiency (CAC, LTV:CAC, payback) — see separate operations memo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R&amp;D capitalization vs. expensing decisions and their COGS impact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Impact of APAC expansion on blended gross margin (higher onboarding cost in new markets)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SBC (Stock-Based Compensation) allocation methodology in COGS</w:t>
      </w:r>
    </w:p>
    <w:p>
      <w:pPr>
        <w:spacing w:before="80" w:after="80"/>
      </w:pPr>
      <w:r>
        <w:t xml:space="preserve"/>
      </w:r>
    </w:p>
    <w:p>
      <w:pPr>
        <w:pStyle w:val="Heading2"/>
        <w:spacing w:before="280" w:after="12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Frameworks Used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Issue Tree / Logic Tree — hypothesis-driven decomposition (McKinsey 7S variant)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MECE Principle — Mutually Exclusive, Collectively Exhaustive categorization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Benchmarking — OpenView 2024 SaaS Benchmarks, Bessemer Cloud Index, public SaaS comp analysis</w:t>
      </w:r>
    </w:p>
    <w:p>
      <w:pPr>
        <w:pStyle w:val="ListParagraph"/>
        <w:numPr>
          <w:ilvl w:val="0"/>
          <w:numId w:val="2"/>
        </w:numPr>
        <w:spacing w:before="40" w:after="8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Unit Economics Modeling — cost-to-serve by customer tier, LTV cohort analysis</w:t>
      </w:r>
    </w:p>
    <w:p>
      <w:pPr>
        <w:spacing w:before="80" w:after="80"/>
      </w:pPr>
      <w:r>
        <w:t xml:space="preserve"/>
      </w:r>
    </w:p>
    <w:p>
      <w:pPr>
        <w:spacing w:before="60" w:after="120"/>
        <w:jc w:val="both"/>
      </w:pPr>
      <w:r>
        <w:rPr>
          <w:rFonts w:ascii="Arial" w:cs="Arial" w:eastAsia="Arial" w:hAnsi="Arial"/>
          <w:b w:val="false"/>
          <w:bCs w:val="false"/>
          <w:i/>
          <w:iCs/>
          <w:color w:val="595959"/>
          <w:sz w:val="22"/>
          <w:szCs w:val="22"/>
        </w:rPr>
        <w:t xml:space="preserve">Note: All figures, company names, and scenarios in this document are hypothetical and constructed for portfolio demonstration purposes.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</w:pPr>
    <w:r>
      <w:rPr>
        <w:rFonts w:ascii="Arial" w:cs="Arial" w:eastAsia="Arial" w:hAnsi="Arial"/>
        <w:color w:val="595959"/>
        <w:sz w:val="18"/>
        <w:szCs w:val="18"/>
      </w:rPr>
      <w:t xml:space="preserve">Confidential — For Portfolio Use Only    |    Page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8"/>
        <w:szCs w:val="18"/>
      </w:rPr>
      <w:t xml:space="preserve"> of </w:t>
    </w:r>
    <w:r>
      <w:rPr>
        <w:rFonts w:ascii="Arial" w:cs="Arial" w:eastAsia="Arial" w:hAnsi="Arial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</w:pPr>
    <w:r>
      <w:rPr>
        <w:rFonts w:ascii="Arial" w:cs="Arial" w:eastAsia="Arial" w:hAnsi="Arial"/>
        <w:color w:val="595959"/>
        <w:sz w:val="18"/>
        <w:szCs w:val="18"/>
      </w:rPr>
      <w:t xml:space="preserve">PORTFOLIO PROJECT 5  |  BUSINESS PROBLEM BREAKDOWN</w:t>
    </w:r>
    <w:r>
      <w:rPr>
        <w:rFonts w:ascii="Arial" w:cs="Arial" w:eastAsia="Arial" w:hAnsi="Arial"/>
        <w:b/>
        <w:bCs/>
        <w:color w:val="2E75B6"/>
        <w:sz w:val="18"/>
        <w:szCs w:val="18"/>
      </w:rPr>
      <w:t xml:space="preserve">    NovaSaaS — Gross Margin Compression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Arial" w:cs="Arial" w:eastAsia="Arial" w:hAnsi="Arial"/>
      <w:b/>
      <w:bCs/>
      <w:color w:val="1A355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2026-03-16T23:57:15.751Z</dcterms:created>
  <dcterms:modified xsi:type="dcterms:W3CDTF">2026-03-16T23:57:15.752Z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