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5603C" w14:textId="47C90084" w:rsidR="00137BA7" w:rsidRPr="003701CD" w:rsidRDefault="00BA0438" w:rsidP="002865DC">
      <w:pPr>
        <w:pStyle w:val="1"/>
        <w:numPr>
          <w:ilvl w:val="0"/>
          <w:numId w:val="1"/>
        </w:numPr>
        <w:rPr>
          <w:b/>
          <w:bCs/>
        </w:rPr>
      </w:pPr>
      <w:r w:rsidRPr="003701CD">
        <w:rPr>
          <w:b/>
          <w:bCs/>
        </w:rPr>
        <w:t xml:space="preserve">Analytical </w:t>
      </w:r>
      <w:r w:rsidR="00137BA7" w:rsidRPr="003701CD">
        <w:rPr>
          <w:b/>
          <w:bCs/>
        </w:rPr>
        <w:t>Model</w:t>
      </w:r>
    </w:p>
    <w:p w14:paraId="664B1AE2" w14:textId="09BE8B95" w:rsidR="00137BA7" w:rsidRPr="003701CD" w:rsidRDefault="00137BA7" w:rsidP="00137BA7">
      <w:pPr>
        <w:widowControl/>
        <w:spacing w:before="100" w:beforeAutospacing="1" w:after="100" w:afterAutospacing="1"/>
        <w:ind w:firstLine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701CD">
        <w:rPr>
          <w:rFonts w:ascii="Times New Roman" w:eastAsia="新細明體" w:hAnsi="Times New Roman" w:cs="Times New Roman"/>
          <w:kern w:val="0"/>
          <w:szCs w:val="24"/>
        </w:rPr>
        <w:t>In this chapter, we are going to present four different scenarios for modeling blockchain-based systems: (1) Single-Class Customers without Impatience, (2) Two-Class Customers without Impatience, (3) Single-Class Customers with Impatience, and (4) Two-Class Customers with Impatience. Each of these scenarios is built upon a queuing-based abstraction of the blockchain process and aims to capture distinct behavioral features related to customer priority and</w:t>
      </w:r>
      <w:r w:rsidR="00C822A2" w:rsidRPr="003701CD">
        <w:rPr>
          <w:rFonts w:ascii="Times New Roman" w:eastAsia="新細明體" w:hAnsi="Times New Roman" w:cs="Times New Roman"/>
          <w:kern w:val="0"/>
          <w:szCs w:val="24"/>
        </w:rPr>
        <w:t xml:space="preserve"> </w:t>
      </w:r>
      <w:r w:rsidRPr="003701CD">
        <w:rPr>
          <w:rFonts w:ascii="Times New Roman" w:eastAsia="新細明體" w:hAnsi="Times New Roman" w:cs="Times New Roman"/>
          <w:kern w:val="0"/>
          <w:szCs w:val="24"/>
        </w:rPr>
        <w:t>abandonment. In all cases</w:t>
      </w:r>
      <w:r w:rsidRPr="003701CD">
        <w:rPr>
          <w:rFonts w:ascii="Times New Roman" w:eastAsia="新細明體" w:hAnsi="Times New Roman" w:cs="Times New Roman"/>
          <w:color w:val="4472C4" w:themeColor="accent1"/>
          <w:kern w:val="0"/>
          <w:szCs w:val="24"/>
        </w:rPr>
        <w:t xml:space="preserve">, </w:t>
      </w:r>
      <w:r w:rsidR="00C822A2" w:rsidRPr="003701CD">
        <w:rPr>
          <w:rFonts w:ascii="Times New Roman" w:eastAsia="新細明體" w:hAnsi="Times New Roman" w:cs="Times New Roman"/>
          <w:color w:val="4472C4" w:themeColor="accent1"/>
          <w:kern w:val="0"/>
          <w:szCs w:val="24"/>
        </w:rPr>
        <w:t xml:space="preserve">as shown in </w:t>
      </w:r>
      <w:r w:rsidR="00C822A2" w:rsidRPr="003701CD">
        <w:rPr>
          <w:rFonts w:ascii="Times New Roman" w:eastAsia="新細明體" w:hAnsi="Times New Roman" w:cs="Times New Roman"/>
          <w:color w:val="4472C4" w:themeColor="accent1"/>
          <w:kern w:val="0"/>
          <w:szCs w:val="24"/>
        </w:rPr>
        <w:fldChar w:fldCharType="begin"/>
      </w:r>
      <w:r w:rsidR="00C822A2" w:rsidRPr="003701CD">
        <w:rPr>
          <w:rFonts w:ascii="Times New Roman" w:eastAsia="新細明體" w:hAnsi="Times New Roman" w:cs="Times New Roman"/>
          <w:color w:val="4472C4" w:themeColor="accent1"/>
          <w:kern w:val="0"/>
          <w:szCs w:val="24"/>
        </w:rPr>
        <w:instrText xml:space="preserve"> REF _Ref196315222 \h </w:instrText>
      </w:r>
      <w:r w:rsidR="00C822A2" w:rsidRPr="003701CD">
        <w:rPr>
          <w:rFonts w:ascii="Times New Roman" w:eastAsia="新細明體" w:hAnsi="Times New Roman" w:cs="Times New Roman"/>
          <w:color w:val="4472C4" w:themeColor="accent1"/>
          <w:kern w:val="0"/>
          <w:szCs w:val="24"/>
        </w:rPr>
      </w:r>
      <w:r w:rsidR="00200C77" w:rsidRPr="003701CD">
        <w:rPr>
          <w:rFonts w:ascii="Times New Roman" w:eastAsia="新細明體" w:hAnsi="Times New Roman" w:cs="Times New Roman"/>
          <w:color w:val="4472C4" w:themeColor="accent1"/>
          <w:kern w:val="0"/>
          <w:szCs w:val="24"/>
        </w:rPr>
        <w:instrText xml:space="preserve"> \* MERGEFORMAT </w:instrText>
      </w:r>
      <w:r w:rsidR="00C822A2" w:rsidRPr="003701CD">
        <w:rPr>
          <w:rFonts w:ascii="Times New Roman" w:eastAsia="新細明體" w:hAnsi="Times New Roman" w:cs="Times New Roman"/>
          <w:color w:val="4472C4" w:themeColor="accent1"/>
          <w:kern w:val="0"/>
          <w:szCs w:val="24"/>
        </w:rPr>
        <w:fldChar w:fldCharType="separate"/>
      </w:r>
      <w:r w:rsidR="00C822A2" w:rsidRPr="003701CD">
        <w:rPr>
          <w:rFonts w:ascii="Times New Roman" w:hAnsi="Times New Roman" w:cs="Times New Roman"/>
          <w:color w:val="4472C4" w:themeColor="accent1"/>
        </w:rPr>
        <w:t xml:space="preserve">Figure </w:t>
      </w:r>
      <w:r w:rsidR="00C822A2" w:rsidRPr="003701CD">
        <w:rPr>
          <w:rFonts w:ascii="Times New Roman" w:hAnsi="Times New Roman" w:cs="Times New Roman"/>
          <w:noProof/>
          <w:color w:val="4472C4" w:themeColor="accent1"/>
        </w:rPr>
        <w:t>3</w:t>
      </w:r>
      <w:r w:rsidR="00C822A2" w:rsidRPr="003701CD">
        <w:rPr>
          <w:rFonts w:ascii="Times New Roman" w:hAnsi="Times New Roman" w:cs="Times New Roman"/>
          <w:color w:val="4472C4" w:themeColor="accent1"/>
        </w:rPr>
        <w:noBreakHyphen/>
      </w:r>
      <w:r w:rsidR="00C822A2" w:rsidRPr="003701CD">
        <w:rPr>
          <w:rFonts w:ascii="Times New Roman" w:hAnsi="Times New Roman" w:cs="Times New Roman"/>
          <w:noProof/>
          <w:color w:val="4472C4" w:themeColor="accent1"/>
        </w:rPr>
        <w:t>1</w:t>
      </w:r>
      <w:r w:rsidR="00C822A2" w:rsidRPr="003701CD">
        <w:rPr>
          <w:rFonts w:ascii="Times New Roman" w:eastAsia="新細明體" w:hAnsi="Times New Roman" w:cs="Times New Roman"/>
          <w:color w:val="4472C4" w:themeColor="accent1"/>
          <w:kern w:val="0"/>
          <w:szCs w:val="24"/>
        </w:rPr>
        <w:fldChar w:fldCharType="end"/>
      </w:r>
      <w:r w:rsidR="00C822A2" w:rsidRPr="003701CD">
        <w:rPr>
          <w:rFonts w:ascii="Times New Roman" w:eastAsia="新細明體" w:hAnsi="Times New Roman" w:cs="Times New Roman"/>
          <w:kern w:val="0"/>
          <w:szCs w:val="24"/>
        </w:rPr>
        <w:t>,</w:t>
      </w:r>
      <w:r w:rsidRPr="003701CD">
        <w:rPr>
          <w:rFonts w:ascii="Times New Roman" w:eastAsia="新細明體" w:hAnsi="Times New Roman" w:cs="Times New Roman"/>
          <w:kern w:val="0"/>
          <w:szCs w:val="24"/>
        </w:rPr>
        <w:t>the system is composed of two queues with limited capacity: the customer queue, which temporarily holds users before block generation, and the consensus queue, which represents the stage where users participate in the consensus protocol after being grouped into a block.</w:t>
      </w:r>
    </w:p>
    <w:p w14:paraId="6A533BEC" w14:textId="3364CEDB" w:rsidR="00137BA7" w:rsidRPr="003701CD" w:rsidRDefault="00137BA7" w:rsidP="00137BA7">
      <w:pPr>
        <w:widowControl/>
        <w:spacing w:before="100" w:beforeAutospacing="1" w:after="100" w:afterAutospacing="1"/>
        <w:ind w:firstLine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701CD">
        <w:rPr>
          <w:rFonts w:ascii="Times New Roman" w:eastAsia="新細明體" w:hAnsi="Times New Roman" w:cs="Times New Roman"/>
          <w:kern w:val="0"/>
          <w:szCs w:val="24"/>
        </w:rPr>
        <w:t xml:space="preserve">Assume that the </w:t>
      </w:r>
      <w:r w:rsidRPr="003701CD">
        <w:rPr>
          <w:rFonts w:ascii="Times New Roman" w:eastAsia="新細明體" w:hAnsi="Times New Roman" w:cs="Times New Roman"/>
          <w:color w:val="4472C4" w:themeColor="accent1"/>
          <w:kern w:val="0"/>
          <w:szCs w:val="24"/>
        </w:rPr>
        <w:t>arrival</w:t>
      </w:r>
      <w:r w:rsidR="00C822A2" w:rsidRPr="003701CD">
        <w:rPr>
          <w:rFonts w:ascii="Times New Roman" w:eastAsia="新細明體" w:hAnsi="Times New Roman" w:cs="Times New Roman"/>
          <w:color w:val="4472C4" w:themeColor="accent1"/>
          <w:kern w:val="0"/>
          <w:szCs w:val="24"/>
        </w:rPr>
        <w:t>s</w:t>
      </w:r>
      <w:r w:rsidRPr="003701CD">
        <w:rPr>
          <w:rFonts w:ascii="Times New Roman" w:eastAsia="新細明體" w:hAnsi="Times New Roman" w:cs="Times New Roman"/>
          <w:color w:val="4472C4" w:themeColor="accent1"/>
          <w:kern w:val="0"/>
          <w:szCs w:val="24"/>
        </w:rPr>
        <w:t xml:space="preserve"> of customer follow a </w:t>
      </w:r>
      <w:r w:rsidR="00C822A2" w:rsidRPr="003701CD">
        <w:rPr>
          <w:rFonts w:ascii="Times New Roman" w:eastAsia="新細明體" w:hAnsi="Times New Roman" w:cs="Times New Roman"/>
          <w:color w:val="4472C4" w:themeColor="accent1"/>
          <w:kern w:val="0"/>
          <w:szCs w:val="24"/>
        </w:rPr>
        <w:t xml:space="preserve">Poisson </w:t>
      </w:r>
      <w:r w:rsidRPr="003701CD">
        <w:rPr>
          <w:rFonts w:ascii="Times New Roman" w:eastAsia="新細明體" w:hAnsi="Times New Roman" w:cs="Times New Roman"/>
          <w:color w:val="4472C4" w:themeColor="accent1"/>
          <w:kern w:val="0"/>
          <w:szCs w:val="24"/>
        </w:rPr>
        <w:t>process</w:t>
      </w:r>
      <w:r w:rsidRPr="003701CD">
        <w:rPr>
          <w:rFonts w:ascii="Times New Roman" w:eastAsia="新細明體" w:hAnsi="Times New Roman" w:cs="Times New Roman"/>
          <w:kern w:val="0"/>
          <w:szCs w:val="24"/>
        </w:rPr>
        <w:t xml:space="preserve">, where the arrival rate is denoted by λ. In the multi-class scenarios, we further distinguish between high-priority and low-priority customers, whose respective arrival rates are </w:t>
      </w:r>
      <m:oMath>
        <m:sSub>
          <m:sSubPr>
            <m:ctrlPr>
              <w:rPr>
                <w:rFonts w:ascii="Cambria Math" w:eastAsia="新細明體" w:hAnsi="Cambria Math" w:cs="Times New Roman"/>
                <w:i/>
                <w:kern w:val="0"/>
                <w:szCs w:val="24"/>
              </w:rPr>
            </m:ctrlPr>
          </m:sSubPr>
          <m:e>
            <m:r>
              <w:rPr>
                <w:rFonts w:ascii="Cambria Math" w:eastAsia="新細明體" w:hAnsi="Cambria Math" w:cs="Times New Roman"/>
                <w:kern w:val="0"/>
                <w:szCs w:val="24"/>
              </w:rPr>
              <m:t>λ</m:t>
            </m:r>
          </m:e>
          <m:sub>
            <m:r>
              <w:rPr>
                <w:rFonts w:ascii="Cambria Math" w:eastAsia="新細明體" w:hAnsi="Cambria Math" w:cs="Times New Roman"/>
                <w:kern w:val="0"/>
                <w:szCs w:val="24"/>
              </w:rPr>
              <m:t>H</m:t>
            </m:r>
          </m:sub>
        </m:sSub>
      </m:oMath>
      <w:r w:rsidRPr="003701CD">
        <w:rPr>
          <w:rFonts w:ascii="Times New Roman" w:eastAsia="新細明體" w:hAnsi="Times New Roman" w:cs="Times New Roman"/>
          <w:kern w:val="0"/>
          <w:szCs w:val="24"/>
        </w:rPr>
        <w:t xml:space="preserve"> and </w:t>
      </w:r>
      <m:oMath>
        <m:sSub>
          <m:sSubPr>
            <m:ctrlPr>
              <w:rPr>
                <w:rFonts w:ascii="Cambria Math" w:eastAsia="新細明體" w:hAnsi="Cambria Math" w:cs="Times New Roman"/>
                <w:i/>
                <w:kern w:val="0"/>
                <w:szCs w:val="24"/>
              </w:rPr>
            </m:ctrlPr>
          </m:sSubPr>
          <m:e>
            <m:r>
              <w:rPr>
                <w:rFonts w:ascii="Cambria Math" w:eastAsia="新細明體" w:hAnsi="Cambria Math" w:cs="Times New Roman"/>
                <w:kern w:val="0"/>
                <w:szCs w:val="24"/>
              </w:rPr>
              <m:t>λ</m:t>
            </m:r>
          </m:e>
          <m:sub>
            <m:r>
              <w:rPr>
                <w:rFonts w:ascii="Cambria Math" w:eastAsia="新細明體" w:hAnsi="Cambria Math" w:cs="Times New Roman"/>
                <w:kern w:val="0"/>
                <w:szCs w:val="24"/>
              </w:rPr>
              <m:t>L</m:t>
            </m:r>
          </m:sub>
        </m:sSub>
      </m:oMath>
      <w:r w:rsidRPr="003701CD">
        <w:rPr>
          <w:rFonts w:ascii="Times New Roman" w:eastAsia="新細明體" w:hAnsi="Times New Roman" w:cs="Times New Roman"/>
          <w:kern w:val="0"/>
          <w:szCs w:val="24"/>
        </w:rPr>
        <w:t xml:space="preserve">, so that the total arrival rate satisfies </w:t>
      </w:r>
      <m:oMath>
        <m:sSub>
          <m:sSubPr>
            <m:ctrlPr>
              <w:rPr>
                <w:rFonts w:ascii="Cambria Math" w:eastAsia="新細明體" w:hAnsi="Cambria Math" w:cs="Times New Roman"/>
                <w:i/>
                <w:kern w:val="0"/>
                <w:szCs w:val="24"/>
              </w:rPr>
            </m:ctrlPr>
          </m:sSubPr>
          <m:e>
            <m:r>
              <w:rPr>
                <w:rFonts w:ascii="Cambria Math" w:eastAsia="新細明體" w:hAnsi="Cambria Math" w:cs="Times New Roman"/>
                <w:kern w:val="0"/>
                <w:szCs w:val="24"/>
              </w:rPr>
              <m:t>λ</m:t>
            </m:r>
          </m:e>
          <m:sub>
            <m:r>
              <w:rPr>
                <w:rFonts w:ascii="Cambria Math" w:eastAsia="新細明體" w:hAnsi="Cambria Math" w:cs="Times New Roman"/>
                <w:kern w:val="0"/>
                <w:szCs w:val="24"/>
              </w:rPr>
              <m:t>total</m:t>
            </m:r>
          </m:sub>
        </m:sSub>
        <m:r>
          <w:rPr>
            <w:rFonts w:ascii="Cambria Math" w:eastAsia="新細明體" w:hAnsi="Cambria Math" w:cs="Times New Roman"/>
            <w:kern w:val="0"/>
            <w:szCs w:val="24"/>
          </w:rPr>
          <m:t xml:space="preserve"> = </m:t>
        </m:r>
        <m:sSub>
          <m:sSubPr>
            <m:ctrlPr>
              <w:rPr>
                <w:rFonts w:ascii="Cambria Math" w:eastAsia="新細明體" w:hAnsi="Cambria Math" w:cs="Times New Roman"/>
                <w:i/>
                <w:kern w:val="0"/>
                <w:szCs w:val="24"/>
              </w:rPr>
            </m:ctrlPr>
          </m:sSubPr>
          <m:e>
            <m:r>
              <w:rPr>
                <w:rFonts w:ascii="Cambria Math" w:eastAsia="新細明體" w:hAnsi="Cambria Math" w:cs="Times New Roman"/>
                <w:kern w:val="0"/>
                <w:szCs w:val="24"/>
              </w:rPr>
              <m:t>λ</m:t>
            </m:r>
          </m:e>
          <m:sub>
            <m:r>
              <w:rPr>
                <w:rFonts w:ascii="Cambria Math" w:eastAsia="新細明體" w:hAnsi="Cambria Math" w:cs="Times New Roman"/>
                <w:kern w:val="0"/>
                <w:szCs w:val="24"/>
              </w:rPr>
              <m:t>H</m:t>
            </m:r>
          </m:sub>
        </m:sSub>
        <m:r>
          <w:rPr>
            <w:rFonts w:ascii="Cambria Math" w:eastAsia="新細明體" w:hAnsi="Cambria Math" w:cs="Times New Roman"/>
            <w:kern w:val="0"/>
            <w:szCs w:val="24"/>
          </w:rPr>
          <m:t xml:space="preserve"> + </m:t>
        </m:r>
        <m:sSub>
          <m:sSubPr>
            <m:ctrlPr>
              <w:rPr>
                <w:rFonts w:ascii="Cambria Math" w:eastAsia="新細明體" w:hAnsi="Cambria Math" w:cs="Times New Roman"/>
                <w:i/>
                <w:kern w:val="0"/>
                <w:szCs w:val="24"/>
              </w:rPr>
            </m:ctrlPr>
          </m:sSubPr>
          <m:e>
            <m:r>
              <w:rPr>
                <w:rFonts w:ascii="Cambria Math" w:eastAsia="新細明體" w:hAnsi="Cambria Math" w:cs="Times New Roman"/>
                <w:kern w:val="0"/>
                <w:szCs w:val="24"/>
              </w:rPr>
              <m:t>λ</m:t>
            </m:r>
          </m:e>
          <m:sub>
            <m:r>
              <w:rPr>
                <w:rFonts w:ascii="Cambria Math" w:eastAsia="新細明體" w:hAnsi="Cambria Math" w:cs="Times New Roman"/>
                <w:kern w:val="0"/>
                <w:szCs w:val="24"/>
              </w:rPr>
              <m:t>L</m:t>
            </m:r>
          </m:sub>
        </m:sSub>
      </m:oMath>
      <w:r w:rsidRPr="003701CD">
        <w:rPr>
          <w:rFonts w:ascii="Times New Roman" w:eastAsia="新細明體" w:hAnsi="Times New Roman" w:cs="Times New Roman"/>
          <w:kern w:val="0"/>
          <w:szCs w:val="24"/>
        </w:rPr>
        <w:t xml:space="preserve">. After arriving at the customer queue, users wait for the block generation process, which occurs at a rate of </w:t>
      </w:r>
      <m:oMath>
        <m:sSub>
          <m:sSubPr>
            <m:ctrlPr>
              <w:rPr>
                <w:rFonts w:ascii="Cambria Math" w:eastAsia="新細明體" w:hAnsi="Cambria Math" w:cs="Times New Roman"/>
                <w:i/>
                <w:kern w:val="0"/>
                <w:szCs w:val="24"/>
              </w:rPr>
            </m:ctrlPr>
          </m:sSubPr>
          <m:e>
            <m:r>
              <w:rPr>
                <w:rFonts w:ascii="Cambria Math" w:eastAsia="新細明體" w:hAnsi="Cambria Math" w:cs="Times New Roman"/>
                <w:kern w:val="0"/>
                <w:szCs w:val="24"/>
              </w:rPr>
              <m:t>μ</m:t>
            </m:r>
          </m:e>
          <m:sub>
            <m:r>
              <w:rPr>
                <w:rFonts w:ascii="Cambria Math" w:eastAsia="新細明體" w:hAnsi="Cambria Math" w:cs="Times New Roman"/>
                <w:kern w:val="0"/>
                <w:szCs w:val="24"/>
              </w:rPr>
              <m:t>q</m:t>
            </m:r>
          </m:sub>
        </m:sSub>
      </m:oMath>
      <w:r w:rsidRPr="003701CD">
        <w:rPr>
          <w:rFonts w:ascii="Times New Roman" w:eastAsia="新細明體" w:hAnsi="Times New Roman" w:cs="Times New Roman"/>
          <w:kern w:val="0"/>
          <w:szCs w:val="24"/>
        </w:rPr>
        <w:t xml:space="preserve"> (or </w:t>
      </w:r>
      <m:oMath>
        <m:sSub>
          <m:sSubPr>
            <m:ctrlPr>
              <w:rPr>
                <w:rFonts w:ascii="Cambria Math" w:eastAsia="新細明體" w:hAnsi="Cambria Math" w:cs="Times New Roman"/>
                <w:i/>
                <w:kern w:val="0"/>
                <w:szCs w:val="24"/>
              </w:rPr>
            </m:ctrlPr>
          </m:sSubPr>
          <m:e>
            <m:r>
              <w:rPr>
                <w:rFonts w:ascii="Cambria Math" w:eastAsia="新細明體" w:hAnsi="Cambria Math" w:cs="Times New Roman"/>
                <w:kern w:val="0"/>
                <w:szCs w:val="24"/>
              </w:rPr>
              <m:t>μ</m:t>
            </m:r>
          </m:e>
          <m:sub>
            <m:r>
              <w:rPr>
                <w:rFonts w:ascii="Cambria Math" w:eastAsia="新細明體" w:hAnsi="Cambria Math" w:cs="Times New Roman"/>
                <w:kern w:val="0"/>
                <w:szCs w:val="24"/>
              </w:rPr>
              <m:t>qH</m:t>
            </m:r>
          </m:sub>
        </m:sSub>
      </m:oMath>
      <w:r w:rsidRPr="003701CD">
        <w:rPr>
          <w:rFonts w:ascii="Times New Roman" w:eastAsia="新細明體" w:hAnsi="Times New Roman" w:cs="Times New Roman"/>
          <w:kern w:val="0"/>
          <w:szCs w:val="24"/>
        </w:rPr>
        <w:t xml:space="preserve">and </w:t>
      </w:r>
      <m:oMath>
        <m:sSub>
          <m:sSubPr>
            <m:ctrlPr>
              <w:rPr>
                <w:rFonts w:ascii="Cambria Math" w:eastAsia="新細明體" w:hAnsi="Cambria Math" w:cs="Times New Roman"/>
                <w:i/>
                <w:kern w:val="0"/>
                <w:szCs w:val="24"/>
              </w:rPr>
            </m:ctrlPr>
          </m:sSubPr>
          <m:e>
            <m:r>
              <w:rPr>
                <w:rFonts w:ascii="Cambria Math" w:eastAsia="新細明體" w:hAnsi="Cambria Math" w:cs="Times New Roman"/>
                <w:kern w:val="0"/>
                <w:szCs w:val="24"/>
              </w:rPr>
              <m:t>μ</m:t>
            </m:r>
          </m:e>
          <m:sub>
            <m:r>
              <w:rPr>
                <w:rFonts w:ascii="Cambria Math" w:eastAsia="新細明體" w:hAnsi="Cambria Math" w:cs="Times New Roman"/>
                <w:kern w:val="0"/>
                <w:szCs w:val="24"/>
              </w:rPr>
              <m:t>qL</m:t>
            </m:r>
          </m:sub>
        </m:sSub>
      </m:oMath>
      <w:r w:rsidRPr="003701CD">
        <w:rPr>
          <w:rFonts w:ascii="Times New Roman" w:eastAsia="新細明體" w:hAnsi="Times New Roman" w:cs="Times New Roman"/>
          <w:kern w:val="0"/>
          <w:szCs w:val="24"/>
        </w:rPr>
        <w:t xml:space="preserve">in the </w:t>
      </w:r>
      <w:r w:rsidR="00C822A2" w:rsidRPr="003701CD">
        <w:rPr>
          <w:rFonts w:ascii="Times New Roman" w:eastAsia="新細明體" w:hAnsi="Times New Roman" w:cs="Times New Roman"/>
          <w:color w:val="4472C4" w:themeColor="accent1"/>
          <w:kern w:val="0"/>
          <w:szCs w:val="24"/>
        </w:rPr>
        <w:t>two</w:t>
      </w:r>
      <w:r w:rsidRPr="003701CD">
        <w:rPr>
          <w:rFonts w:ascii="Times New Roman" w:eastAsia="新細明體" w:hAnsi="Times New Roman" w:cs="Times New Roman"/>
          <w:kern w:val="0"/>
          <w:szCs w:val="24"/>
        </w:rPr>
        <w:t xml:space="preserve">-class case). Once a block is formed, a group of users is transferred to the consensus queue, where the consensus process is carried out at a service rate denoted by </w:t>
      </w:r>
      <m:oMath>
        <m:sSub>
          <m:sSubPr>
            <m:ctrlPr>
              <w:rPr>
                <w:rFonts w:ascii="Cambria Math" w:eastAsia="新細明體" w:hAnsi="Cambria Math" w:cs="Times New Roman"/>
                <w:i/>
                <w:kern w:val="0"/>
                <w:szCs w:val="24"/>
              </w:rPr>
            </m:ctrlPr>
          </m:sSubPr>
          <m:e>
            <m:r>
              <w:rPr>
                <w:rFonts w:ascii="Cambria Math" w:eastAsia="新細明體" w:hAnsi="Cambria Math" w:cs="Times New Roman"/>
                <w:kern w:val="0"/>
                <w:szCs w:val="24"/>
              </w:rPr>
              <m:t>μ</m:t>
            </m:r>
          </m:e>
          <m:sub>
            <m:r>
              <w:rPr>
                <w:rFonts w:ascii="Cambria Math" w:eastAsia="新細明體" w:hAnsi="Cambria Math" w:cs="Times New Roman"/>
                <w:kern w:val="0"/>
                <w:szCs w:val="24"/>
              </w:rPr>
              <m:t>b</m:t>
            </m:r>
          </m:sub>
        </m:sSub>
      </m:oMath>
      <w:r w:rsidRPr="003701CD">
        <w:rPr>
          <w:rFonts w:ascii="Times New Roman" w:eastAsia="新細明體" w:hAnsi="Times New Roman" w:cs="Times New Roman"/>
          <w:kern w:val="0"/>
          <w:szCs w:val="24"/>
        </w:rPr>
        <w:t xml:space="preserve"> (or </w:t>
      </w:r>
      <m:oMath>
        <m:sSub>
          <m:sSubPr>
            <m:ctrlPr>
              <w:rPr>
                <w:rFonts w:ascii="Cambria Math" w:eastAsia="新細明體" w:hAnsi="Cambria Math" w:cs="Times New Roman"/>
                <w:i/>
                <w:kern w:val="0"/>
                <w:szCs w:val="24"/>
              </w:rPr>
            </m:ctrlPr>
          </m:sSubPr>
          <m:e>
            <m:r>
              <w:rPr>
                <w:rFonts w:ascii="Cambria Math" w:eastAsia="新細明體" w:hAnsi="Cambria Math" w:cs="Times New Roman"/>
                <w:kern w:val="0"/>
                <w:szCs w:val="24"/>
              </w:rPr>
              <m:t>μ</m:t>
            </m:r>
          </m:e>
          <m:sub>
            <m:r>
              <w:rPr>
                <w:rFonts w:ascii="Cambria Math" w:eastAsia="新細明體" w:hAnsi="Cambria Math" w:cs="Times New Roman"/>
                <w:kern w:val="0"/>
                <w:szCs w:val="24"/>
              </w:rPr>
              <m:t>bH</m:t>
            </m:r>
          </m:sub>
        </m:sSub>
      </m:oMath>
      <w:r w:rsidRPr="003701CD">
        <w:rPr>
          <w:rFonts w:ascii="Times New Roman" w:eastAsia="新細明體" w:hAnsi="Times New Roman" w:cs="Times New Roman"/>
          <w:kern w:val="0"/>
          <w:szCs w:val="24"/>
        </w:rPr>
        <w:t xml:space="preserve"> and </w:t>
      </w:r>
      <m:oMath>
        <m:sSub>
          <m:sSubPr>
            <m:ctrlPr>
              <w:rPr>
                <w:rFonts w:ascii="Cambria Math" w:eastAsia="新細明體" w:hAnsi="Cambria Math" w:cs="Times New Roman"/>
                <w:i/>
                <w:kern w:val="0"/>
                <w:szCs w:val="24"/>
              </w:rPr>
            </m:ctrlPr>
          </m:sSubPr>
          <m:e>
            <m:r>
              <w:rPr>
                <w:rFonts w:ascii="Cambria Math" w:eastAsia="新細明體" w:hAnsi="Cambria Math" w:cs="Times New Roman"/>
                <w:kern w:val="0"/>
                <w:szCs w:val="24"/>
              </w:rPr>
              <m:t>μ</m:t>
            </m:r>
          </m:e>
          <m:sub>
            <m:r>
              <w:rPr>
                <w:rFonts w:ascii="Cambria Math" w:eastAsia="新細明體" w:hAnsi="Cambria Math" w:cs="Times New Roman"/>
                <w:kern w:val="0"/>
                <w:szCs w:val="24"/>
              </w:rPr>
              <m:t>bL</m:t>
            </m:r>
          </m:sub>
        </m:sSub>
      </m:oMath>
      <w:r w:rsidRPr="003701CD">
        <w:rPr>
          <w:rFonts w:ascii="Times New Roman" w:eastAsia="新細明體" w:hAnsi="Times New Roman" w:cs="Times New Roman"/>
          <w:kern w:val="0"/>
          <w:szCs w:val="24"/>
        </w:rPr>
        <w:t>depending on customer class).</w:t>
      </w:r>
    </w:p>
    <w:p w14:paraId="2A52ED84" w14:textId="36B9F309" w:rsidR="002865DC" w:rsidRPr="003701CD" w:rsidRDefault="00137BA7" w:rsidP="002865DC">
      <w:pPr>
        <w:widowControl/>
        <w:spacing w:before="100" w:beforeAutospacing="1" w:after="100" w:afterAutospacing="1"/>
        <w:ind w:firstLine="480"/>
        <w:jc w:val="both"/>
        <w:rPr>
          <w:rFonts w:ascii="Times New Roman" w:eastAsia="新細明體" w:hAnsi="Times New Roman" w:cs="Times New Roman"/>
          <w:noProof/>
          <w:kern w:val="0"/>
          <w:szCs w:val="24"/>
        </w:rPr>
      </w:pPr>
      <w:r w:rsidRPr="003701CD">
        <w:rPr>
          <w:rFonts w:ascii="Times New Roman" w:eastAsia="新細明體" w:hAnsi="Times New Roman" w:cs="Times New Roman"/>
          <w:kern w:val="0"/>
          <w:szCs w:val="24"/>
        </w:rPr>
        <w:t xml:space="preserve">In scenarios that involve impatience, we assume that customers may abandon the system while waiting in the customer queue if their waiting time exceeds a certain threshold. The </w:t>
      </w:r>
      <w:r w:rsidRPr="003701CD">
        <w:rPr>
          <w:rFonts w:ascii="Times New Roman" w:eastAsia="新細明體" w:hAnsi="Times New Roman" w:cs="Times New Roman"/>
          <w:color w:val="4472C4" w:themeColor="accent1"/>
          <w:kern w:val="0"/>
          <w:szCs w:val="24"/>
        </w:rPr>
        <w:t xml:space="preserve">impatience </w:t>
      </w:r>
      <w:r w:rsidR="00C822A2" w:rsidRPr="003701CD">
        <w:rPr>
          <w:rFonts w:ascii="Times New Roman" w:eastAsia="新細明體" w:hAnsi="Times New Roman" w:cs="Times New Roman"/>
          <w:color w:val="4472C4" w:themeColor="accent1"/>
          <w:kern w:val="0"/>
          <w:szCs w:val="24"/>
        </w:rPr>
        <w:t>threshold</w:t>
      </w:r>
      <w:r w:rsidR="00C822A2" w:rsidRPr="003701CD">
        <w:rPr>
          <w:rFonts w:ascii="Times New Roman" w:eastAsia="新細明體" w:hAnsi="Times New Roman" w:cs="Times New Roman"/>
          <w:kern w:val="0"/>
          <w:szCs w:val="24"/>
        </w:rPr>
        <w:t xml:space="preserve"> </w:t>
      </w:r>
      <w:r w:rsidRPr="003701CD">
        <w:rPr>
          <w:rFonts w:ascii="Times New Roman" w:eastAsia="新細明體" w:hAnsi="Times New Roman" w:cs="Times New Roman"/>
          <w:kern w:val="0"/>
          <w:szCs w:val="24"/>
        </w:rPr>
        <w:t xml:space="preserve">is modeled </w:t>
      </w:r>
      <w:r w:rsidR="00C822A2" w:rsidRPr="003701CD">
        <w:rPr>
          <w:rFonts w:ascii="Times New Roman" w:eastAsia="新細明體" w:hAnsi="Times New Roman" w:cs="Times New Roman"/>
          <w:color w:val="4472C4" w:themeColor="accent1"/>
          <w:kern w:val="0"/>
          <w:szCs w:val="24"/>
        </w:rPr>
        <w:t>as an exponential random variable with</w:t>
      </w:r>
      <w:r w:rsidR="00C822A2" w:rsidRPr="003701CD">
        <w:rPr>
          <w:rFonts w:ascii="Times New Roman" w:eastAsia="新細明體" w:hAnsi="Times New Roman" w:cs="Times New Roman"/>
          <w:kern w:val="0"/>
          <w:szCs w:val="24"/>
        </w:rPr>
        <w:t xml:space="preserve"> </w:t>
      </w:r>
      <w:r w:rsidRPr="003701CD">
        <w:rPr>
          <w:rFonts w:ascii="Times New Roman" w:eastAsia="新細明體" w:hAnsi="Times New Roman" w:cs="Times New Roman"/>
          <w:kern w:val="0"/>
          <w:szCs w:val="24"/>
        </w:rPr>
        <w:t xml:space="preserve">a rate </w:t>
      </w:r>
      <m:oMath>
        <m:r>
          <w:rPr>
            <w:rFonts w:ascii="Cambria Math" w:eastAsia="新細明體" w:hAnsi="Cambria Math" w:cs="Times New Roman"/>
            <w:kern w:val="0"/>
            <w:szCs w:val="24"/>
          </w:rPr>
          <m:t>γ</m:t>
        </m:r>
      </m:oMath>
      <w:r w:rsidRPr="003701CD">
        <w:rPr>
          <w:rFonts w:ascii="Times New Roman" w:eastAsia="新細明體" w:hAnsi="Times New Roman" w:cs="Times New Roman"/>
          <w:kern w:val="0"/>
          <w:szCs w:val="24"/>
        </w:rPr>
        <w:t xml:space="preserve"> for single-class users, and rates </w:t>
      </w:r>
      <m:oMath>
        <m:sSub>
          <m:sSubPr>
            <m:ctrlPr>
              <w:rPr>
                <w:rFonts w:ascii="Cambria Math" w:eastAsia="新細明體" w:hAnsi="Cambria Math" w:cs="Times New Roman"/>
                <w:i/>
                <w:kern w:val="0"/>
                <w:szCs w:val="24"/>
              </w:rPr>
            </m:ctrlPr>
          </m:sSubPr>
          <m:e>
            <m:r>
              <w:rPr>
                <w:rFonts w:ascii="Cambria Math" w:eastAsia="新細明體" w:hAnsi="Cambria Math" w:cs="Times New Roman"/>
                <w:kern w:val="0"/>
                <w:szCs w:val="24"/>
              </w:rPr>
              <m:t>γ</m:t>
            </m:r>
          </m:e>
          <m:sub>
            <m:r>
              <w:rPr>
                <w:rFonts w:ascii="Cambria Math" w:eastAsia="新細明體" w:hAnsi="Cambria Math" w:cs="Times New Roman"/>
                <w:kern w:val="0"/>
                <w:szCs w:val="24"/>
              </w:rPr>
              <m:t>H</m:t>
            </m:r>
          </m:sub>
        </m:sSub>
      </m:oMath>
      <w:r w:rsidRPr="003701CD">
        <w:rPr>
          <w:rFonts w:ascii="Times New Roman" w:eastAsia="新細明體" w:hAnsi="Times New Roman" w:cs="Times New Roman"/>
          <w:kern w:val="0"/>
          <w:szCs w:val="24"/>
        </w:rPr>
        <w:t xml:space="preserve"> and </w:t>
      </w:r>
      <m:oMath>
        <m:sSub>
          <m:sSubPr>
            <m:ctrlPr>
              <w:rPr>
                <w:rFonts w:ascii="Cambria Math" w:eastAsia="新細明體" w:hAnsi="Cambria Math" w:cs="Times New Roman"/>
                <w:i/>
                <w:kern w:val="0"/>
                <w:szCs w:val="24"/>
              </w:rPr>
            </m:ctrlPr>
          </m:sSubPr>
          <m:e>
            <m:r>
              <w:rPr>
                <w:rFonts w:ascii="Cambria Math" w:eastAsia="新細明體" w:hAnsi="Cambria Math" w:cs="Times New Roman"/>
                <w:kern w:val="0"/>
                <w:szCs w:val="24"/>
              </w:rPr>
              <m:t>γ</m:t>
            </m:r>
          </m:e>
          <m:sub>
            <m:r>
              <w:rPr>
                <w:rFonts w:ascii="Cambria Math" w:eastAsia="新細明體" w:hAnsi="Cambria Math" w:cs="Times New Roman"/>
                <w:kern w:val="0"/>
                <w:szCs w:val="24"/>
              </w:rPr>
              <m:t>L</m:t>
            </m:r>
          </m:sub>
        </m:sSub>
      </m:oMath>
      <w:r w:rsidRPr="003701CD">
        <w:rPr>
          <w:rFonts w:ascii="Times New Roman" w:eastAsia="新細明體" w:hAnsi="Times New Roman" w:cs="Times New Roman"/>
          <w:kern w:val="0"/>
          <w:szCs w:val="24"/>
        </w:rPr>
        <w:t xml:space="preserve"> for high-priority and low-priority users, respectively. Once a customer enters the consensus queue, impatience is no longer considered. In addition, we consider the operational reliability of the system by incorporating the possibility of</w:t>
      </w:r>
      <w:r w:rsidR="00C822A2" w:rsidRPr="003701CD">
        <w:rPr>
          <w:rFonts w:ascii="Times New Roman" w:eastAsia="新細明體" w:hAnsi="Times New Roman" w:cs="Times New Roman"/>
          <w:kern w:val="0"/>
          <w:szCs w:val="24"/>
        </w:rPr>
        <w:t xml:space="preserve"> </w:t>
      </w:r>
      <w:r w:rsidR="00C822A2" w:rsidRPr="003701CD">
        <w:rPr>
          <w:rFonts w:ascii="Times New Roman" w:eastAsia="新細明體" w:hAnsi="Times New Roman" w:cs="Times New Roman"/>
          <w:color w:val="4472C4" w:themeColor="accent1"/>
          <w:kern w:val="0"/>
          <w:szCs w:val="24"/>
        </w:rPr>
        <w:t>the system state</w:t>
      </w:r>
      <w:r w:rsidRPr="003701CD">
        <w:rPr>
          <w:rFonts w:ascii="Times New Roman" w:eastAsia="新細明體" w:hAnsi="Times New Roman" w:cs="Times New Roman"/>
          <w:kern w:val="0"/>
          <w:szCs w:val="24"/>
        </w:rPr>
        <w:t xml:space="preserve"> alternating between ON and OFF</w:t>
      </w:r>
      <w:r w:rsidR="00C822A2" w:rsidRPr="003701CD">
        <w:rPr>
          <w:rFonts w:ascii="Times New Roman" w:eastAsia="新細明體" w:hAnsi="Times New Roman" w:cs="Times New Roman"/>
          <w:kern w:val="0"/>
          <w:szCs w:val="24"/>
        </w:rPr>
        <w:t xml:space="preserve"> </w:t>
      </w:r>
      <w:r w:rsidR="00C822A2" w:rsidRPr="003701CD">
        <w:rPr>
          <w:rFonts w:ascii="Times New Roman" w:eastAsia="新細明體" w:hAnsi="Times New Roman" w:cs="Times New Roman"/>
          <w:color w:val="4472C4" w:themeColor="accent1"/>
          <w:kern w:val="0"/>
          <w:szCs w:val="24"/>
        </w:rPr>
        <w:t>periods</w:t>
      </w:r>
      <w:r w:rsidRPr="003701CD">
        <w:rPr>
          <w:rFonts w:ascii="Times New Roman" w:eastAsia="新細明體" w:hAnsi="Times New Roman" w:cs="Times New Roman"/>
          <w:kern w:val="0"/>
          <w:szCs w:val="24"/>
        </w:rPr>
        <w:t xml:space="preserve">. During ON periods, both block generation and consensus operations are allowed to proceed, while during OFF periods, these operations are suspended. </w:t>
      </w:r>
      <w:r w:rsidR="00C822A2" w:rsidRPr="003701CD">
        <w:rPr>
          <w:rFonts w:ascii="Times New Roman" w:eastAsia="新細明體" w:hAnsi="Times New Roman" w:cs="Times New Roman"/>
          <w:color w:val="4472C4" w:themeColor="accent1"/>
          <w:kern w:val="0"/>
          <w:szCs w:val="24"/>
        </w:rPr>
        <w:t>The durations of both ON and OFF periods are exponentially distributed.</w:t>
      </w:r>
      <w:r w:rsidR="00C822A2" w:rsidRPr="003701CD">
        <w:rPr>
          <w:rFonts w:ascii="Times New Roman" w:eastAsia="新細明體" w:hAnsi="Times New Roman" w:cs="Times New Roman"/>
          <w:color w:val="FF0000"/>
          <w:kern w:val="0"/>
          <w:szCs w:val="24"/>
        </w:rPr>
        <w:t xml:space="preserve"> </w:t>
      </w:r>
      <w:r w:rsidRPr="003701CD">
        <w:rPr>
          <w:rFonts w:ascii="Times New Roman" w:eastAsia="新細明體" w:hAnsi="Times New Roman" w:cs="Times New Roman"/>
          <w:kern w:val="0"/>
          <w:szCs w:val="24"/>
        </w:rPr>
        <w:t xml:space="preserve">The transition rates between the two states are given by </w:t>
      </w:r>
      <m:oMath>
        <m:r>
          <w:rPr>
            <w:rFonts w:ascii="Cambria Math" w:eastAsia="Yu Mincho" w:hAnsi="Cambria Math" w:cs="Times New Roman"/>
            <w:kern w:val="0"/>
            <w:szCs w:val="24"/>
            <w:lang w:eastAsia="ja-JP"/>
          </w:rPr>
          <m:t>α</m:t>
        </m:r>
      </m:oMath>
      <w:r w:rsidRPr="003701CD">
        <w:rPr>
          <w:rFonts w:ascii="Times New Roman" w:eastAsia="新細明體" w:hAnsi="Times New Roman" w:cs="Times New Roman"/>
          <w:kern w:val="0"/>
          <w:szCs w:val="24"/>
        </w:rPr>
        <w:t xml:space="preserve"> </w:t>
      </w:r>
      <w:r w:rsidR="00D15111" w:rsidRPr="003701CD">
        <w:rPr>
          <w:rFonts w:ascii="Times New Roman" w:eastAsia="新細明體" w:hAnsi="Times New Roman" w:cs="Times New Roman"/>
          <w:kern w:val="0"/>
          <w:szCs w:val="24"/>
        </w:rPr>
        <w:t>(</w:t>
      </w:r>
      <w:r w:rsidR="009E0718" w:rsidRPr="003701CD">
        <w:rPr>
          <w:rFonts w:ascii="Times New Roman" w:eastAsia="新細明體" w:hAnsi="Times New Roman" w:cs="Times New Roman"/>
          <w:kern w:val="0"/>
          <w:szCs w:val="24"/>
        </w:rPr>
        <w:t>ON to OFF</w:t>
      </w:r>
      <w:r w:rsidR="00D15111" w:rsidRPr="003701CD">
        <w:rPr>
          <w:rFonts w:ascii="Times New Roman" w:eastAsia="新細明體" w:hAnsi="Times New Roman" w:cs="Times New Roman"/>
          <w:kern w:val="0"/>
          <w:szCs w:val="24"/>
        </w:rPr>
        <w:t xml:space="preserve">) </w:t>
      </w:r>
      <w:r w:rsidRPr="003701CD">
        <w:rPr>
          <w:rFonts w:ascii="Times New Roman" w:eastAsia="新細明體" w:hAnsi="Times New Roman" w:cs="Times New Roman"/>
          <w:kern w:val="0"/>
          <w:szCs w:val="24"/>
        </w:rPr>
        <w:t xml:space="preserve">and </w:t>
      </w:r>
      <m:oMath>
        <m:r>
          <w:rPr>
            <w:rFonts w:ascii="Cambria Math" w:eastAsia="Yu Mincho" w:hAnsi="Cambria Math" w:cs="Times New Roman"/>
            <w:kern w:val="0"/>
            <w:szCs w:val="24"/>
            <w:lang w:eastAsia="ja-JP"/>
          </w:rPr>
          <m:t>β</m:t>
        </m:r>
      </m:oMath>
      <w:r w:rsidR="00D15111" w:rsidRPr="003701CD">
        <w:rPr>
          <w:rFonts w:ascii="Times New Roman" w:eastAsia="新細明體" w:hAnsi="Times New Roman" w:cs="Times New Roman"/>
          <w:kern w:val="0"/>
          <w:szCs w:val="24"/>
          <w:lang w:eastAsia="ja-JP"/>
        </w:rPr>
        <w:t xml:space="preserve"> (</w:t>
      </w:r>
      <w:r w:rsidR="009E0718" w:rsidRPr="003701CD">
        <w:rPr>
          <w:rFonts w:ascii="Times New Roman" w:eastAsia="新細明體" w:hAnsi="Times New Roman" w:cs="Times New Roman"/>
          <w:kern w:val="0"/>
          <w:szCs w:val="24"/>
          <w:lang w:eastAsia="ja-JP"/>
        </w:rPr>
        <w:t>OFF to ON</w:t>
      </w:r>
      <w:r w:rsidR="00D15111" w:rsidRPr="003701CD">
        <w:rPr>
          <w:rFonts w:ascii="Times New Roman" w:eastAsia="新細明體" w:hAnsi="Times New Roman" w:cs="Times New Roman"/>
          <w:kern w:val="0"/>
          <w:szCs w:val="24"/>
          <w:lang w:eastAsia="ja-JP"/>
        </w:rPr>
        <w:t>)</w:t>
      </w:r>
      <w:r w:rsidR="00C822A2" w:rsidRPr="003701CD">
        <w:rPr>
          <w:rFonts w:ascii="Times New Roman" w:eastAsia="新細明體" w:hAnsi="Times New Roman" w:cs="Times New Roman"/>
          <w:color w:val="FF0000"/>
          <w:kern w:val="0"/>
          <w:szCs w:val="24"/>
        </w:rPr>
        <w:t xml:space="preserve"> </w:t>
      </w:r>
      <w:r w:rsidR="00C822A2" w:rsidRPr="003701CD">
        <w:rPr>
          <w:rFonts w:ascii="Times New Roman" w:eastAsia="新細明體" w:hAnsi="Times New Roman" w:cs="Times New Roman"/>
          <w:color w:val="4472C4" w:themeColor="accent1"/>
          <w:kern w:val="0"/>
          <w:szCs w:val="24"/>
        </w:rPr>
        <w:t>respectively</w:t>
      </w:r>
      <w:r w:rsidRPr="003701CD">
        <w:rPr>
          <w:rFonts w:ascii="Times New Roman" w:eastAsia="新細明體" w:hAnsi="Times New Roman" w:cs="Times New Roman"/>
          <w:kern w:val="0"/>
          <w:szCs w:val="24"/>
        </w:rPr>
        <w:t>.</w:t>
      </w:r>
    </w:p>
    <w:p w14:paraId="5A1B1F69" w14:textId="2AB7B69F" w:rsidR="002865DC" w:rsidRPr="003701CD" w:rsidRDefault="002865DC" w:rsidP="002865DC">
      <w:pPr>
        <w:widowControl/>
        <w:spacing w:before="100" w:beforeAutospacing="1" w:after="100" w:afterAutospacing="1"/>
        <w:jc w:val="center"/>
        <w:rPr>
          <w:rFonts w:ascii="Times New Roman" w:eastAsia="新細明體" w:hAnsi="Times New Roman" w:cs="Times New Roman"/>
          <w:noProof/>
          <w:kern w:val="0"/>
          <w:szCs w:val="24"/>
        </w:rPr>
      </w:pPr>
      <w:r w:rsidRPr="003701CD">
        <w:rPr>
          <w:rFonts w:ascii="Times New Roman" w:eastAsia="新細明體" w:hAnsi="Times New Roman" w:cs="Times New Roman"/>
          <w:noProof/>
          <w:kern w:val="0"/>
          <w:szCs w:val="24"/>
        </w:rPr>
        <w:lastRenderedPageBreak/>
        <w:drawing>
          <wp:inline distT="0" distB="0" distL="0" distR="0" wp14:anchorId="1B621062" wp14:editId="2575E927">
            <wp:extent cx="4320000" cy="79796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7979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E5B8DE" w14:textId="6073C892" w:rsidR="002865DC" w:rsidRPr="003701CD" w:rsidRDefault="002865DC" w:rsidP="002865DC">
      <w:pPr>
        <w:pStyle w:val="ab"/>
        <w:jc w:val="center"/>
        <w:rPr>
          <w:rFonts w:ascii="Times New Roman" w:eastAsia="新細明體" w:hAnsi="Times New Roman" w:cs="Times New Roman"/>
          <w:noProof/>
          <w:kern w:val="0"/>
          <w:szCs w:val="24"/>
        </w:rPr>
      </w:pPr>
      <w:bookmarkStart w:id="0" w:name="_Ref196315222"/>
      <w:r w:rsidRPr="003701CD">
        <w:rPr>
          <w:rFonts w:ascii="Times New Roman" w:hAnsi="Times New Roman" w:cs="Times New Roman"/>
        </w:rPr>
        <w:t xml:space="preserve">Figure </w:t>
      </w:r>
      <w:r w:rsidRPr="003701CD">
        <w:rPr>
          <w:rFonts w:ascii="Times New Roman" w:hAnsi="Times New Roman" w:cs="Times New Roman"/>
        </w:rPr>
        <w:fldChar w:fldCharType="begin"/>
      </w:r>
      <w:r w:rsidRPr="003701CD">
        <w:rPr>
          <w:rFonts w:ascii="Times New Roman" w:hAnsi="Times New Roman" w:cs="Times New Roman"/>
        </w:rPr>
        <w:instrText xml:space="preserve"> STYLEREF 1 \s </w:instrText>
      </w:r>
      <w:r w:rsidRPr="003701CD">
        <w:rPr>
          <w:rFonts w:ascii="Times New Roman" w:hAnsi="Times New Roman" w:cs="Times New Roman"/>
        </w:rPr>
        <w:fldChar w:fldCharType="separate"/>
      </w:r>
      <w:r w:rsidRPr="003701CD">
        <w:rPr>
          <w:rFonts w:ascii="Times New Roman" w:hAnsi="Times New Roman" w:cs="Times New Roman"/>
          <w:noProof/>
        </w:rPr>
        <w:t>3</w:t>
      </w:r>
      <w:r w:rsidRPr="003701CD">
        <w:rPr>
          <w:rFonts w:ascii="Times New Roman" w:hAnsi="Times New Roman" w:cs="Times New Roman"/>
        </w:rPr>
        <w:fldChar w:fldCharType="end"/>
      </w:r>
      <w:r w:rsidRPr="003701CD">
        <w:rPr>
          <w:rFonts w:ascii="Times New Roman" w:hAnsi="Times New Roman" w:cs="Times New Roman"/>
        </w:rPr>
        <w:noBreakHyphen/>
      </w:r>
      <w:r w:rsidRPr="003701CD">
        <w:rPr>
          <w:rFonts w:ascii="Times New Roman" w:hAnsi="Times New Roman" w:cs="Times New Roman"/>
        </w:rPr>
        <w:fldChar w:fldCharType="begin"/>
      </w:r>
      <w:r w:rsidRPr="003701CD">
        <w:rPr>
          <w:rFonts w:ascii="Times New Roman" w:hAnsi="Times New Roman" w:cs="Times New Roman"/>
        </w:rPr>
        <w:instrText xml:space="preserve"> SEQ Figure \* ARABIC \s 1 </w:instrText>
      </w:r>
      <w:r w:rsidRPr="003701CD">
        <w:rPr>
          <w:rFonts w:ascii="Times New Roman" w:hAnsi="Times New Roman" w:cs="Times New Roman"/>
        </w:rPr>
        <w:fldChar w:fldCharType="separate"/>
      </w:r>
      <w:r w:rsidRPr="003701CD">
        <w:rPr>
          <w:rFonts w:ascii="Times New Roman" w:hAnsi="Times New Roman" w:cs="Times New Roman"/>
          <w:noProof/>
        </w:rPr>
        <w:t>1</w:t>
      </w:r>
      <w:r w:rsidRPr="003701CD">
        <w:rPr>
          <w:rFonts w:ascii="Times New Roman" w:hAnsi="Times New Roman" w:cs="Times New Roman"/>
        </w:rPr>
        <w:fldChar w:fldCharType="end"/>
      </w:r>
      <w:bookmarkEnd w:id="0"/>
    </w:p>
    <w:p w14:paraId="322A62D1" w14:textId="09D5589E" w:rsidR="00D55D98" w:rsidRPr="003701CD" w:rsidRDefault="00137BA7" w:rsidP="00137BA7">
      <w:pPr>
        <w:widowControl/>
        <w:spacing w:before="100" w:beforeAutospacing="1" w:after="100" w:afterAutospacing="1"/>
        <w:ind w:firstLine="480"/>
        <w:jc w:val="both"/>
        <w:rPr>
          <w:rFonts w:ascii="Times New Roman" w:eastAsia="新細明體" w:hAnsi="Times New Roman" w:cs="Times New Roman"/>
          <w:color w:val="4472C4" w:themeColor="accent1"/>
          <w:kern w:val="0"/>
          <w:szCs w:val="24"/>
        </w:rPr>
      </w:pPr>
      <w:r w:rsidRPr="003701CD">
        <w:rPr>
          <w:rFonts w:ascii="Times New Roman" w:eastAsia="新細明體" w:hAnsi="Times New Roman" w:cs="Times New Roman"/>
          <w:kern w:val="0"/>
          <w:szCs w:val="24"/>
        </w:rPr>
        <w:t>We assume the queueing discipline is First-Come-First-Served (FCFS) for customers of the same class. In the two-class scenarios, customers are additionally scheduled under a non-preemptive priority rule, in which high-priority customers are placed ahead of low-priority ones in the customer queue, but once a customer enters the consensus queue, their service cannot be interrupted. These settings allow us to examine the interplay between system structure, service prioritization, impatience-driven abandonment, and queue dynamics in a blockchain-inspired environment.</w:t>
      </w:r>
      <w:r w:rsidR="00200C77" w:rsidRPr="003701CD">
        <w:rPr>
          <w:rFonts w:ascii="Times New Roman" w:eastAsia="新細明體" w:hAnsi="Times New Roman" w:cs="Times New Roman"/>
          <w:color w:val="FF0000"/>
          <w:kern w:val="0"/>
          <w:szCs w:val="24"/>
        </w:rPr>
        <w:t xml:space="preserve"> </w:t>
      </w:r>
      <w:r w:rsidR="00200C77" w:rsidRPr="003701CD">
        <w:rPr>
          <w:rFonts w:ascii="Times New Roman" w:eastAsia="新細明體" w:hAnsi="Times New Roman" w:cs="Times New Roman"/>
          <w:color w:val="4472C4" w:themeColor="accent1"/>
          <w:kern w:val="0"/>
          <w:szCs w:val="24"/>
        </w:rPr>
        <w:t>The parameters used in different scenarios are shown in Table 3.1</w:t>
      </w:r>
    </w:p>
    <w:tbl>
      <w:tblPr>
        <w:tblStyle w:val="a9"/>
        <w:tblW w:w="5000" w:type="pct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57D24" w:rsidRPr="003701CD" w14:paraId="6CC8B8F7" w14:textId="77777777" w:rsidTr="00957D24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5B7F7CA" w14:textId="57E6290D" w:rsidR="00957D24" w:rsidRPr="003701CD" w:rsidRDefault="00957D24" w:rsidP="00957D24">
            <w:pPr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3701CD">
              <w:rPr>
                <w:rFonts w:ascii="Times New Roman" w:eastAsia="新細明體" w:hAnsi="Times New Roman" w:cs="Times New Roman"/>
                <w:lang w:eastAsia="zh-TW"/>
              </w:rPr>
              <w:t>Description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873ED99" w14:textId="589A8466" w:rsidR="00957D24" w:rsidRPr="003701CD" w:rsidRDefault="00957D24" w:rsidP="00957D24">
            <w:pPr>
              <w:jc w:val="center"/>
              <w:rPr>
                <w:rFonts w:ascii="Times New Roman" w:eastAsia="新細明體" w:hAnsi="Times New Roman" w:cs="Times New Roman"/>
              </w:rPr>
            </w:pPr>
            <w:r w:rsidRPr="003701CD">
              <w:rPr>
                <w:rFonts w:ascii="Times New Roman" w:hAnsi="Times New Roman" w:cs="Times New Roman"/>
              </w:rPr>
              <w:t>Single-class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DA9F92B" w14:textId="3674571B" w:rsidR="00957D24" w:rsidRPr="003701CD" w:rsidRDefault="00957D24" w:rsidP="00957D24">
            <w:pPr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3701CD">
              <w:rPr>
                <w:rFonts w:ascii="Times New Roman" w:eastAsia="新細明體" w:hAnsi="Times New Roman" w:cs="Times New Roman"/>
                <w:lang w:eastAsia="zh-TW"/>
              </w:rPr>
              <w:t>Two-class</w:t>
            </w:r>
          </w:p>
        </w:tc>
      </w:tr>
      <w:tr w:rsidR="00957D24" w:rsidRPr="003701CD" w14:paraId="55247BC9" w14:textId="77777777" w:rsidTr="007C47BD">
        <w:trPr>
          <w:trHeight w:val="225"/>
        </w:trPr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8136A9B" w14:textId="24DAB7C1" w:rsidR="00957D24" w:rsidRPr="003701CD" w:rsidRDefault="00957D24" w:rsidP="00957D24">
            <w:pPr>
              <w:jc w:val="center"/>
              <w:rPr>
                <w:rFonts w:ascii="Times New Roman" w:hAnsi="Times New Roman" w:cs="Times New Roman"/>
              </w:rPr>
            </w:pPr>
            <w:r w:rsidRPr="003701CD">
              <w:rPr>
                <w:rFonts w:ascii="Times New Roman" w:hAnsi="Times New Roman" w:cs="Times New Roman"/>
              </w:rPr>
              <w:t>Arrival rate</w:t>
            </w:r>
          </w:p>
        </w:tc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C7B8E7" w14:textId="643C4245" w:rsidR="00957D24" w:rsidRPr="003701CD" w:rsidRDefault="00957D24" w:rsidP="00957D24">
            <w:pPr>
              <w:jc w:val="center"/>
              <w:rPr>
                <w:rFonts w:ascii="Times New Roman" w:eastAsia="新細明體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λ</m:t>
                </m:r>
              </m:oMath>
            </m:oMathPara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0D500" w14:textId="77777777" w:rsidR="00957D24" w:rsidRPr="003701CD" w:rsidRDefault="00957D24" w:rsidP="00957D24">
            <w:pPr>
              <w:jc w:val="center"/>
              <w:rPr>
                <w:rFonts w:ascii="Times New Roman" w:eastAsia="新細明體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eastAsia="zh-TW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eastAsia="zh-TW"/>
                      </w:rPr>
                      <m:t>H</m:t>
                    </m:r>
                  </m:sub>
                </m:sSub>
              </m:oMath>
            </m:oMathPara>
          </w:p>
          <w:p w14:paraId="2BED9972" w14:textId="3887CAF9" w:rsidR="00957D24" w:rsidRPr="003701CD" w:rsidRDefault="00957D24" w:rsidP="00957D24">
            <w:pPr>
              <w:jc w:val="center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957D24" w:rsidRPr="003701CD" w14:paraId="7CAF511F" w14:textId="77777777" w:rsidTr="007C47BD">
        <w:trPr>
          <w:trHeight w:val="224"/>
        </w:trPr>
        <w:tc>
          <w:tcPr>
            <w:tcW w:w="166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79354" w14:textId="77777777" w:rsidR="00957D24" w:rsidRPr="003701CD" w:rsidRDefault="00957D24" w:rsidP="00957D2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BE1C5" w14:textId="77777777" w:rsidR="00957D24" w:rsidRPr="003701CD" w:rsidRDefault="00957D24" w:rsidP="00957D2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11DC2" w14:textId="4C8283FB" w:rsidR="00957D24" w:rsidRPr="003701CD" w:rsidRDefault="00957D24" w:rsidP="00957D24">
            <w:pPr>
              <w:jc w:val="center"/>
              <w:rPr>
                <w:rFonts w:ascii="Times New Roman" w:eastAsia="新細明體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eastAsia="zh-TW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eastAsia="zh-TW"/>
                      </w:rPr>
                      <m:t>L</m:t>
                    </m:r>
                  </m:sub>
                </m:sSub>
              </m:oMath>
            </m:oMathPara>
          </w:p>
        </w:tc>
      </w:tr>
      <w:tr w:rsidR="00957D24" w:rsidRPr="003701CD" w14:paraId="27FB5E12" w14:textId="77777777" w:rsidTr="004C05A3">
        <w:trPr>
          <w:trHeight w:val="225"/>
        </w:trPr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8EA343" w14:textId="12E6370D" w:rsidR="00957D24" w:rsidRPr="003701CD" w:rsidRDefault="00957D24" w:rsidP="00957D24">
            <w:pPr>
              <w:jc w:val="center"/>
              <w:rPr>
                <w:rFonts w:ascii="Times New Roman" w:hAnsi="Times New Roman" w:cs="Times New Roman"/>
              </w:rPr>
            </w:pPr>
            <w:r w:rsidRPr="003701CD">
              <w:rPr>
                <w:rFonts w:ascii="Times New Roman" w:hAnsi="Times New Roman" w:cs="Times New Roman"/>
              </w:rPr>
              <w:t>Block generation rate</w:t>
            </w:r>
          </w:p>
        </w:tc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9C6CFD" w14:textId="76C74C65" w:rsidR="00957D24" w:rsidRPr="003701CD" w:rsidRDefault="00957D24" w:rsidP="00957D24">
            <w:pPr>
              <w:jc w:val="center"/>
              <w:rPr>
                <w:rFonts w:ascii="Times New Roman" w:eastAsia="新細明體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F1DE6" w14:textId="2064114A" w:rsidR="00957D24" w:rsidRPr="003701CD" w:rsidRDefault="00957D24" w:rsidP="00957D24">
            <w:pPr>
              <w:jc w:val="center"/>
              <w:rPr>
                <w:rFonts w:ascii="Times New Roman" w:eastAsia="新細明體" w:hAnsi="Times New Roman" w:cs="Times New Roman"/>
                <w:lang w:eastAsia="zh-TW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eastAsia="zh-TW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eastAsia="zh-TW"/>
                      </w:rPr>
                      <m:t>qH</m:t>
                    </m:r>
                  </m:sub>
                </m:sSub>
              </m:oMath>
            </m:oMathPara>
          </w:p>
          <w:p w14:paraId="201A31F6" w14:textId="78EF6FF3" w:rsidR="00957D24" w:rsidRPr="003701CD" w:rsidRDefault="00957D24" w:rsidP="00957D24">
            <w:pPr>
              <w:jc w:val="center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957D24" w:rsidRPr="003701CD" w14:paraId="2884BBF4" w14:textId="77777777" w:rsidTr="004C05A3">
        <w:trPr>
          <w:trHeight w:val="224"/>
        </w:trPr>
        <w:tc>
          <w:tcPr>
            <w:tcW w:w="166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BDBFE" w14:textId="77777777" w:rsidR="00957D24" w:rsidRPr="003701CD" w:rsidRDefault="00957D24" w:rsidP="00957D2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38938" w14:textId="77777777" w:rsidR="00957D24" w:rsidRPr="003701CD" w:rsidRDefault="00957D24" w:rsidP="00957D24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4238D" w14:textId="14A6C174" w:rsidR="00957D24" w:rsidRPr="003701CD" w:rsidRDefault="00957D24" w:rsidP="00957D24">
            <w:pPr>
              <w:jc w:val="center"/>
              <w:rPr>
                <w:rFonts w:ascii="Times New Roman" w:eastAsia="新細明體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eastAsia="zh-TW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eastAsia="zh-TW"/>
                      </w:rPr>
                      <m:t>qL</m:t>
                    </m:r>
                  </m:sub>
                </m:sSub>
              </m:oMath>
            </m:oMathPara>
          </w:p>
        </w:tc>
      </w:tr>
      <w:tr w:rsidR="00957D24" w:rsidRPr="003701CD" w14:paraId="62305A26" w14:textId="77777777" w:rsidTr="00F07075">
        <w:trPr>
          <w:trHeight w:val="225"/>
        </w:trPr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574F123" w14:textId="2E400C6D" w:rsidR="00957D24" w:rsidRPr="003701CD" w:rsidRDefault="003701CD" w:rsidP="00957D24">
            <w:pPr>
              <w:jc w:val="center"/>
              <w:rPr>
                <w:rFonts w:ascii="Times New Roman" w:hAnsi="Times New Roman" w:cs="Times New Roman"/>
              </w:rPr>
            </w:pPr>
            <w:r w:rsidRPr="003701CD">
              <w:rPr>
                <w:rFonts w:ascii="Times New Roman" w:eastAsiaTheme="minorEastAsia" w:hAnsi="Times New Roman" w:cs="Times New Roman"/>
                <w:lang w:eastAsia="zh-TW"/>
              </w:rPr>
              <w:t>C</w:t>
            </w:r>
            <w:r w:rsidR="00957D24" w:rsidRPr="003701CD">
              <w:rPr>
                <w:rFonts w:ascii="Times New Roman" w:hAnsi="Times New Roman" w:cs="Times New Roman"/>
              </w:rPr>
              <w:t>onsensus rate</w:t>
            </w:r>
          </w:p>
        </w:tc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F944FA" w14:textId="56CABE25" w:rsidR="00957D24" w:rsidRPr="003701CD" w:rsidRDefault="00957D24" w:rsidP="00957D24">
            <w:pPr>
              <w:jc w:val="center"/>
              <w:rPr>
                <w:rFonts w:ascii="Times New Roman" w:eastAsia="新細明體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70469" w14:textId="77777777" w:rsidR="00957D24" w:rsidRPr="003701CD" w:rsidRDefault="00957D24" w:rsidP="00957D24">
            <w:pPr>
              <w:jc w:val="center"/>
              <w:rPr>
                <w:rFonts w:ascii="Times New Roman" w:eastAsia="新細明體" w:hAnsi="Times New Roman" w:cs="Times New Roman"/>
                <w:lang w:eastAsia="zh-TW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eastAsia="zh-TW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eastAsia="zh-TW"/>
                      </w:rPr>
                      <m:t>bH</m:t>
                    </m:r>
                  </m:sub>
                </m:sSub>
              </m:oMath>
            </m:oMathPara>
          </w:p>
          <w:p w14:paraId="0253C16E" w14:textId="1F49CDE5" w:rsidR="00957D24" w:rsidRPr="003701CD" w:rsidRDefault="00957D24" w:rsidP="00957D24">
            <w:pPr>
              <w:jc w:val="center"/>
              <w:rPr>
                <w:rFonts w:ascii="Times New Roman" w:eastAsia="新細明體" w:hAnsi="Times New Roman" w:cs="Times New Roman"/>
                <w:lang w:eastAsia="zh-TW"/>
              </w:rPr>
            </w:pPr>
          </w:p>
        </w:tc>
      </w:tr>
      <w:tr w:rsidR="00957D24" w:rsidRPr="003701CD" w14:paraId="6FD46514" w14:textId="77777777" w:rsidTr="00F07075">
        <w:trPr>
          <w:trHeight w:val="224"/>
        </w:trPr>
        <w:tc>
          <w:tcPr>
            <w:tcW w:w="166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A90D6" w14:textId="77777777" w:rsidR="00957D24" w:rsidRPr="003701CD" w:rsidRDefault="00957D24" w:rsidP="00957D2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31F55" w14:textId="77777777" w:rsidR="00957D24" w:rsidRPr="003701CD" w:rsidRDefault="00957D24" w:rsidP="00957D24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5E58E" w14:textId="6D6C980A" w:rsidR="00957D24" w:rsidRPr="003701CD" w:rsidRDefault="00957D24" w:rsidP="00957D24">
            <w:pPr>
              <w:jc w:val="center"/>
              <w:rPr>
                <w:rFonts w:ascii="Times New Roman" w:eastAsia="新細明體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eastAsia="zh-TW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bL</m:t>
                    </m:r>
                  </m:sub>
                </m:sSub>
              </m:oMath>
            </m:oMathPara>
          </w:p>
        </w:tc>
      </w:tr>
      <w:tr w:rsidR="00957D24" w:rsidRPr="003701CD" w14:paraId="79F196F6" w14:textId="77777777" w:rsidTr="00AF1E1D">
        <w:trPr>
          <w:trHeight w:val="225"/>
        </w:trPr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1509CF" w14:textId="1E438FF4" w:rsidR="00957D24" w:rsidRPr="003701CD" w:rsidRDefault="00957D24" w:rsidP="00957D24">
            <w:pPr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3701CD">
              <w:rPr>
                <w:rFonts w:ascii="Times New Roman" w:eastAsia="新細明體" w:hAnsi="Times New Roman" w:cs="Times New Roman"/>
                <w:lang w:eastAsia="zh-TW"/>
              </w:rPr>
              <w:t>Impatient rate</w:t>
            </w:r>
          </w:p>
        </w:tc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D65FFF" w14:textId="3AED6A3B" w:rsidR="00957D24" w:rsidRPr="003701CD" w:rsidRDefault="00957D24" w:rsidP="00957D24">
            <w:pPr>
              <w:jc w:val="center"/>
              <w:rPr>
                <w:rFonts w:ascii="Times New Roman" w:eastAsia="新細明體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γ</m:t>
                </m:r>
              </m:oMath>
            </m:oMathPara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268FF" w14:textId="77777777" w:rsidR="00957D24" w:rsidRPr="003701CD" w:rsidRDefault="00957D24" w:rsidP="00957D24">
            <w:pPr>
              <w:jc w:val="center"/>
              <w:rPr>
                <w:rFonts w:ascii="Times New Roman" w:eastAsia="新細明體" w:hAnsi="Times New Roman" w:cs="Times New Roman"/>
                <w:lang w:eastAsia="zh-TW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eastAsia="zh-TW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eastAsia="zh-TW"/>
                      </w:rPr>
                      <m:t>H</m:t>
                    </m:r>
                  </m:sub>
                </m:sSub>
              </m:oMath>
            </m:oMathPara>
          </w:p>
          <w:p w14:paraId="1C260745" w14:textId="58B37771" w:rsidR="00957D24" w:rsidRPr="003701CD" w:rsidRDefault="00957D24" w:rsidP="00957D24">
            <w:pPr>
              <w:jc w:val="center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957D24" w:rsidRPr="003701CD" w14:paraId="0A0963CD" w14:textId="77777777" w:rsidTr="00AF1E1D">
        <w:trPr>
          <w:trHeight w:val="224"/>
        </w:trPr>
        <w:tc>
          <w:tcPr>
            <w:tcW w:w="166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EDC48" w14:textId="77777777" w:rsidR="00957D24" w:rsidRPr="003701CD" w:rsidRDefault="00957D24" w:rsidP="00957D24">
            <w:pPr>
              <w:jc w:val="center"/>
              <w:rPr>
                <w:rFonts w:ascii="Times New Roman" w:eastAsia="新細明體" w:hAnsi="Times New Roman" w:cs="Times New Roman"/>
              </w:rPr>
            </w:pPr>
          </w:p>
        </w:tc>
        <w:tc>
          <w:tcPr>
            <w:tcW w:w="166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57F0F" w14:textId="77777777" w:rsidR="00957D24" w:rsidRPr="003701CD" w:rsidRDefault="00957D24" w:rsidP="00957D2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85889" w14:textId="77FA162B" w:rsidR="00957D24" w:rsidRPr="003701CD" w:rsidRDefault="00957D24" w:rsidP="00957D24">
            <w:pPr>
              <w:jc w:val="center"/>
              <w:rPr>
                <w:rFonts w:ascii="Times New Roman" w:eastAsia="新細明體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eastAsia="zh-TW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eastAsia="zh-TW"/>
                      </w:rPr>
                      <m:t>L</m:t>
                    </m:r>
                  </m:sub>
                </m:sSub>
              </m:oMath>
            </m:oMathPara>
          </w:p>
        </w:tc>
      </w:tr>
      <w:tr w:rsidR="00957D24" w:rsidRPr="003701CD" w14:paraId="4CD0B814" w14:textId="77777777" w:rsidTr="00957D24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97202" w14:textId="69482EBE" w:rsidR="00957D24" w:rsidRPr="003701CD" w:rsidRDefault="00957D24" w:rsidP="00957D24">
            <w:pPr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3701CD">
              <w:rPr>
                <w:rFonts w:ascii="Times New Roman" w:eastAsia="新細明體" w:hAnsi="Times New Roman" w:cs="Times New Roman"/>
                <w:lang w:eastAsia="zh-TW"/>
              </w:rPr>
              <w:t>Transition rate (ON to OFF)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CEDBD" w14:textId="41113CA4" w:rsidR="00957D24" w:rsidRPr="003701CD" w:rsidRDefault="00957D24" w:rsidP="00957D24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="Yu Mincho" w:hAnsi="Cambria Math" w:cs="Times New Roman"/>
                    <w:szCs w:val="24"/>
                    <w:lang w:eastAsia="ja-JP"/>
                  </w:rPr>
                  <m:t>α</m:t>
                </m:r>
              </m:oMath>
            </m:oMathPara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79309" w14:textId="1CAEE6BF" w:rsidR="00957D24" w:rsidRPr="003701CD" w:rsidRDefault="00957D24" w:rsidP="00957D24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="Yu Mincho" w:hAnsi="Cambria Math" w:cs="Times New Roman"/>
                    <w:szCs w:val="24"/>
                    <w:lang w:eastAsia="ja-JP"/>
                  </w:rPr>
                  <m:t>α</m:t>
                </m:r>
              </m:oMath>
            </m:oMathPara>
          </w:p>
        </w:tc>
      </w:tr>
      <w:tr w:rsidR="00957D24" w:rsidRPr="003701CD" w14:paraId="14C5F72D" w14:textId="77777777" w:rsidTr="00957D24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08CFE" w14:textId="27D2C9CD" w:rsidR="00957D24" w:rsidRPr="003701CD" w:rsidRDefault="00957D24" w:rsidP="00957D24">
            <w:pPr>
              <w:jc w:val="center"/>
              <w:rPr>
                <w:rFonts w:ascii="Times New Roman" w:hAnsi="Times New Roman" w:cs="Times New Roman"/>
              </w:rPr>
            </w:pPr>
            <w:r w:rsidRPr="003701CD">
              <w:rPr>
                <w:rFonts w:ascii="Times New Roman" w:eastAsia="新細明體" w:hAnsi="Times New Roman" w:cs="Times New Roman"/>
                <w:lang w:eastAsia="zh-TW"/>
              </w:rPr>
              <w:t>Transition rate (OFF to ON)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206D3" w14:textId="0BB7DB59" w:rsidR="00957D24" w:rsidRPr="003701CD" w:rsidRDefault="00957D24" w:rsidP="00957D24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β</m:t>
                </m:r>
              </m:oMath>
            </m:oMathPara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DD94B" w14:textId="2766A53F" w:rsidR="00957D24" w:rsidRPr="003701CD" w:rsidRDefault="00957D24" w:rsidP="00957D24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β</m:t>
                </m:r>
              </m:oMath>
            </m:oMathPara>
          </w:p>
        </w:tc>
      </w:tr>
    </w:tbl>
    <w:p w14:paraId="74B50002" w14:textId="2F84F2A4" w:rsidR="00D15111" w:rsidRPr="003701CD" w:rsidRDefault="00200C77" w:rsidP="00200C77">
      <w:pPr>
        <w:pStyle w:val="ab"/>
        <w:rPr>
          <w:rFonts w:ascii="Times New Roman" w:eastAsia="新細明體" w:hAnsi="Times New Roman" w:cs="Times New Roman"/>
          <w:kern w:val="0"/>
          <w:szCs w:val="24"/>
        </w:rPr>
      </w:pPr>
      <w:r w:rsidRPr="003701CD">
        <w:rPr>
          <w:rFonts w:ascii="Times New Roman" w:hAnsi="Times New Roman" w:cs="Times New Roman"/>
        </w:rPr>
        <w:t xml:space="preserve">Table </w:t>
      </w:r>
      <w:r w:rsidRPr="003701CD">
        <w:rPr>
          <w:rFonts w:ascii="Times New Roman" w:hAnsi="Times New Roman" w:cs="Times New Roman"/>
        </w:rPr>
        <w:fldChar w:fldCharType="begin"/>
      </w:r>
      <w:r w:rsidRPr="003701CD">
        <w:rPr>
          <w:rFonts w:ascii="Times New Roman" w:hAnsi="Times New Roman" w:cs="Times New Roman"/>
        </w:rPr>
        <w:instrText xml:space="preserve"> STYLEREF 1 \s </w:instrText>
      </w:r>
      <w:r w:rsidRPr="003701CD">
        <w:rPr>
          <w:rFonts w:ascii="Times New Roman" w:hAnsi="Times New Roman" w:cs="Times New Roman"/>
        </w:rPr>
        <w:fldChar w:fldCharType="separate"/>
      </w:r>
      <w:r w:rsidRPr="003701CD">
        <w:rPr>
          <w:rFonts w:ascii="Times New Roman" w:hAnsi="Times New Roman" w:cs="Times New Roman"/>
          <w:noProof/>
        </w:rPr>
        <w:t>3</w:t>
      </w:r>
      <w:r w:rsidRPr="003701CD">
        <w:rPr>
          <w:rFonts w:ascii="Times New Roman" w:hAnsi="Times New Roman" w:cs="Times New Roman"/>
        </w:rPr>
        <w:fldChar w:fldCharType="end"/>
      </w:r>
      <w:r w:rsidRPr="003701CD">
        <w:rPr>
          <w:rFonts w:ascii="Times New Roman" w:hAnsi="Times New Roman" w:cs="Times New Roman"/>
        </w:rPr>
        <w:t>.</w:t>
      </w:r>
      <w:r w:rsidRPr="003701CD">
        <w:rPr>
          <w:rFonts w:ascii="Times New Roman" w:hAnsi="Times New Roman" w:cs="Times New Roman"/>
        </w:rPr>
        <w:fldChar w:fldCharType="begin"/>
      </w:r>
      <w:r w:rsidRPr="003701CD">
        <w:rPr>
          <w:rFonts w:ascii="Times New Roman" w:hAnsi="Times New Roman" w:cs="Times New Roman"/>
        </w:rPr>
        <w:instrText xml:space="preserve"> SEQ Table \* ARABIC \s 1 </w:instrText>
      </w:r>
      <w:r w:rsidRPr="003701CD">
        <w:rPr>
          <w:rFonts w:ascii="Times New Roman" w:hAnsi="Times New Roman" w:cs="Times New Roman"/>
        </w:rPr>
        <w:fldChar w:fldCharType="separate"/>
      </w:r>
      <w:r w:rsidRPr="003701CD">
        <w:rPr>
          <w:rFonts w:ascii="Times New Roman" w:hAnsi="Times New Roman" w:cs="Times New Roman"/>
          <w:noProof/>
        </w:rPr>
        <w:t>1</w:t>
      </w:r>
      <w:r w:rsidRPr="003701CD">
        <w:rPr>
          <w:rFonts w:ascii="Times New Roman" w:hAnsi="Times New Roman" w:cs="Times New Roman"/>
        </w:rPr>
        <w:fldChar w:fldCharType="end"/>
      </w:r>
      <w:r w:rsidRPr="003701CD">
        <w:rPr>
          <w:rFonts w:ascii="Times New Roman" w:eastAsia="新細明體" w:hAnsi="Times New Roman" w:cs="Times New Roman"/>
          <w:color w:val="FF0000"/>
          <w:kern w:val="0"/>
          <w:szCs w:val="24"/>
        </w:rPr>
        <w:t xml:space="preserve"> </w:t>
      </w:r>
      <w:r w:rsidRPr="003701CD">
        <w:rPr>
          <w:rFonts w:ascii="Times New Roman" w:eastAsia="新細明體" w:hAnsi="Times New Roman" w:cs="Times New Roman"/>
          <w:color w:val="4472C4" w:themeColor="accent1"/>
          <w:kern w:val="0"/>
          <w:szCs w:val="24"/>
        </w:rPr>
        <w:t>The parameters used in different scenarios</w:t>
      </w:r>
    </w:p>
    <w:sectPr w:rsidR="00D15111" w:rsidRPr="003701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1B990" w14:textId="77777777" w:rsidR="0048038B" w:rsidRDefault="0048038B" w:rsidP="00D15111">
      <w:r>
        <w:separator/>
      </w:r>
    </w:p>
  </w:endnote>
  <w:endnote w:type="continuationSeparator" w:id="0">
    <w:p w14:paraId="60606FE5" w14:textId="77777777" w:rsidR="0048038B" w:rsidRDefault="0048038B" w:rsidP="00D15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86D69" w14:textId="77777777" w:rsidR="0048038B" w:rsidRDefault="0048038B" w:rsidP="00D15111">
      <w:r>
        <w:separator/>
      </w:r>
    </w:p>
  </w:footnote>
  <w:footnote w:type="continuationSeparator" w:id="0">
    <w:p w14:paraId="5EB46947" w14:textId="77777777" w:rsidR="0048038B" w:rsidRDefault="0048038B" w:rsidP="00D151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40E96"/>
    <w:multiLevelType w:val="hybridMultilevel"/>
    <w:tmpl w:val="AB56871A"/>
    <w:lvl w:ilvl="0" w:tplc="E6DC1ED8">
      <w:start w:val="3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BA7"/>
    <w:rsid w:val="00137BA7"/>
    <w:rsid w:val="00200C77"/>
    <w:rsid w:val="002101E3"/>
    <w:rsid w:val="002865DC"/>
    <w:rsid w:val="003701CD"/>
    <w:rsid w:val="0048038B"/>
    <w:rsid w:val="007909F8"/>
    <w:rsid w:val="0095607E"/>
    <w:rsid w:val="00957D24"/>
    <w:rsid w:val="009E0718"/>
    <w:rsid w:val="00B86C6B"/>
    <w:rsid w:val="00BA0438"/>
    <w:rsid w:val="00C822A2"/>
    <w:rsid w:val="00D15111"/>
    <w:rsid w:val="00D55D98"/>
    <w:rsid w:val="00DD61CD"/>
    <w:rsid w:val="00FB18A3"/>
    <w:rsid w:val="00FB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782A8A"/>
  <w15:chartTrackingRefBased/>
  <w15:docId w15:val="{B6AF8E0D-85CE-4EF0-8C8D-ADC545CF8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BA7"/>
    <w:pPr>
      <w:widowControl w:val="0"/>
    </w:pPr>
  </w:style>
  <w:style w:type="paragraph" w:styleId="1">
    <w:name w:val="heading 1"/>
    <w:basedOn w:val="a0"/>
    <w:next w:val="a"/>
    <w:link w:val="10"/>
    <w:uiPriority w:val="9"/>
    <w:qFormat/>
    <w:rsid w:val="002865DC"/>
    <w:pPr>
      <w:outlineLv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Web">
    <w:name w:val="Normal (Web)"/>
    <w:basedOn w:val="a"/>
    <w:link w:val="Web0"/>
    <w:uiPriority w:val="99"/>
    <w:semiHidden/>
    <w:unhideWhenUsed/>
    <w:rsid w:val="00137BA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Placeholder Text"/>
    <w:basedOn w:val="a1"/>
    <w:uiPriority w:val="99"/>
    <w:semiHidden/>
    <w:rsid w:val="00137BA7"/>
    <w:rPr>
      <w:color w:val="808080"/>
    </w:rPr>
  </w:style>
  <w:style w:type="paragraph" w:styleId="a5">
    <w:name w:val="header"/>
    <w:basedOn w:val="a"/>
    <w:link w:val="a6"/>
    <w:uiPriority w:val="99"/>
    <w:unhideWhenUsed/>
    <w:rsid w:val="00D151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uiPriority w:val="99"/>
    <w:rsid w:val="00D1511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151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D15111"/>
    <w:rPr>
      <w:sz w:val="20"/>
      <w:szCs w:val="20"/>
    </w:rPr>
  </w:style>
  <w:style w:type="table" w:styleId="a9">
    <w:name w:val="Table Grid"/>
    <w:basedOn w:val="a2"/>
    <w:uiPriority w:val="59"/>
    <w:rsid w:val="00D15111"/>
    <w:rPr>
      <w:rFonts w:eastAsia="Times New Roman"/>
      <w:kern w:val="0"/>
      <w:sz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大標題"/>
    <w:basedOn w:val="Web"/>
    <w:link w:val="aa"/>
    <w:rsid w:val="0095607E"/>
    <w:pPr>
      <w:jc w:val="both"/>
    </w:pPr>
    <w:rPr>
      <w:rFonts w:ascii="Times New Roman" w:hAnsi="Times New Roman" w:cs="Times New Roman"/>
      <w:sz w:val="32"/>
      <w:szCs w:val="32"/>
    </w:rPr>
  </w:style>
  <w:style w:type="character" w:customStyle="1" w:styleId="10">
    <w:name w:val="標題 1 字元"/>
    <w:basedOn w:val="a1"/>
    <w:link w:val="1"/>
    <w:uiPriority w:val="9"/>
    <w:rsid w:val="002865DC"/>
    <w:rPr>
      <w:rFonts w:ascii="Times New Roman" w:eastAsia="新細明體" w:hAnsi="Times New Roman" w:cs="Times New Roman"/>
      <w:kern w:val="0"/>
      <w:sz w:val="32"/>
      <w:szCs w:val="32"/>
    </w:rPr>
  </w:style>
  <w:style w:type="character" w:customStyle="1" w:styleId="Web0">
    <w:name w:val="內文 (Web) 字元"/>
    <w:basedOn w:val="a1"/>
    <w:link w:val="Web"/>
    <w:uiPriority w:val="99"/>
    <w:semiHidden/>
    <w:rsid w:val="0095607E"/>
    <w:rPr>
      <w:rFonts w:ascii="新細明體" w:eastAsia="新細明體" w:hAnsi="新細明體" w:cs="新細明體"/>
      <w:kern w:val="0"/>
      <w:szCs w:val="24"/>
    </w:rPr>
  </w:style>
  <w:style w:type="character" w:customStyle="1" w:styleId="aa">
    <w:name w:val="大標題 字元"/>
    <w:basedOn w:val="Web0"/>
    <w:link w:val="a0"/>
    <w:rsid w:val="0095607E"/>
    <w:rPr>
      <w:rFonts w:ascii="Times New Roman" w:eastAsia="新細明體" w:hAnsi="Times New Roman" w:cs="Times New Roman"/>
      <w:kern w:val="0"/>
      <w:sz w:val="32"/>
      <w:szCs w:val="32"/>
    </w:rPr>
  </w:style>
  <w:style w:type="paragraph" w:styleId="ab">
    <w:name w:val="caption"/>
    <w:basedOn w:val="a"/>
    <w:next w:val="a"/>
    <w:uiPriority w:val="35"/>
    <w:unhideWhenUsed/>
    <w:qFormat/>
    <w:rsid w:val="0095607E"/>
    <w:rPr>
      <w:sz w:val="20"/>
      <w:szCs w:val="20"/>
    </w:rPr>
  </w:style>
  <w:style w:type="paragraph" w:styleId="ac">
    <w:name w:val="table of figures"/>
    <w:basedOn w:val="a"/>
    <w:next w:val="a"/>
    <w:uiPriority w:val="99"/>
    <w:unhideWhenUsed/>
    <w:rsid w:val="002865DC"/>
    <w:pPr>
      <w:ind w:leftChars="400" w:left="400" w:hangingChars="200" w:hanging="200"/>
    </w:pPr>
  </w:style>
  <w:style w:type="character" w:styleId="ad">
    <w:name w:val="Hyperlink"/>
    <w:basedOn w:val="a1"/>
    <w:uiPriority w:val="99"/>
    <w:unhideWhenUsed/>
    <w:rsid w:val="002865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7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1A553-5DA3-4FEF-808D-7B393B323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2</Pages>
  <Words>534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怡翔 蔡</dc:creator>
  <cp:keywords/>
  <dc:description/>
  <cp:lastModifiedBy>怡翔 蔡</cp:lastModifiedBy>
  <cp:revision>11</cp:revision>
  <dcterms:created xsi:type="dcterms:W3CDTF">2025-04-21T08:02:00Z</dcterms:created>
  <dcterms:modified xsi:type="dcterms:W3CDTF">2025-04-23T07:50:00Z</dcterms:modified>
</cp:coreProperties>
</file>