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50D3" w14:textId="77777777" w:rsidR="000A7ADF" w:rsidRPr="00D90800" w:rsidRDefault="000A7ADF" w:rsidP="000A7ADF">
      <w:pPr>
        <w:pStyle w:val="1"/>
      </w:pPr>
      <w:bookmarkStart w:id="0" w:name="_Hlk199939111"/>
      <w:r w:rsidRPr="00D90800">
        <w:t>Numerical Results</w:t>
      </w:r>
    </w:p>
    <w:p w14:paraId="368262CE" w14:textId="77777777" w:rsidR="000A7ADF" w:rsidRPr="00D90800" w:rsidRDefault="000A7ADF" w:rsidP="000A7ADF">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In this chapter, we present the numerical results derived from both the analytical model and the simulation model, covering four distinct blockchain queuing scenarios. Each scenario has two queues, which are customer queue and the block queue, operating under varying combinations of customer class structures and impatience behavior.</w:t>
      </w:r>
    </w:p>
    <w:p w14:paraId="43153C7F" w14:textId="77777777" w:rsidR="000A7ADF" w:rsidRPr="00D90800" w:rsidRDefault="000A7ADF" w:rsidP="000A7ADF">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The first scenario models a single-class customer system without impatience, serving as a baseline configuration with First-Come-First-Served (FCFS) discipline and no abandonment. The second scenario introduces two classes of customers with non-preemptive priority, distinguishing high-priority and low-priority customers in both queuing and service procedures. In the third scenario, we revisit the single-class setting while incorporating impatience behavior, where customers may abandon the system after a random impatience threshold. Finally, the fourth scenario combines both priority and impatience, modeling a two-class customer system with distinct abandonment rates and non-preemptive priority rules.</w:t>
      </w:r>
    </w:p>
    <w:p w14:paraId="20BEAECD" w14:textId="77777777" w:rsidR="000A7ADF" w:rsidRPr="00D90800" w:rsidRDefault="000A7ADF" w:rsidP="000A7ADF">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Across all scenarios, the blockchain service is influenced by ON/OFF operational states and employs a partial batch policy during block generation. Performance metrics such as throughput, blocking probability, waiting time, and impatient rate (where applicable) are computed and compared under varying parameter configurations. These results provide a comprehensive view of how priority, impatience, and system reliability jointly impact the overall performance of blockchain-based queuing systems.</w:t>
      </w:r>
    </w:p>
    <w:p w14:paraId="4E44C012" w14:textId="77777777" w:rsidR="000A7ADF" w:rsidRPr="00D90800" w:rsidRDefault="000A7ADF" w:rsidP="000A7ADF">
      <w:pPr>
        <w:pStyle w:val="2"/>
      </w:pPr>
      <w:r w:rsidRPr="00D90800">
        <w:t>Scenario 1: Single-Class Customer without Impatience</w:t>
      </w:r>
    </w:p>
    <w:p w14:paraId="3E8944F6" w14:textId="77777777" w:rsidR="000A7ADF" w:rsidRDefault="000A7ADF" w:rsidP="000A7ADF">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 xml:space="preserve">The default values are as provided as below: </w:t>
      </w:r>
      <m:oMath>
        <m:r>
          <w:rPr>
            <w:rFonts w:ascii="Cambria Math" w:hAnsi="Cambria Math" w:cs="Times New Roman"/>
          </w:rPr>
          <m:t>λ</m:t>
        </m:r>
        <m:r>
          <m:rPr>
            <m:sty m:val="p"/>
          </m:rPr>
          <w:rPr>
            <w:rFonts w:ascii="Cambria Math" w:hAnsi="Cambria Math" w:cs="Times New Roman"/>
          </w:rPr>
          <m:t>=20</m:t>
        </m:r>
      </m:oMath>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m:rPr>
            <m:sty m:val="p"/>
          </m:rPr>
          <w:rPr>
            <w:rFonts w:ascii="Cambria Math" w:hAnsi="Cambria Math" w:cs="Times New Roman"/>
          </w:rPr>
          <m:t>=20</m:t>
        </m:r>
      </m:oMath>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m:rPr>
            <m:sty m:val="p"/>
          </m:rPr>
          <w:rPr>
            <w:rFonts w:ascii="Cambria Math" w:hAnsi="Cambria Math" w:cs="Times New Roman"/>
          </w:rPr>
          <m:t>=20</m:t>
        </m:r>
      </m:oMath>
      <w:r w:rsidRPr="00D90800">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D90800">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D90800">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D90800">
        <w:rPr>
          <w:rFonts w:ascii="Times New Roman" w:hAnsi="Times New Roman" w:cs="Times New Roman"/>
        </w:rPr>
        <w:t>.</w:t>
      </w:r>
    </w:p>
    <w:p w14:paraId="332763B7" w14:textId="77777777" w:rsidR="000A7ADF" w:rsidRPr="00D90800" w:rsidRDefault="000A7ADF" w:rsidP="000A7ADF">
      <w:pPr>
        <w:pStyle w:val="3"/>
      </w:pPr>
      <w:r>
        <w:t>Block size</w:t>
      </w:r>
    </w:p>
    <w:p w14:paraId="09292EDD" w14:textId="77777777" w:rsidR="000A7ADF" w:rsidRDefault="000A7ADF" w:rsidP="000A7ADF">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_Ref199343251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1</w:t>
      </w:r>
      <w:r w:rsidRPr="00D90800">
        <w:rPr>
          <w:rFonts w:ascii="Times New Roman" w:hAnsi="Times New Roman" w:cs="Times New Roman"/>
        </w:rPr>
        <w:fldChar w:fldCharType="end"/>
      </w:r>
      <w:r w:rsidRPr="00D90800">
        <w:rPr>
          <w:rFonts w:ascii="Times New Roman" w:hAnsi="Times New Roman" w:cs="Times New Roman"/>
        </w:rPr>
        <w:t xml:space="preserve"> to </w:t>
      </w:r>
      <w:r w:rsidRPr="00D90800">
        <w:rPr>
          <w:rFonts w:ascii="Times New Roman" w:hAnsi="Times New Roman" w:cs="Times New Roman"/>
        </w:rPr>
        <w:fldChar w:fldCharType="begin"/>
      </w:r>
      <w:r w:rsidRPr="00D90800">
        <w:rPr>
          <w:rFonts w:ascii="Times New Roman" w:hAnsi="Times New Roman" w:cs="Times New Roman"/>
        </w:rPr>
        <w:instrText xml:space="preserve"> REF _Ref199416603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6</w:t>
      </w:r>
      <w:r w:rsidRPr="00D90800">
        <w:rPr>
          <w:rFonts w:ascii="Times New Roman" w:hAnsi="Times New Roman" w:cs="Times New Roman"/>
        </w:rPr>
        <w:fldChar w:fldCharType="end"/>
      </w:r>
      <w:r w:rsidRPr="00D90800">
        <w:rPr>
          <w:rFonts w:ascii="Times New Roman" w:hAnsi="Times New Roman" w:cs="Times New Roman"/>
        </w:rPr>
        <w:t xml:space="preserve"> show the relationship between various performance metrics and the block size</w:t>
      </w:r>
      <w:r>
        <w:rPr>
          <w:rFonts w:ascii="Times New Roman" w:hAnsi="Times New Roman" w:cs="Times New Roman"/>
        </w:rPr>
        <w:t xml:space="preserve"> </w:t>
      </w:r>
      <m:oMath>
        <m:r>
          <w:rPr>
            <w:rFonts w:ascii="Cambria Math" w:hAnsi="Cambria Math" w:cs="Times New Roman"/>
          </w:rPr>
          <m:t>b</m:t>
        </m:r>
      </m:oMath>
      <w:r w:rsidRPr="00D90800">
        <w:rPr>
          <w:rFonts w:ascii="Times New Roman" w:hAnsi="Times New Roman" w:cs="Times New Roman"/>
        </w:rPr>
        <w:t>. Both simulation results and analytical results are shown for comparison.</w:t>
      </w:r>
    </w:p>
    <w:p w14:paraId="0BF77D6D" w14:textId="77777777" w:rsidR="000A7ADF" w:rsidRPr="00D90800" w:rsidRDefault="000A7ADF" w:rsidP="000A7ADF">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_Ref199343251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1</w:t>
      </w:r>
      <w:r w:rsidRPr="00D90800">
        <w:rPr>
          <w:rFonts w:ascii="Times New Roman" w:hAnsi="Times New Roman" w:cs="Times New Roman"/>
        </w:rPr>
        <w:fldChar w:fldCharType="end"/>
      </w:r>
      <w:r w:rsidRPr="000E3AC9">
        <w:rPr>
          <w:rFonts w:ascii="Times New Roman" w:hAnsi="Times New Roman" w:cs="Times New Roman"/>
        </w:rPr>
        <w:t xml:space="preserve"> </w:t>
      </w:r>
      <w:r w:rsidRPr="00D90800">
        <w:rPr>
          <w:rFonts w:ascii="Times New Roman" w:hAnsi="Times New Roman" w:cs="Times New Roman"/>
        </w:rPr>
        <w:t xml:space="preserve">illustrates the impact of the block size </w:t>
      </w:r>
      <m:oMath>
        <m:r>
          <w:rPr>
            <w:rFonts w:ascii="Cambria Math" w:hAnsi="Cambria Math" w:cs="Times New Roman"/>
          </w:rPr>
          <m:t>b</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r>
          <w:rPr>
            <w:rFonts w:ascii="Cambria Math" w:hAnsi="Cambria Math" w:cs="Times New Roman"/>
          </w:rPr>
          <m:t>b</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sidRPr="00D90800">
        <w:rPr>
          <w:rFonts w:ascii="Times New Roman" w:hAnsi="Times New Roman" w:cs="Times New Roman"/>
        </w:rPr>
        <w:t>decreases</w:t>
      </w:r>
      <w:r>
        <w:rPr>
          <w:rFonts w:ascii="Times New Roman" w:hAnsi="Times New Roman" w:cs="Times New Roman"/>
        </w:rPr>
        <w:t xml:space="preserve"> significantly, particularly </w:t>
      </w:r>
      <w:r>
        <w:rPr>
          <w:rFonts w:ascii="Times New Roman" w:hAnsi="Times New Roman" w:cs="Times New Roman"/>
        </w:rPr>
        <w:lastRenderedPageBreak/>
        <w:t>at smaller block size</w:t>
      </w:r>
      <w:r w:rsidRPr="00D90800">
        <w:rPr>
          <w:rFonts w:ascii="Times New Roman" w:hAnsi="Times New Roman" w:cs="Times New Roman"/>
        </w:rPr>
        <w:t xml:space="preserve">. This is because larger blocks allow more customers to be served per </w:t>
      </w:r>
      <w:r>
        <w:rPr>
          <w:rFonts w:ascii="Times New Roman" w:hAnsi="Times New Roman" w:cs="Times New Roman"/>
        </w:rPr>
        <w:t>service</w:t>
      </w:r>
      <w:r w:rsidRPr="00D90800">
        <w:rPr>
          <w:rFonts w:ascii="Times New Roman" w:hAnsi="Times New Roman" w:cs="Times New Roman"/>
        </w:rPr>
        <w:t xml:space="preserve"> cycle, thereby reducing the time customers spend waiting in the queue.</w:t>
      </w:r>
      <w:r w:rsidRPr="00D90800">
        <w:rPr>
          <w:rFonts w:ascii="Times New Roman" w:hAnsi="Times New Roman" w:cs="Times New Roman"/>
          <w:kern w:val="0"/>
        </w:rPr>
        <w:t xml:space="preserve"> Lastly, the analytical results are in good agreement with the simulation results.</w:t>
      </w:r>
    </w:p>
    <w:p w14:paraId="3093675C" w14:textId="77777777" w:rsidR="000A7ADF" w:rsidRPr="00B31646" w:rsidRDefault="000A7ADF" w:rsidP="000A7ADF">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_Ref199415669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Figure 5</w:t>
      </w:r>
      <w:r w:rsidRPr="00D90800">
        <w:rPr>
          <w:rFonts w:ascii="Times New Roman" w:hAnsi="Times New Roman" w:cs="Times New Roman"/>
        </w:rPr>
        <w:noBreakHyphen/>
        <w:t>2</w:t>
      </w:r>
      <w:r w:rsidRPr="00D90800">
        <w:rPr>
          <w:rFonts w:ascii="Times New Roman" w:hAnsi="Times New Roman" w:cs="Times New Roman"/>
        </w:rPr>
        <w:fldChar w:fldCharType="end"/>
      </w:r>
      <w:r w:rsidRPr="00D90800">
        <w:rPr>
          <w:rFonts w:ascii="Times New Roman" w:hAnsi="Times New Roman" w:cs="Times New Roman"/>
        </w:rPr>
        <w:t xml:space="preserve"> illustrates the impact of the block size </w:t>
      </w:r>
      <m:oMath>
        <m:r>
          <w:rPr>
            <w:rFonts w:ascii="Cambria Math" w:hAnsi="Cambria Math" w:cs="Times New Roman"/>
          </w:rPr>
          <m:t>b</m:t>
        </m:r>
      </m:oMath>
      <w:r w:rsidRPr="00D90800">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As </w:t>
      </w:r>
      <m:oMath>
        <m:r>
          <w:rPr>
            <w:rFonts w:ascii="Cambria Math" w:hAnsi="Cambria Math" w:cs="Times New Roman"/>
          </w:rPr>
          <m:t>b</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w:t>
      </w:r>
      <w:proofErr w:type="spellStart"/>
      <w:r w:rsidRPr="00D90800">
        <w:rPr>
          <w:rFonts w:ascii="Times New Roman" w:hAnsi="Times New Roman" w:cs="Times New Roman"/>
        </w:rPr>
        <w:t>stant</w:t>
      </w:r>
      <w:proofErr w:type="spellEnd"/>
      <w:r>
        <w:rPr>
          <w:rFonts w:ascii="Times New Roman" w:hAnsi="Times New Roman" w:cs="Times New Roman"/>
        </w:rPr>
        <w:t xml:space="preserve">. This </w:t>
      </w:r>
      <w:r w:rsidRPr="00D90800">
        <w:rPr>
          <w:rFonts w:ascii="Times New Roman" w:hAnsi="Times New Roman" w:cs="Times New Roman"/>
        </w:rPr>
        <w:t>indicat</w:t>
      </w:r>
      <w:r>
        <w:rPr>
          <w:rFonts w:ascii="Times New Roman" w:hAnsi="Times New Roman" w:cs="Times New Roman"/>
        </w:rPr>
        <w:t>es</w:t>
      </w:r>
      <w:r w:rsidRPr="00D90800">
        <w:rPr>
          <w:rFonts w:ascii="Times New Roman" w:hAnsi="Times New Roman" w:cs="Times New Roman"/>
        </w:rPr>
        <w:t xml:space="preserve"> that the </w:t>
      </w:r>
      <w:r>
        <w:rPr>
          <w:rFonts w:ascii="Times New Roman" w:hAnsi="Times New Roman" w:cs="Times New Roman"/>
        </w:rPr>
        <w:t>time each block spends in the consensus queue is determined by the consensus rate and system s</w:t>
      </w:r>
      <w:r w:rsidRPr="00B31646">
        <w:rPr>
          <w:rFonts w:ascii="Times New Roman" w:hAnsi="Times New Roman" w:cs="Times New Roman"/>
        </w:rPr>
        <w:t>tate transition rate, and</w:t>
      </w:r>
      <w:r w:rsidRPr="00B31646">
        <w:rPr>
          <w:rFonts w:ascii="Times New Roman" w:hAnsi="Times New Roman" w:cs="Times New Roman" w:hint="eastAsia"/>
        </w:rPr>
        <w:t xml:space="preserve"> </w:t>
      </w:r>
      <w:r w:rsidRPr="00B31646">
        <w:rPr>
          <w:rFonts w:ascii="Times New Roman" w:hAnsi="Times New Roman" w:cs="Times New Roman"/>
        </w:rPr>
        <w:t xml:space="preserve">is independent of block size. </w:t>
      </w:r>
      <w:r w:rsidRPr="00B31646">
        <w:rPr>
          <w:rFonts w:ascii="Times New Roman" w:hAnsi="Times New Roman" w:cs="Times New Roman"/>
          <w:kern w:val="0"/>
        </w:rPr>
        <w:t>Lastly, the analytical results are in good agreement with the simulation results.</w:t>
      </w:r>
    </w:p>
    <w:p w14:paraId="21F10712" w14:textId="77777777" w:rsidR="000A7ADF" w:rsidRPr="00B31646" w:rsidRDefault="000A7ADF" w:rsidP="000A7ADF">
      <w:pPr>
        <w:spacing w:before="100" w:beforeAutospacing="1" w:after="100" w:afterAutospacing="1"/>
        <w:ind w:firstLine="482"/>
        <w:jc w:val="both"/>
        <w:rPr>
          <w:rFonts w:ascii="Times New Roman" w:hAnsi="Times New Roman" w:cs="Times New Roman"/>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_Ref199416009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3</w:t>
      </w:r>
      <w:r w:rsidRPr="00B31646">
        <w:rPr>
          <w:rFonts w:ascii="Times New Roman" w:hAnsi="Times New Roman" w:cs="Times New Roman"/>
        </w:rPr>
        <w:fldChar w:fldCharType="end"/>
      </w:r>
      <w:r w:rsidRPr="00B31646">
        <w:rPr>
          <w:rFonts w:ascii="Times New Roman" w:hAnsi="Times New Roman" w:cs="Times New Roman" w:hint="eastAsia"/>
        </w:rPr>
        <w:t xml:space="preserve"> </w:t>
      </w:r>
      <w:r w:rsidRPr="00B31646">
        <w:rPr>
          <w:rFonts w:ascii="Times New Roman" w:hAnsi="Times New Roman" w:cs="Times New Roman"/>
        </w:rPr>
        <w:t xml:space="preserve">illustrates the impact of the block size </w:t>
      </w:r>
      <m:oMath>
        <m:r>
          <w:rPr>
            <w:rFonts w:ascii="Cambria Math" w:hAnsi="Cambria Math" w:cs="Times New Roman"/>
          </w:rPr>
          <m:t>b</m:t>
        </m:r>
      </m:oMath>
      <w:r w:rsidRPr="00B31646">
        <w:rPr>
          <w:rFonts w:ascii="Times New Roman" w:hAnsi="Times New Roman" w:cs="Times New Roman"/>
        </w:rPr>
        <w:t xml:space="preserve"> on the average waiting time in the system (</w:t>
      </w:r>
      <m:oMath>
        <m:r>
          <w:rPr>
            <w:rFonts w:ascii="Cambria Math" w:hAnsi="Cambria Math" w:cs="Times New Roman"/>
          </w:rPr>
          <m:t>W</m:t>
        </m:r>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r>
          <w:rPr>
            <w:rFonts w:ascii="Cambria Math" w:hAnsi="Cambria Math" w:cs="Times New Roman"/>
          </w:rPr>
          <m:t>W</m:t>
        </m:r>
      </m:oMath>
      <w:r w:rsidRPr="00B31646">
        <w:rPr>
          <w:rFonts w:ascii="Times New Roman" w:hAnsi="Times New Roman" w:cs="Times New Roman" w:hint="eastAsia"/>
        </w:rPr>
        <w:t xml:space="preserve"> </w:t>
      </w:r>
      <w:r w:rsidRPr="00B31646">
        <w:rPr>
          <w:rFonts w:ascii="Times New Roman" w:hAnsi="Times New Roman" w:cs="Times New Roman"/>
        </w:rPr>
        <w:t>decreases significantly, particularly at smaller block size. This is because larger blocks allow more customers to be served per service cycle, thereby reducing the time customers spend waiting in the queue.</w:t>
      </w:r>
      <w:r w:rsidRPr="00B31646">
        <w:rPr>
          <w:rFonts w:ascii="Times New Roman" w:hAnsi="Times New Roman" w:cs="Times New Roman"/>
          <w:kern w:val="0"/>
        </w:rPr>
        <w:t xml:space="preserve"> Lastly, the analytical results are in good agreement with the simulation results.</w:t>
      </w:r>
    </w:p>
    <w:p w14:paraId="36A8FE6E" w14:textId="77777777" w:rsidR="000A7ADF" w:rsidRPr="00B31646" w:rsidRDefault="000A7ADF" w:rsidP="000A7ADF">
      <w:pPr>
        <w:spacing w:before="100" w:beforeAutospacing="1" w:after="100" w:afterAutospacing="1"/>
        <w:ind w:firstLine="482"/>
        <w:jc w:val="both"/>
        <w:rPr>
          <w:rFonts w:ascii="Times New Roman" w:hAnsi="Times New Roman" w:cs="Times New Roman"/>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_Ref199416217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4</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w:t>
      </w:r>
      <w:proofErr w:type="spellStart"/>
      <w:r w:rsidRPr="00B31646">
        <w:rPr>
          <w:rFonts w:ascii="Times New Roman" w:hAnsi="Times New Roman" w:cs="Times New Roman"/>
        </w:rPr>
        <w:t>reases</w:t>
      </w:r>
      <w:proofErr w:type="spellEnd"/>
      <w:r w:rsidRPr="00B3164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31646">
        <w:rPr>
          <w:rFonts w:ascii="Times New Roman" w:hAnsi="Times New Roman" w:cs="Times New Roman"/>
        </w:rPr>
        <w:t xml:space="preserve"> initially grows and then stabilizes around constant value. This indicates that although larger blocks permit more customers per batch, the average block occupancy tends to saturate </w:t>
      </w:r>
      <w:r w:rsidRPr="00B31646">
        <w:rPr>
          <w:rFonts w:ascii="Times New Roman" w:hAnsi="Times New Roman" w:cs="Times New Roman"/>
          <w:kern w:val="0"/>
        </w:rPr>
        <w:t>when the customer arrival rate is equal to the effective service rate of the customer queue, where the effective service rate of the customer queue is dependent on the block generation rate, the system transition rate, and the average block size. Lastly, the analytical results are in good agreement with the simulation results.</w:t>
      </w:r>
    </w:p>
    <w:p w14:paraId="0C3580FB" w14:textId="77777777" w:rsidR="000A7ADF" w:rsidRPr="00B31646" w:rsidRDefault="000A7ADF" w:rsidP="000A7ADF">
      <w:pPr>
        <w:spacing w:before="100" w:beforeAutospacing="1" w:after="100" w:afterAutospacing="1"/>
        <w:ind w:firstLine="482"/>
        <w:jc w:val="both"/>
        <w:rPr>
          <w:rFonts w:ascii="Times New Roman" w:hAnsi="Times New Roman" w:cs="Times New Roman"/>
          <w:kern w:val="0"/>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_Ref199416301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5</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B31646">
        <w:rPr>
          <w:rFonts w:ascii="Times New Roman" w:hAnsi="Times New Roman" w:cs="Times New Roman"/>
        </w:rPr>
        <w:t xml:space="preserve"> steadily decreases. This is because larger blocks allow more customers to be served per block generation cycle, thereby reducing the chance of the customer queue reaching its capacity limit.</w:t>
      </w:r>
      <w:r w:rsidRPr="00B31646">
        <w:rPr>
          <w:rFonts w:ascii="Times New Roman" w:hAnsi="Times New Roman" w:cs="Times New Roman" w:hint="eastAsia"/>
        </w:rPr>
        <w:t xml:space="preserve"> </w:t>
      </w:r>
      <w:r w:rsidRPr="00B31646">
        <w:rPr>
          <w:rFonts w:ascii="Times New Roman" w:hAnsi="Times New Roman" w:cs="Times New Roman"/>
          <w:kern w:val="0"/>
        </w:rPr>
        <w:t>Lastly, the analytical results are in good agreement with the simulation results.</w:t>
      </w:r>
    </w:p>
    <w:p w14:paraId="7BA1C771" w14:textId="77777777" w:rsidR="000A7ADF" w:rsidRPr="00B31646" w:rsidRDefault="000A7ADF" w:rsidP="000A7ADF">
      <w:pPr>
        <w:spacing w:before="100" w:beforeAutospacing="1" w:after="100" w:afterAutospacing="1"/>
        <w:ind w:firstLine="482"/>
        <w:jc w:val="both"/>
        <w:rPr>
          <w:rFonts w:ascii="Times New Roman" w:hAnsi="Times New Roman" w:cs="Times New Roman"/>
          <w:kern w:val="0"/>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_Ref199416603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6</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B31646">
        <w:t xml:space="preserve"> </w:t>
      </w:r>
      <w:r w:rsidRPr="00B31646">
        <w:rPr>
          <w:rFonts w:ascii="Times New Roman" w:hAnsi="Times New Roman" w:cs="Times New Roman"/>
        </w:rPr>
        <w:t>rises rapidly at first and then gradually saturates. This is because larger blocks enable more customers to be processed per consensus cycle, but the throughput eventually approaches a limit determined by</w:t>
      </w:r>
      <w:r w:rsidRPr="00B31646">
        <w:rPr>
          <w:rFonts w:ascii="Times New Roman" w:hAnsi="Times New Roman" w:cs="Times New Roman"/>
          <w:kern w:val="0"/>
        </w:rPr>
        <w:t xml:space="preserve"> the customer arrival rate, which is less than the system processing capacity. The system processing capacity is decided by the maximum block size, the block generation rate, consensus rate, and system state transition rate.</w:t>
      </w:r>
      <w:r w:rsidRPr="00B31646">
        <w:rPr>
          <w:rFonts w:ascii="Times New Roman" w:hAnsi="Times New Roman" w:cs="Times New Roman"/>
        </w:rPr>
        <w:t xml:space="preserve"> Lastly, the analytical results are in good agreement with the simulation results.</w:t>
      </w:r>
    </w:p>
    <w:p w14:paraId="086D24FA" w14:textId="77777777" w:rsidR="000A7ADF" w:rsidRPr="00B31646" w:rsidRDefault="000A7ADF" w:rsidP="000A7ADF">
      <w:pPr>
        <w:keepNext/>
        <w:jc w:val="center"/>
        <w:rPr>
          <w:rFonts w:ascii="Times New Roman" w:eastAsia="Yu Mincho" w:hAnsi="Times New Roman" w:cs="Times New Roman"/>
          <w:lang w:eastAsia="ja-JP"/>
        </w:rPr>
      </w:pPr>
      <w:r w:rsidRPr="00B31646">
        <w:rPr>
          <w:noProof/>
        </w:rPr>
        <w:lastRenderedPageBreak/>
        <w:drawing>
          <wp:inline distT="0" distB="0" distL="0" distR="0" wp14:anchorId="10A7D6CC" wp14:editId="11E816D8">
            <wp:extent cx="4572000" cy="2762250"/>
            <wp:effectExtent l="0" t="0" r="0" b="0"/>
            <wp:docPr id="49" name="圖表 49">
              <a:extLst xmlns:a="http://schemas.openxmlformats.org/drawingml/2006/main">
                <a:ext uri="{FF2B5EF4-FFF2-40B4-BE49-F238E27FC236}">
                  <a16:creationId xmlns:a16="http://schemas.microsoft.com/office/drawing/2014/main" id="{D754BA12-2849-472C-AB99-B50F1B263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304616" w14:textId="77777777" w:rsidR="000A7ADF" w:rsidRPr="00B31646" w:rsidRDefault="000A7ADF" w:rsidP="000A7ADF">
      <w:pPr>
        <w:pStyle w:val="ad"/>
      </w:pPr>
      <w:bookmarkStart w:id="1" w:name="_Toc199342155"/>
      <w:bookmarkStart w:id="2" w:name="_Ref199343251"/>
      <w:bookmarkStart w:id="3" w:name="_Ref199343247"/>
      <w:r w:rsidRPr="00B31646">
        <w:t xml:space="preserve">Figure </w:t>
      </w:r>
      <w:r w:rsidRPr="00B31646">
        <w:fldChar w:fldCharType="begin"/>
      </w:r>
      <w:r w:rsidRPr="00B31646">
        <w:instrText xml:space="preserve"> STYLEREF 1 \s </w:instrText>
      </w:r>
      <w:r w:rsidRPr="00B31646">
        <w:fldChar w:fldCharType="separate"/>
      </w:r>
      <w:r w:rsidRPr="00B31646">
        <w:rPr>
          <w:noProof/>
        </w:rPr>
        <w:t>5</w:t>
      </w:r>
      <w:r w:rsidRPr="00B31646">
        <w:rPr>
          <w:noProof/>
        </w:rPr>
        <w:fldChar w:fldCharType="end"/>
      </w:r>
      <w:r w:rsidRPr="00B31646">
        <w:noBreakHyphen/>
      </w:r>
      <w:r w:rsidRPr="00B31646">
        <w:fldChar w:fldCharType="begin"/>
      </w:r>
      <w:r w:rsidRPr="00B31646">
        <w:instrText xml:space="preserve"> SEQ Figure \* ARABIC \s 1 </w:instrText>
      </w:r>
      <w:r w:rsidRPr="00B31646">
        <w:fldChar w:fldCharType="separate"/>
      </w:r>
      <w:r w:rsidRPr="00B31646">
        <w:rPr>
          <w:noProof/>
        </w:rPr>
        <w:t>1</w:t>
      </w:r>
      <w:r w:rsidRPr="00B31646">
        <w:rPr>
          <w:noProof/>
        </w:rPr>
        <w:fldChar w:fldCharType="end"/>
      </w:r>
      <w:bookmarkEnd w:id="1"/>
      <w:bookmarkEnd w:id="2"/>
      <w:r w:rsidRPr="00B31646">
        <w:t xml:space="preserve">: </w:t>
      </w:r>
      <w:bookmarkEnd w:id="3"/>
      <w:r w:rsidRPr="00B31646">
        <w:rPr>
          <w:lang w:eastAsia="zh-TW"/>
        </w:rPr>
        <w:t>Effect of block size on average</w:t>
      </w:r>
      <w:r w:rsidRPr="00B31646">
        <w:t xml:space="preserve"> waiting time in the customer queue</w:t>
      </w:r>
    </w:p>
    <w:p w14:paraId="7CFDADD4" w14:textId="77777777" w:rsidR="000A7ADF" w:rsidRPr="00D90800" w:rsidRDefault="000A7ADF" w:rsidP="000A7ADF">
      <w:pPr>
        <w:keepNext/>
        <w:jc w:val="center"/>
        <w:rPr>
          <w:rFonts w:ascii="Times New Roman" w:hAnsi="Times New Roman" w:cs="Times New Roman"/>
        </w:rPr>
      </w:pPr>
      <w:r>
        <w:rPr>
          <w:noProof/>
        </w:rPr>
        <w:drawing>
          <wp:inline distT="0" distB="0" distL="0" distR="0" wp14:anchorId="0FC121EE" wp14:editId="7F3F698B">
            <wp:extent cx="4572000" cy="2762250"/>
            <wp:effectExtent l="0" t="0" r="0" b="0"/>
            <wp:docPr id="48" name="圖表 48">
              <a:extLst xmlns:a="http://schemas.openxmlformats.org/drawingml/2006/main">
                <a:ext uri="{FF2B5EF4-FFF2-40B4-BE49-F238E27FC236}">
                  <a16:creationId xmlns:a16="http://schemas.microsoft.com/office/drawing/2014/main" id="{CC06E502-A5B5-4E7E-8EEE-7676C8C588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02972D" w14:textId="77777777" w:rsidR="000A7ADF" w:rsidRPr="00D90800" w:rsidRDefault="000A7ADF" w:rsidP="000A7ADF">
      <w:pPr>
        <w:pStyle w:val="ad"/>
      </w:pPr>
      <w:bookmarkStart w:id="4" w:name="_Toc199342156"/>
      <w:bookmarkStart w:id="5" w:name="_Ref199415669"/>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bookmarkEnd w:id="4"/>
      <w:bookmarkEnd w:id="5"/>
      <w:r w:rsidRPr="00D90800">
        <w:t xml:space="preserve">: </w:t>
      </w:r>
      <w:r w:rsidRPr="00D90800">
        <w:rPr>
          <w:lang w:eastAsia="zh-TW"/>
        </w:rPr>
        <w:t>Effect of block size on average</w:t>
      </w:r>
      <w:r w:rsidRPr="00D90800">
        <w:t xml:space="preserve"> waiting time in the block queue</w:t>
      </w:r>
    </w:p>
    <w:p w14:paraId="1D6E6840" w14:textId="77777777" w:rsidR="000A7ADF" w:rsidRPr="00D90800" w:rsidRDefault="000A7ADF" w:rsidP="000A7ADF">
      <w:pPr>
        <w:keepNext/>
        <w:jc w:val="center"/>
        <w:rPr>
          <w:rFonts w:ascii="Times New Roman" w:hAnsi="Times New Roman" w:cs="Times New Roman"/>
        </w:rPr>
      </w:pPr>
      <w:r w:rsidRPr="000E3AC9">
        <w:rPr>
          <w:noProof/>
        </w:rPr>
        <w:lastRenderedPageBreak/>
        <w:t xml:space="preserve"> </w:t>
      </w:r>
      <w:r>
        <w:rPr>
          <w:noProof/>
        </w:rPr>
        <w:drawing>
          <wp:inline distT="0" distB="0" distL="0" distR="0" wp14:anchorId="3EC101A4" wp14:editId="0D68CC12">
            <wp:extent cx="4572000" cy="2762250"/>
            <wp:effectExtent l="0" t="0" r="0" b="0"/>
            <wp:docPr id="41" name="圖表 41">
              <a:extLst xmlns:a="http://schemas.openxmlformats.org/drawingml/2006/main">
                <a:ext uri="{FF2B5EF4-FFF2-40B4-BE49-F238E27FC236}">
                  <a16:creationId xmlns:a16="http://schemas.microsoft.com/office/drawing/2014/main" id="{60609874-172D-4467-820D-F0986B28A8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A21CFE" w14:textId="77777777" w:rsidR="000A7ADF" w:rsidRPr="00D90800" w:rsidRDefault="000A7ADF" w:rsidP="000A7ADF">
      <w:pPr>
        <w:pStyle w:val="ad"/>
      </w:pPr>
      <w:bookmarkStart w:id="6" w:name="_Toc199342157"/>
      <w:bookmarkStart w:id="7" w:name="_Ref199416009"/>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bookmarkEnd w:id="6"/>
      <w:bookmarkEnd w:id="7"/>
      <w:r w:rsidRPr="00D90800">
        <w:t xml:space="preserve">: </w:t>
      </w:r>
      <w:r w:rsidRPr="00D90800">
        <w:rPr>
          <w:lang w:eastAsia="zh-TW"/>
        </w:rPr>
        <w:t>Effect of block size on average</w:t>
      </w:r>
      <w:r w:rsidRPr="00D90800">
        <w:t xml:space="preserve"> waiting time in the system</w:t>
      </w:r>
    </w:p>
    <w:p w14:paraId="793F0985" w14:textId="77777777" w:rsidR="000A7ADF" w:rsidRPr="00D90800" w:rsidRDefault="000A7ADF" w:rsidP="000A7ADF">
      <w:pPr>
        <w:keepNext/>
        <w:jc w:val="center"/>
        <w:rPr>
          <w:rFonts w:ascii="Times New Roman" w:hAnsi="Times New Roman" w:cs="Times New Roman"/>
        </w:rPr>
      </w:pPr>
      <w:r>
        <w:rPr>
          <w:noProof/>
        </w:rPr>
        <w:drawing>
          <wp:inline distT="0" distB="0" distL="0" distR="0" wp14:anchorId="086979B4" wp14:editId="516E937B">
            <wp:extent cx="4572000" cy="2762250"/>
            <wp:effectExtent l="0" t="0" r="0" b="0"/>
            <wp:docPr id="47" name="圖表 47">
              <a:extLst xmlns:a="http://schemas.openxmlformats.org/drawingml/2006/main">
                <a:ext uri="{FF2B5EF4-FFF2-40B4-BE49-F238E27FC236}">
                  <a16:creationId xmlns:a16="http://schemas.microsoft.com/office/drawing/2014/main" id="{4FB1FF07-DA73-44CB-8871-978E7A67D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5D3DF0" w14:textId="77777777" w:rsidR="000A7ADF" w:rsidRPr="00D90800" w:rsidRDefault="000A7ADF" w:rsidP="000A7ADF">
      <w:pPr>
        <w:pStyle w:val="ad"/>
      </w:pPr>
      <w:bookmarkStart w:id="8" w:name="_Toc199342158"/>
      <w:bookmarkStart w:id="9" w:name="_Ref199416217"/>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4</w:t>
      </w:r>
      <w:r>
        <w:rPr>
          <w:noProof/>
        </w:rPr>
        <w:fldChar w:fldCharType="end"/>
      </w:r>
      <w:bookmarkEnd w:id="8"/>
      <w:bookmarkEnd w:id="9"/>
      <w:r w:rsidRPr="00D90800">
        <w:t xml:space="preserve">: </w:t>
      </w:r>
      <w:r>
        <w:t xml:space="preserve">Effect of block size on </w:t>
      </w:r>
      <w:r w:rsidRPr="00D90800">
        <w:t>average number of customers in block queue</w:t>
      </w:r>
    </w:p>
    <w:p w14:paraId="4E1DD529" w14:textId="77777777" w:rsidR="000A7ADF" w:rsidRPr="00D90800" w:rsidRDefault="000A7ADF" w:rsidP="000A7ADF">
      <w:pPr>
        <w:keepNext/>
        <w:jc w:val="center"/>
        <w:rPr>
          <w:rFonts w:ascii="Times New Roman" w:hAnsi="Times New Roman" w:cs="Times New Roman"/>
        </w:rPr>
      </w:pPr>
      <w:r>
        <w:rPr>
          <w:noProof/>
        </w:rPr>
        <w:lastRenderedPageBreak/>
        <w:drawing>
          <wp:inline distT="0" distB="0" distL="0" distR="0" wp14:anchorId="1A1CAC27" wp14:editId="59051F2C">
            <wp:extent cx="4572000" cy="2762250"/>
            <wp:effectExtent l="0" t="0" r="0" b="0"/>
            <wp:docPr id="46" name="圖表 46">
              <a:extLst xmlns:a="http://schemas.openxmlformats.org/drawingml/2006/main">
                <a:ext uri="{FF2B5EF4-FFF2-40B4-BE49-F238E27FC236}">
                  <a16:creationId xmlns:a16="http://schemas.microsoft.com/office/drawing/2014/main" id="{F53C385D-79C7-405A-9877-58DBA1A070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876FD8" w14:textId="77777777" w:rsidR="000A7ADF" w:rsidRPr="00D90800" w:rsidRDefault="000A7ADF" w:rsidP="000A7ADF">
      <w:pPr>
        <w:pStyle w:val="ad"/>
      </w:pPr>
      <w:bookmarkStart w:id="10" w:name="_Toc199342159"/>
      <w:bookmarkStart w:id="11" w:name="_Ref199416301"/>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5</w:t>
      </w:r>
      <w:r>
        <w:rPr>
          <w:noProof/>
        </w:rPr>
        <w:fldChar w:fldCharType="end"/>
      </w:r>
      <w:bookmarkEnd w:id="10"/>
      <w:bookmarkEnd w:id="11"/>
      <w:r w:rsidRPr="00D90800">
        <w:t xml:space="preserve">: </w:t>
      </w:r>
      <w:r w:rsidRPr="00D90800">
        <w:rPr>
          <w:lang w:eastAsia="zh-TW"/>
        </w:rPr>
        <w:t>Effect of block size</w:t>
      </w:r>
      <w:r>
        <w:rPr>
          <w:lang w:eastAsia="zh-TW"/>
        </w:rPr>
        <w:t xml:space="preserve"> on</w:t>
      </w:r>
      <w:r w:rsidRPr="00D90800">
        <w:rPr>
          <w:lang w:eastAsia="zh-TW"/>
        </w:rPr>
        <w:t xml:space="preserve"> </w:t>
      </w:r>
      <w:r>
        <w:t xml:space="preserve">blocking probability </w:t>
      </w:r>
    </w:p>
    <w:p w14:paraId="0BDA9C2C" w14:textId="77777777" w:rsidR="000A7ADF" w:rsidRPr="00D90800" w:rsidRDefault="000A7ADF" w:rsidP="000A7ADF">
      <w:pPr>
        <w:keepNext/>
        <w:jc w:val="center"/>
        <w:rPr>
          <w:rFonts w:ascii="Times New Roman" w:hAnsi="Times New Roman" w:cs="Times New Roman"/>
        </w:rPr>
      </w:pPr>
      <w:r>
        <w:rPr>
          <w:noProof/>
        </w:rPr>
        <w:drawing>
          <wp:inline distT="0" distB="0" distL="0" distR="0" wp14:anchorId="3489AE02" wp14:editId="20E54018">
            <wp:extent cx="4572000" cy="2762250"/>
            <wp:effectExtent l="0" t="0" r="0" b="0"/>
            <wp:docPr id="42" name="圖表 42">
              <a:extLst xmlns:a="http://schemas.openxmlformats.org/drawingml/2006/main">
                <a:ext uri="{FF2B5EF4-FFF2-40B4-BE49-F238E27FC236}">
                  <a16:creationId xmlns:a16="http://schemas.microsoft.com/office/drawing/2014/main" id="{1C615CEE-2223-4CA5-A9C1-5E6F07108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A5EA45" w14:textId="77777777" w:rsidR="000A7ADF" w:rsidRPr="006716C3" w:rsidRDefault="000A7ADF" w:rsidP="000A7ADF">
      <w:pPr>
        <w:pStyle w:val="ad"/>
      </w:pPr>
      <w:bookmarkStart w:id="12" w:name="_Toc199342160"/>
      <w:bookmarkStart w:id="13" w:name="_Ref199416603"/>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6</w:t>
      </w:r>
      <w:r>
        <w:rPr>
          <w:noProof/>
        </w:rPr>
        <w:fldChar w:fldCharType="end"/>
      </w:r>
      <w:bookmarkEnd w:id="12"/>
      <w:bookmarkEnd w:id="13"/>
      <w:r w:rsidRPr="00D90800">
        <w:t xml:space="preserve">: </w:t>
      </w:r>
      <w:r w:rsidRPr="00D90800">
        <w:rPr>
          <w:lang w:eastAsia="zh-TW"/>
        </w:rPr>
        <w:t>Effect of block size on throughput</w:t>
      </w:r>
    </w:p>
    <w:bookmarkEnd w:id="0"/>
    <w:p w14:paraId="6419524C" w14:textId="77777777" w:rsidR="000A7ADF" w:rsidRDefault="000A7ADF" w:rsidP="000A7ADF">
      <w:pPr>
        <w:pStyle w:val="3"/>
      </w:pPr>
      <w:r>
        <w:t>Arrival rate</w:t>
      </w:r>
    </w:p>
    <w:p w14:paraId="3A7729C4" w14:textId="77777777" w:rsidR="000A7ADF" w:rsidRDefault="000A7ADF" w:rsidP="000A7ADF">
      <w:pPr>
        <w:spacing w:before="100" w:beforeAutospacing="1" w:after="100" w:afterAutospacing="1"/>
        <w:ind w:firstLine="482"/>
        <w:jc w:val="both"/>
        <w:rPr>
          <w:rFonts w:ascii="Times New Roman" w:hAnsi="Times New Roman" w:cs="Times New Roman"/>
        </w:rPr>
      </w:pPr>
      <w:r w:rsidRPr="006716C3">
        <w:rPr>
          <w:rFonts w:ascii="Times New Roman" w:hAnsi="Times New Roman" w:cs="Times New Roman"/>
        </w:rPr>
        <w:fldChar w:fldCharType="begin"/>
      </w:r>
      <w:r w:rsidRPr="006716C3">
        <w:rPr>
          <w:rFonts w:ascii="Times New Roman" w:hAnsi="Times New Roman" w:cs="Times New Roman"/>
        </w:rPr>
        <w:instrText xml:space="preserve"> REF _Ref199764567 \h </w:instrText>
      </w:r>
      <w:r>
        <w:rPr>
          <w:rFonts w:ascii="Times New Roman" w:hAnsi="Times New Roman" w:cs="Times New Roman"/>
        </w:rPr>
        <w:instrText xml:space="preserve"> \* MERGEFORMAT </w:instrText>
      </w:r>
      <w:r w:rsidRPr="006716C3">
        <w:rPr>
          <w:rFonts w:ascii="Times New Roman" w:hAnsi="Times New Roman" w:cs="Times New Roman"/>
        </w:rPr>
      </w:r>
      <w:r w:rsidRPr="006716C3">
        <w:rPr>
          <w:rFonts w:ascii="Times New Roman" w:hAnsi="Times New Roman" w:cs="Times New Roman"/>
        </w:rPr>
        <w:fldChar w:fldCharType="separate"/>
      </w:r>
      <w:r w:rsidRPr="006716C3">
        <w:rPr>
          <w:rFonts w:ascii="Times New Roman" w:hAnsi="Times New Roman" w:cs="Times New Roman"/>
        </w:rPr>
        <w:t xml:space="preserve">Figure </w:t>
      </w:r>
      <w:r w:rsidRPr="006716C3">
        <w:rPr>
          <w:rFonts w:ascii="Times New Roman" w:hAnsi="Times New Roman" w:cs="Times New Roman"/>
          <w:noProof/>
        </w:rPr>
        <w:t>5</w:t>
      </w:r>
      <w:r w:rsidRPr="006716C3">
        <w:rPr>
          <w:rFonts w:ascii="Times New Roman" w:hAnsi="Times New Roman" w:cs="Times New Roman"/>
        </w:rPr>
        <w:noBreakHyphen/>
      </w:r>
      <w:r w:rsidRPr="006716C3">
        <w:rPr>
          <w:rFonts w:ascii="Times New Roman" w:hAnsi="Times New Roman" w:cs="Times New Roman"/>
          <w:noProof/>
        </w:rPr>
        <w:t>7</w:t>
      </w:r>
      <w:r w:rsidRPr="006716C3">
        <w:rPr>
          <w:rFonts w:ascii="Times New Roman" w:hAnsi="Times New Roman" w:cs="Times New Roman"/>
        </w:rPr>
        <w:fldChar w:fldCharType="end"/>
      </w:r>
      <w:r w:rsidRPr="006716C3">
        <w:rPr>
          <w:rFonts w:ascii="Times New Roman" w:hAnsi="Times New Roman" w:cs="Times New Roman"/>
        </w:rPr>
        <w:t xml:space="preserve"> to </w:t>
      </w:r>
      <w:r w:rsidRPr="006716C3">
        <w:rPr>
          <w:rFonts w:ascii="Times New Roman" w:hAnsi="Times New Roman" w:cs="Times New Roman"/>
        </w:rPr>
        <w:fldChar w:fldCharType="begin"/>
      </w:r>
      <w:r w:rsidRPr="006716C3">
        <w:rPr>
          <w:rFonts w:ascii="Times New Roman" w:hAnsi="Times New Roman" w:cs="Times New Roman"/>
        </w:rPr>
        <w:instrText xml:space="preserve"> REF _Ref199767512 \h </w:instrText>
      </w:r>
      <w:r>
        <w:rPr>
          <w:rFonts w:ascii="Times New Roman" w:hAnsi="Times New Roman" w:cs="Times New Roman"/>
        </w:rPr>
        <w:instrText xml:space="preserve"> \* MERGEFORMAT </w:instrText>
      </w:r>
      <w:r w:rsidRPr="006716C3">
        <w:rPr>
          <w:rFonts w:ascii="Times New Roman" w:hAnsi="Times New Roman" w:cs="Times New Roman"/>
        </w:rPr>
      </w:r>
      <w:r w:rsidRPr="006716C3">
        <w:rPr>
          <w:rFonts w:ascii="Times New Roman" w:hAnsi="Times New Roman" w:cs="Times New Roman"/>
        </w:rPr>
        <w:fldChar w:fldCharType="separate"/>
      </w:r>
      <w:r w:rsidRPr="006716C3">
        <w:rPr>
          <w:rFonts w:ascii="Times New Roman" w:hAnsi="Times New Roman" w:cs="Times New Roman"/>
        </w:rPr>
        <w:t xml:space="preserve">Figure </w:t>
      </w:r>
      <w:r w:rsidRPr="006716C3">
        <w:rPr>
          <w:rFonts w:ascii="Times New Roman" w:hAnsi="Times New Roman" w:cs="Times New Roman"/>
          <w:noProof/>
        </w:rPr>
        <w:t>5</w:t>
      </w:r>
      <w:r w:rsidRPr="006716C3">
        <w:rPr>
          <w:rFonts w:ascii="Times New Roman" w:hAnsi="Times New Roman" w:cs="Times New Roman"/>
        </w:rPr>
        <w:noBreakHyphen/>
      </w:r>
      <w:r w:rsidRPr="006716C3">
        <w:rPr>
          <w:rFonts w:ascii="Times New Roman" w:hAnsi="Times New Roman" w:cs="Times New Roman"/>
          <w:noProof/>
        </w:rPr>
        <w:t>12</w:t>
      </w:r>
      <w:r w:rsidRPr="006716C3">
        <w:rPr>
          <w:rFonts w:ascii="Times New Roman" w:hAnsi="Times New Roman" w:cs="Times New Roman"/>
        </w:rPr>
        <w:fldChar w:fldCharType="end"/>
      </w:r>
      <w:r w:rsidRPr="006716C3">
        <w:rPr>
          <w:rFonts w:ascii="Times New Roman" w:hAnsi="Times New Roman" w:cs="Times New Roman"/>
        </w:rPr>
        <w:t xml:space="preserve"> show the relationship between various performance metrics and the </w:t>
      </w:r>
      <w:r>
        <w:rPr>
          <w:rFonts w:ascii="Times New Roman" w:hAnsi="Times New Roman" w:cs="Times New Roman"/>
        </w:rPr>
        <w:t xml:space="preserve">arrival rate </w:t>
      </w:r>
      <m:oMath>
        <m:r>
          <w:rPr>
            <w:rFonts w:ascii="Cambria Math" w:hAnsi="Cambria Math" w:cs="Times New Roman"/>
          </w:rPr>
          <m:t>λ</m:t>
        </m:r>
      </m:oMath>
      <w:r w:rsidRPr="006716C3">
        <w:rPr>
          <w:rFonts w:ascii="Times New Roman" w:hAnsi="Times New Roman" w:cs="Times New Roman"/>
        </w:rPr>
        <w:t>. Both simulation results and analytical results are shown for comparison.</w:t>
      </w:r>
    </w:p>
    <w:p w14:paraId="088A1D39" w14:textId="77777777" w:rsidR="000A7ADF" w:rsidRPr="00D90800" w:rsidRDefault="000A7ADF" w:rsidP="000A7ADF">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_Ref199861944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7</w:t>
      </w:r>
      <w:r w:rsidRPr="003B13EA">
        <w:rPr>
          <w:rFonts w:ascii="Times New Roman" w:hAnsi="Times New Roman" w:cs="Times New Roman"/>
        </w:rPr>
        <w:fldChar w:fldCharType="end"/>
      </w:r>
      <w:r w:rsidRPr="00E86D6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Pr>
          <w:rFonts w:ascii="Times New Roman" w:hAnsi="Times New Roman" w:cs="Times New Roman"/>
        </w:rPr>
        <w:t>increases steadily</w:t>
      </w:r>
      <w:r w:rsidRPr="00D90800">
        <w:rPr>
          <w:rFonts w:ascii="Times New Roman" w:hAnsi="Times New Roman" w:cs="Times New Roman"/>
        </w:rPr>
        <w:t xml:space="preserve">. This is because </w:t>
      </w:r>
      <w:r>
        <w:rPr>
          <w:rFonts w:ascii="Times New Roman" w:hAnsi="Times New Roman" w:cs="Times New Roman"/>
        </w:rPr>
        <w:t xml:space="preserve">higher arrival rate leads to more customers entering the system, causing increased congestion and longer queuing delays before customers can be batched into blocks. </w:t>
      </w:r>
      <w:r w:rsidRPr="00D90800">
        <w:rPr>
          <w:rFonts w:ascii="Times New Roman" w:hAnsi="Times New Roman" w:cs="Times New Roman"/>
          <w:kern w:val="0"/>
        </w:rPr>
        <w:lastRenderedPageBreak/>
        <w:t>Lastly, the analytical results are in good agreement with the simulation results.</w:t>
      </w:r>
    </w:p>
    <w:p w14:paraId="358FBF17" w14:textId="77777777" w:rsidR="000A7ADF" w:rsidRPr="002E2496" w:rsidRDefault="000A7ADF" w:rsidP="000A7ADF">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_Ref199861946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8</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constant</w:t>
      </w:r>
      <w:r>
        <w:rPr>
          <w:rFonts w:ascii="Times New Roman" w:hAnsi="Times New Roman" w:cs="Times New Roman"/>
        </w:rPr>
        <w:t>. This indicates that the time each block spends in the consensus queue is determined by the consensus rate and system transition rate, and is independent of the arrival rate.</w:t>
      </w:r>
      <w:r w:rsidRPr="0067575C">
        <w:rPr>
          <w:rFonts w:ascii="Times New Roman" w:hAnsi="Times New Roman" w:cs="Times New Roman"/>
          <w:kern w:val="0"/>
        </w:rPr>
        <w:t xml:space="preserve"> </w:t>
      </w:r>
      <w:r w:rsidRPr="00D90800">
        <w:rPr>
          <w:rFonts w:ascii="Times New Roman" w:hAnsi="Times New Roman" w:cs="Times New Roman"/>
          <w:kern w:val="0"/>
        </w:rPr>
        <w:t>Lastly, the analytical results are in good agreement with the simulation results.</w:t>
      </w:r>
    </w:p>
    <w:p w14:paraId="66A2B5B6" w14:textId="77777777" w:rsidR="000A7ADF" w:rsidRDefault="000A7ADF" w:rsidP="000A7ADF">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_Ref199861948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9</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λ</m:t>
        </m:r>
      </m:oMath>
      <w:r w:rsidRPr="00D90800">
        <w:rPr>
          <w:rFonts w:ascii="Times New Roman" w:hAnsi="Times New Roman" w:cs="Times New Roman"/>
        </w:rPr>
        <w:t xml:space="preserve"> increases,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increases steadily</w:t>
      </w:r>
      <w:r w:rsidRPr="00D90800">
        <w:rPr>
          <w:rFonts w:ascii="Times New Roman" w:hAnsi="Times New Roman" w:cs="Times New Roman"/>
        </w:rPr>
        <w:t xml:space="preserve">. This is because </w:t>
      </w:r>
      <w:r>
        <w:rPr>
          <w:rFonts w:ascii="Times New Roman" w:hAnsi="Times New Roman" w:cs="Times New Roman"/>
        </w:rPr>
        <w:t xml:space="preserve">higher arrival rate leads to more customers entering the system, causing increased congestion and longer queuing delays before customers depart from the system. </w:t>
      </w:r>
      <w:r w:rsidRPr="00D90800">
        <w:rPr>
          <w:rFonts w:ascii="Times New Roman" w:hAnsi="Times New Roman" w:cs="Times New Roman"/>
          <w:kern w:val="0"/>
        </w:rPr>
        <w:t>Lastly, the analytical results are in good agreement with the simulation results.</w:t>
      </w:r>
    </w:p>
    <w:p w14:paraId="0B21F797" w14:textId="77777777" w:rsidR="000A7ADF" w:rsidRDefault="000A7ADF" w:rsidP="000A7ADF">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_Ref199861949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10</w:t>
      </w:r>
      <w:r w:rsidRPr="003B13EA">
        <w:rPr>
          <w:rFonts w:ascii="Times New Roman" w:hAnsi="Times New Roman" w:cs="Times New Roman"/>
        </w:rPr>
        <w:fldChar w:fldCharType="end"/>
      </w:r>
      <w:r w:rsidRPr="006509B0">
        <w:rPr>
          <w:rFonts w:ascii="Times New Roman" w:hAnsi="Times New Roman" w:cs="Times New Roman"/>
        </w:rPr>
        <w:t xml:space="preserve"> </w:t>
      </w:r>
      <w:r w:rsidRPr="008E6DC5">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8E6DC5">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w:t>
      </w:r>
      <w:r w:rsidRPr="00304F5E">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eastAsia="Yu Mincho" w:hAnsi="Times New Roman" w:cs="Times New Roman" w:hint="eastAsia"/>
          <w:lang w:eastAsia="ja-JP"/>
        </w:rPr>
        <w:t xml:space="preserve"> </w:t>
      </w:r>
      <w:r>
        <w:rPr>
          <w:rFonts w:ascii="Times New Roman" w:hAnsi="Times New Roman" w:cs="Times New Roman"/>
        </w:rPr>
        <w:t xml:space="preserve">increases steadily. This is because a higher arrival rate leads to more frequent block formation and more customers being accumulated in each block, increasing the average number of customers waiting for consensus. </w:t>
      </w:r>
      <w:r w:rsidRPr="00D90800">
        <w:rPr>
          <w:rFonts w:ascii="Times New Roman" w:hAnsi="Times New Roman" w:cs="Times New Roman"/>
          <w:kern w:val="0"/>
        </w:rPr>
        <w:t>Lastly, the analytical results are in good agreement with the simulation results.</w:t>
      </w:r>
    </w:p>
    <w:p w14:paraId="3124019F" w14:textId="77777777" w:rsidR="000A7ADF" w:rsidRPr="007959E1" w:rsidRDefault="000A7ADF" w:rsidP="000A7ADF">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_Ref199861950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11</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rPr>
        <w:t xml:space="preserve"> rises sharply, specially beyond </w:t>
      </w:r>
      <m:oMath>
        <m:r>
          <w:rPr>
            <w:rFonts w:ascii="Cambria Math" w:hAnsi="Cambria Math" w:cs="Times New Roman"/>
          </w:rPr>
          <m:t>λ=20</m:t>
        </m:r>
      </m:oMath>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This is because a higher arrival rate leads to more </w:t>
      </w:r>
      <w:r w:rsidRPr="00100508">
        <w:rPr>
          <w:rFonts w:ascii="Times New Roman" w:hAnsi="Times New Roman" w:cs="Times New Roman"/>
          <w:kern w:val="0"/>
        </w:rPr>
        <w:t>customers being accumulated</w:t>
      </w:r>
      <w:r w:rsidRPr="00100508">
        <w:rPr>
          <w:rFonts w:ascii="Times New Roman" w:eastAsia="Yu Mincho" w:hAnsi="Times New Roman" w:cs="Times New Roman"/>
          <w:kern w:val="0"/>
          <w:lang w:eastAsia="ja-JP"/>
        </w:rPr>
        <w:t xml:space="preserve"> in the customer queue</w:t>
      </w:r>
      <w:r>
        <w:rPr>
          <w:rFonts w:ascii="Times New Roman" w:eastAsia="Yu Mincho" w:hAnsi="Times New Roman" w:cs="Times New Roman"/>
          <w:lang w:eastAsia="ja-JP"/>
        </w:rPr>
        <w:t>, increasing the chance that incoming customers are blocked due to limited queue capacity.</w:t>
      </w:r>
      <w:r>
        <w:rPr>
          <w:rFonts w:ascii="Times New Roman" w:hAnsi="Times New Roman" w:cs="Times New Roman"/>
        </w:rPr>
        <w:t xml:space="preserve"> </w:t>
      </w:r>
      <w:r w:rsidRPr="00D90800">
        <w:rPr>
          <w:rFonts w:ascii="Times New Roman" w:hAnsi="Times New Roman" w:cs="Times New Roman"/>
          <w:kern w:val="0"/>
        </w:rPr>
        <w:t>Lastly, the analytical results are in good agreement with the simulation results.</w:t>
      </w:r>
    </w:p>
    <w:p w14:paraId="4D5EF938" w14:textId="77777777" w:rsidR="000A7ADF" w:rsidRPr="007959E1" w:rsidRDefault="000A7ADF" w:rsidP="000A7ADF">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_Ref199861951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12</w:t>
      </w:r>
      <w:r w:rsidRPr="003B13EA">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7959E1">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rises rapidly at first and then </w:t>
      </w:r>
      <w:r>
        <w:rPr>
          <w:rFonts w:ascii="Times New Roman" w:hAnsi="Times New Roman" w:cs="Times New Roman"/>
          <w:kern w:val="0"/>
        </w:rPr>
        <w:t>gradually saturates. This is because higher arrival rates supply more customers int</w:t>
      </w:r>
      <w:r w:rsidRPr="007959E1">
        <w:rPr>
          <w:rFonts w:ascii="Times New Roman" w:hAnsi="Times New Roman" w:cs="Times New Roman"/>
          <w:kern w:val="0"/>
        </w:rPr>
        <w:t>o the system</w:t>
      </w:r>
      <w:r w:rsidRPr="007959E1">
        <w:rPr>
          <w:rFonts w:ascii="Times New Roman" w:hAnsi="Times New Roman" w:cs="Times New Roman"/>
        </w:rPr>
        <w:t xml:space="preserve">, but throughput eventually becomes </w:t>
      </w:r>
      <w:r>
        <w:rPr>
          <w:rFonts w:ascii="Times New Roman" w:hAnsi="Times New Roman" w:cs="Times New Roman"/>
        </w:rPr>
        <w:t>limited</w:t>
      </w:r>
      <w:r w:rsidRPr="007959E1">
        <w:rPr>
          <w:rFonts w:ascii="Times New Roman" w:hAnsi="Times New Roman" w:cs="Times New Roman"/>
        </w:rPr>
        <w:t xml:space="preserve"> by the system service capacity,</w:t>
      </w:r>
      <w:r>
        <w:rPr>
          <w:rFonts w:ascii="Times New Roman" w:hAnsi="Times New Roman" w:cs="Times New Roman"/>
        </w:rPr>
        <w:t xml:space="preserve"> which is decided by the maximum block size, t</w:t>
      </w:r>
      <w:r w:rsidRPr="007959E1">
        <w:rPr>
          <w:rFonts w:ascii="Times New Roman" w:hAnsi="Times New Roman" w:cs="Times New Roman"/>
        </w:rPr>
        <w:t>he block generation rate</w:t>
      </w:r>
      <w:r>
        <w:rPr>
          <w:rFonts w:ascii="Times New Roman" w:hAnsi="Times New Roman" w:cs="Times New Roman"/>
        </w:rPr>
        <w:t>, the consensus rate,</w:t>
      </w:r>
      <w:r w:rsidRPr="007959E1">
        <w:rPr>
          <w:rFonts w:ascii="Times New Roman" w:hAnsi="Times New Roman" w:cs="Times New Roman"/>
        </w:rPr>
        <w:t xml:space="preserve"> and </w:t>
      </w:r>
      <w:r>
        <w:rPr>
          <w:rFonts w:ascii="Times New Roman" w:hAnsi="Times New Roman" w:cs="Times New Roman"/>
        </w:rPr>
        <w:t>system transition rate</w:t>
      </w:r>
      <w:r w:rsidRPr="007959E1">
        <w:rPr>
          <w:rFonts w:ascii="Times New Roman" w:hAnsi="Times New Roman" w:cs="Times New Roman"/>
        </w:rPr>
        <w:t>. Lastly, the analytical results are in good agreement with the simulation results.</w:t>
      </w:r>
    </w:p>
    <w:p w14:paraId="4F8BA59F" w14:textId="77777777" w:rsidR="000A7ADF" w:rsidRPr="00D90800" w:rsidRDefault="000A7ADF" w:rsidP="000A7ADF">
      <w:pPr>
        <w:keepNext/>
        <w:jc w:val="center"/>
        <w:rPr>
          <w:rFonts w:ascii="Times New Roman" w:eastAsia="Yu Mincho" w:hAnsi="Times New Roman" w:cs="Times New Roman"/>
          <w:lang w:eastAsia="ja-JP"/>
        </w:rPr>
      </w:pPr>
      <w:r>
        <w:rPr>
          <w:noProof/>
        </w:rPr>
        <w:lastRenderedPageBreak/>
        <w:drawing>
          <wp:inline distT="0" distB="0" distL="0" distR="0" wp14:anchorId="15D8A97F" wp14:editId="33EB1945">
            <wp:extent cx="4572000" cy="2762250"/>
            <wp:effectExtent l="0" t="0" r="0" b="0"/>
            <wp:docPr id="40" name="圖表 40">
              <a:extLst xmlns:a="http://schemas.openxmlformats.org/drawingml/2006/main">
                <a:ext uri="{FF2B5EF4-FFF2-40B4-BE49-F238E27FC236}">
                  <a16:creationId xmlns:a16="http://schemas.microsoft.com/office/drawing/2014/main" id="{E7E759B5-0A1E-46BC-841D-989530E6B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D9B28" w14:textId="77777777" w:rsidR="000A7ADF" w:rsidRPr="00D90800" w:rsidRDefault="000A7ADF" w:rsidP="000A7ADF">
      <w:pPr>
        <w:pStyle w:val="ad"/>
      </w:pPr>
      <w:bookmarkStart w:id="14" w:name="_Ref199861944"/>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7</w:t>
      </w:r>
      <w:r>
        <w:rPr>
          <w:noProof/>
        </w:rPr>
        <w:fldChar w:fldCharType="end"/>
      </w:r>
      <w:bookmarkEnd w:id="14"/>
      <w:r w:rsidRPr="00D90800">
        <w:t>:</w:t>
      </w:r>
      <w:r w:rsidRPr="00BA09CC">
        <w:rPr>
          <w:lang w:eastAsia="zh-TW"/>
        </w:rPr>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customer queue</w:t>
      </w:r>
    </w:p>
    <w:p w14:paraId="11161192" w14:textId="77777777" w:rsidR="000A7ADF" w:rsidRPr="00BA09CC" w:rsidRDefault="000A7ADF" w:rsidP="000A7ADF">
      <w:pPr>
        <w:keepNext/>
        <w:jc w:val="center"/>
        <w:rPr>
          <w:rFonts w:ascii="Times New Roman" w:hAnsi="Times New Roman" w:cs="Times New Roman"/>
        </w:rPr>
      </w:pPr>
      <w:r w:rsidRPr="00BA09CC">
        <w:rPr>
          <w:noProof/>
        </w:rPr>
        <w:t xml:space="preserve"> </w:t>
      </w:r>
      <w:r>
        <w:rPr>
          <w:noProof/>
        </w:rPr>
        <w:drawing>
          <wp:inline distT="0" distB="0" distL="0" distR="0" wp14:anchorId="5D354561" wp14:editId="5FB387DB">
            <wp:extent cx="4572000" cy="2762250"/>
            <wp:effectExtent l="0" t="0" r="0" b="0"/>
            <wp:docPr id="39" name="圖表 39">
              <a:extLst xmlns:a="http://schemas.openxmlformats.org/drawingml/2006/main">
                <a:ext uri="{FF2B5EF4-FFF2-40B4-BE49-F238E27FC236}">
                  <a16:creationId xmlns:a16="http://schemas.microsoft.com/office/drawing/2014/main" id="{6A561807-2D9D-4B1F-9EF3-BD460CE0B6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ACBED2" w14:textId="77777777" w:rsidR="000A7ADF" w:rsidRPr="00D90800" w:rsidRDefault="000A7ADF" w:rsidP="000A7ADF">
      <w:pPr>
        <w:pStyle w:val="ad"/>
      </w:pPr>
      <w:bookmarkStart w:id="15" w:name="_Ref199861946"/>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8</w:t>
      </w:r>
      <w:r>
        <w:rPr>
          <w:noProof/>
        </w:rPr>
        <w:fldChar w:fldCharType="end"/>
      </w:r>
      <w:bookmarkEnd w:id="15"/>
      <w:r w:rsidRPr="00D90800">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block queue</w:t>
      </w:r>
    </w:p>
    <w:p w14:paraId="7C213B47" w14:textId="77777777" w:rsidR="000A7ADF" w:rsidRPr="00D90800" w:rsidRDefault="000A7ADF" w:rsidP="000A7ADF">
      <w:pPr>
        <w:keepNext/>
        <w:jc w:val="center"/>
        <w:rPr>
          <w:rFonts w:ascii="Times New Roman" w:hAnsi="Times New Roman" w:cs="Times New Roman"/>
        </w:rPr>
      </w:pPr>
      <w:r>
        <w:rPr>
          <w:noProof/>
        </w:rPr>
        <w:lastRenderedPageBreak/>
        <w:drawing>
          <wp:inline distT="0" distB="0" distL="0" distR="0" wp14:anchorId="056FD2CD" wp14:editId="2DF6A7B7">
            <wp:extent cx="4572000" cy="2762250"/>
            <wp:effectExtent l="0" t="0" r="0" b="0"/>
            <wp:docPr id="35" name="圖表 35">
              <a:extLst xmlns:a="http://schemas.openxmlformats.org/drawingml/2006/main">
                <a:ext uri="{FF2B5EF4-FFF2-40B4-BE49-F238E27FC236}">
                  <a16:creationId xmlns:a16="http://schemas.microsoft.com/office/drawing/2014/main" id="{0781417D-5314-45EA-B684-5072BAE48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EC0D74" w14:textId="77777777" w:rsidR="000A7ADF" w:rsidRPr="00D90800" w:rsidRDefault="000A7ADF" w:rsidP="000A7ADF">
      <w:pPr>
        <w:pStyle w:val="ad"/>
      </w:pPr>
      <w:bookmarkStart w:id="16" w:name="_Ref199861948"/>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9</w:t>
      </w:r>
      <w:r>
        <w:rPr>
          <w:noProof/>
        </w:rPr>
        <w:fldChar w:fldCharType="end"/>
      </w:r>
      <w:bookmarkEnd w:id="16"/>
      <w:r w:rsidRPr="00D90800">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system</w:t>
      </w:r>
    </w:p>
    <w:p w14:paraId="77CCDBF3" w14:textId="77777777" w:rsidR="000A7ADF" w:rsidRPr="00D90800" w:rsidRDefault="000A7ADF" w:rsidP="000A7ADF">
      <w:pPr>
        <w:keepNext/>
        <w:jc w:val="center"/>
        <w:rPr>
          <w:rFonts w:ascii="Times New Roman" w:hAnsi="Times New Roman" w:cs="Times New Roman"/>
        </w:rPr>
      </w:pPr>
      <w:r>
        <w:rPr>
          <w:noProof/>
        </w:rPr>
        <w:drawing>
          <wp:inline distT="0" distB="0" distL="0" distR="0" wp14:anchorId="6A8CD585" wp14:editId="37E83871">
            <wp:extent cx="4572000" cy="2762250"/>
            <wp:effectExtent l="0" t="0" r="0" b="0"/>
            <wp:docPr id="38" name="圖表 38">
              <a:extLst xmlns:a="http://schemas.openxmlformats.org/drawingml/2006/main">
                <a:ext uri="{FF2B5EF4-FFF2-40B4-BE49-F238E27FC236}">
                  <a16:creationId xmlns:a16="http://schemas.microsoft.com/office/drawing/2014/main" id="{E01CBC76-D5DB-4604-BFE4-E5F178356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1EFE0E" w14:textId="77777777" w:rsidR="000A7ADF" w:rsidRPr="00D90800" w:rsidRDefault="000A7ADF" w:rsidP="000A7ADF">
      <w:pPr>
        <w:pStyle w:val="ad"/>
      </w:pPr>
      <w:bookmarkStart w:id="17" w:name="_Ref199861949"/>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10</w:t>
      </w:r>
      <w:r>
        <w:rPr>
          <w:noProof/>
        </w:rPr>
        <w:fldChar w:fldCharType="end"/>
      </w:r>
      <w:bookmarkEnd w:id="17"/>
      <w:r w:rsidRPr="00D90800">
        <w:t xml:space="preserve">: </w:t>
      </w:r>
      <w:r>
        <w:t>Effect of</w:t>
      </w:r>
      <w:r w:rsidRPr="003B13EA">
        <w:rPr>
          <w:lang w:eastAsia="zh-TW"/>
        </w:rPr>
        <w:t xml:space="preserve"> </w:t>
      </w:r>
      <w:r>
        <w:rPr>
          <w:lang w:eastAsia="zh-TW"/>
        </w:rPr>
        <w:t>arrival rate on</w:t>
      </w:r>
      <w:r>
        <w:t xml:space="preserve"> </w:t>
      </w:r>
      <w:r w:rsidRPr="00D90800">
        <w:t>average number of customers in block queue</w:t>
      </w:r>
    </w:p>
    <w:p w14:paraId="05050D78" w14:textId="77777777" w:rsidR="000A7ADF" w:rsidRPr="00D90800" w:rsidRDefault="000A7ADF" w:rsidP="000A7ADF">
      <w:pPr>
        <w:keepNext/>
        <w:jc w:val="center"/>
        <w:rPr>
          <w:rFonts w:ascii="Times New Roman" w:hAnsi="Times New Roman" w:cs="Times New Roman"/>
        </w:rPr>
      </w:pPr>
      <w:r>
        <w:rPr>
          <w:noProof/>
        </w:rPr>
        <w:lastRenderedPageBreak/>
        <w:drawing>
          <wp:inline distT="0" distB="0" distL="0" distR="0" wp14:anchorId="62CA1AD2" wp14:editId="7E73C6F9">
            <wp:extent cx="4572000" cy="2762250"/>
            <wp:effectExtent l="0" t="0" r="0" b="0"/>
            <wp:docPr id="37" name="圖表 37">
              <a:extLst xmlns:a="http://schemas.openxmlformats.org/drawingml/2006/main">
                <a:ext uri="{FF2B5EF4-FFF2-40B4-BE49-F238E27FC236}">
                  <a16:creationId xmlns:a16="http://schemas.microsoft.com/office/drawing/2014/main" id="{7A6FA1C7-04BA-483C-A7D8-9B9C6C017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E278C8" w14:textId="77777777" w:rsidR="000A7ADF" w:rsidRPr="00D90800" w:rsidRDefault="000A7ADF" w:rsidP="000A7ADF">
      <w:pPr>
        <w:pStyle w:val="ad"/>
      </w:pPr>
      <w:bookmarkStart w:id="18" w:name="_Ref199861950"/>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11</w:t>
      </w:r>
      <w:r>
        <w:rPr>
          <w:noProof/>
        </w:rPr>
        <w:fldChar w:fldCharType="end"/>
      </w:r>
      <w:bookmarkEnd w:id="18"/>
      <w:r w:rsidRPr="00D90800">
        <w:t xml:space="preserve">: </w:t>
      </w:r>
      <w:r w:rsidRPr="00D90800">
        <w:rPr>
          <w:lang w:eastAsia="zh-TW"/>
        </w:rPr>
        <w:t xml:space="preserve">Effect of </w:t>
      </w:r>
      <w:r>
        <w:rPr>
          <w:lang w:eastAsia="zh-TW"/>
        </w:rPr>
        <w:t>arrival rate on</w:t>
      </w:r>
      <w:r w:rsidRPr="00D90800">
        <w:rPr>
          <w:lang w:eastAsia="zh-TW"/>
        </w:rPr>
        <w:t xml:space="preserve"> </w:t>
      </w:r>
      <w:r>
        <w:t>blocking probability</w:t>
      </w:r>
    </w:p>
    <w:p w14:paraId="64404F5F" w14:textId="77777777" w:rsidR="000A7ADF" w:rsidRPr="00D90800" w:rsidRDefault="000A7ADF" w:rsidP="000A7ADF">
      <w:pPr>
        <w:keepNext/>
        <w:jc w:val="center"/>
        <w:rPr>
          <w:rFonts w:ascii="Times New Roman" w:hAnsi="Times New Roman" w:cs="Times New Roman"/>
        </w:rPr>
      </w:pPr>
      <w:r>
        <w:rPr>
          <w:noProof/>
        </w:rPr>
        <w:drawing>
          <wp:inline distT="0" distB="0" distL="0" distR="0" wp14:anchorId="3AA532BF" wp14:editId="6E989FA0">
            <wp:extent cx="4572000" cy="2762250"/>
            <wp:effectExtent l="0" t="0" r="0" b="0"/>
            <wp:docPr id="36" name="圖表 36">
              <a:extLst xmlns:a="http://schemas.openxmlformats.org/drawingml/2006/main">
                <a:ext uri="{FF2B5EF4-FFF2-40B4-BE49-F238E27FC236}">
                  <a16:creationId xmlns:a16="http://schemas.microsoft.com/office/drawing/2014/main" id="{5D117761-35DD-4F14-8D5B-359C92461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231CAA1" w14:textId="77777777" w:rsidR="000A7ADF" w:rsidRPr="006716C3" w:rsidRDefault="000A7ADF" w:rsidP="000A7ADF">
      <w:pPr>
        <w:pStyle w:val="ad"/>
      </w:pPr>
      <w:bookmarkStart w:id="19" w:name="_Ref199861951"/>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12</w:t>
      </w:r>
      <w:r>
        <w:rPr>
          <w:noProof/>
        </w:rPr>
        <w:fldChar w:fldCharType="end"/>
      </w:r>
      <w:bookmarkEnd w:id="19"/>
      <w:r w:rsidRPr="00D90800">
        <w:t xml:space="preserve">: </w:t>
      </w:r>
      <w:r w:rsidRPr="00D90800">
        <w:rPr>
          <w:lang w:eastAsia="zh-TW"/>
        </w:rPr>
        <w:t xml:space="preserve">Effect of </w:t>
      </w:r>
      <w:r>
        <w:rPr>
          <w:lang w:eastAsia="zh-TW"/>
        </w:rPr>
        <w:t>arrival rate</w:t>
      </w:r>
      <w:r w:rsidRPr="00D90800">
        <w:rPr>
          <w:lang w:eastAsia="zh-TW"/>
        </w:rPr>
        <w:t xml:space="preserve"> on throughput</w:t>
      </w:r>
    </w:p>
    <w:p w14:paraId="1B37312C" w14:textId="77777777" w:rsidR="000A7ADF" w:rsidRDefault="000A7ADF" w:rsidP="000A7ADF">
      <w:pPr>
        <w:pStyle w:val="3"/>
      </w:pPr>
      <w:r>
        <w:t>Block generation rate</w:t>
      </w:r>
    </w:p>
    <w:p w14:paraId="2F661EAE" w14:textId="77777777" w:rsidR="000A7ADF" w:rsidRDefault="000A7ADF" w:rsidP="000A7ADF">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_Ref199770974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13</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to </w:t>
      </w:r>
      <w:r w:rsidRPr="00EE3D9E">
        <w:rPr>
          <w:rFonts w:ascii="Times New Roman" w:hAnsi="Times New Roman" w:cs="Times New Roman"/>
        </w:rPr>
        <w:fldChar w:fldCharType="begin"/>
      </w:r>
      <w:r w:rsidRPr="00EE3D9E">
        <w:rPr>
          <w:rFonts w:ascii="Times New Roman" w:hAnsi="Times New Roman" w:cs="Times New Roman"/>
        </w:rPr>
        <w:instrText xml:space="preserve"> REF _Ref199771007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18</w:t>
      </w:r>
      <w:r w:rsidRPr="00EE3D9E">
        <w:rPr>
          <w:rFonts w:ascii="Times New Roman" w:hAnsi="Times New Roman" w:cs="Times New Roman"/>
        </w:rPr>
        <w:fldChar w:fldCharType="end"/>
      </w:r>
      <w:r>
        <w:rPr>
          <w:rFonts w:ascii="Times New Roman" w:hAnsi="Times New Roman" w:cs="Times New Roman"/>
        </w:rPr>
        <w:t xml:space="preserve"> </w:t>
      </w:r>
      <w:r w:rsidRPr="006716C3">
        <w:rPr>
          <w:rFonts w:ascii="Times New Roman" w:hAnsi="Times New Roman" w:cs="Times New Roman"/>
        </w:rPr>
        <w:t xml:space="preserve">show the relationship between various performance metrics and the </w:t>
      </w:r>
      <w:r>
        <w:rPr>
          <w:rFonts w:ascii="Times New Roman" w:hAnsi="Times New Roman" w:cs="Times New Roman"/>
        </w:rPr>
        <w:t xml:space="preserve">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716C3">
        <w:rPr>
          <w:rFonts w:ascii="Times New Roman" w:hAnsi="Times New Roman" w:cs="Times New Roman"/>
        </w:rPr>
        <w:t>. Both simulation results and analytical results are shown for comparison.</w:t>
      </w:r>
    </w:p>
    <w:p w14:paraId="7BB3CDCD" w14:textId="77777777" w:rsidR="000A7ADF" w:rsidRPr="00EE3D9E" w:rsidRDefault="000A7ADF" w:rsidP="000A7ADF">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_Ref199770974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13</w:t>
      </w:r>
      <w:r w:rsidRPr="00EE3D9E">
        <w:rPr>
          <w:rFonts w:ascii="Times New Roman" w:hAnsi="Times New Roman" w:cs="Times New Roman"/>
        </w:rPr>
        <w:fldChar w:fldCharType="end"/>
      </w:r>
      <w:r w:rsidRPr="00381584">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d</w:t>
      </w:r>
      <w:r>
        <w:rPr>
          <w:rFonts w:ascii="Times New Roman" w:hAnsi="Times New Roman" w:cs="Times New Roman"/>
        </w:rPr>
        <w:t>ecreases significantly. This is because higher block generation rates</w:t>
      </w:r>
      <w:r w:rsidRPr="008E703D">
        <w:rPr>
          <w:rFonts w:ascii="Times New Roman" w:hAnsi="Times New Roman" w:cs="Times New Roman"/>
        </w:rPr>
        <w:t xml:space="preserve"> </w:t>
      </w:r>
      <w:r>
        <w:rPr>
          <w:rFonts w:ascii="Times New Roman" w:hAnsi="Times New Roman" w:cs="Times New Roman"/>
        </w:rPr>
        <w:t xml:space="preserve">allow customers to be grouped and processed more frequently, which reduces congestion in the customer queue. </w:t>
      </w:r>
      <w:r w:rsidRPr="007959E1">
        <w:rPr>
          <w:rFonts w:ascii="Times New Roman" w:hAnsi="Times New Roman" w:cs="Times New Roman"/>
        </w:rPr>
        <w:t xml:space="preserve">Lastly, the </w:t>
      </w:r>
      <w:r w:rsidRPr="007959E1">
        <w:rPr>
          <w:rFonts w:ascii="Times New Roman" w:hAnsi="Times New Roman" w:cs="Times New Roman"/>
        </w:rPr>
        <w:lastRenderedPageBreak/>
        <w:t>analytical results are in good agreement with the simulation results.</w:t>
      </w:r>
    </w:p>
    <w:p w14:paraId="3BEB3473" w14:textId="77777777" w:rsidR="000A7ADF" w:rsidRDefault="000A7ADF" w:rsidP="000A7ADF">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_Ref199770984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14</w:t>
      </w:r>
      <w:r w:rsidRPr="00EE3D9E">
        <w:rPr>
          <w:rFonts w:ascii="Times New Roman" w:hAnsi="Times New Roman" w:cs="Times New Roman"/>
        </w:rPr>
        <w:fldChar w:fldCharType="end"/>
      </w:r>
      <w:r w:rsidRPr="00EC5D27">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constant</w:t>
      </w:r>
      <w:r>
        <w:rPr>
          <w:rFonts w:ascii="Times New Roman" w:hAnsi="Times New Roman" w:cs="Times New Roman"/>
        </w:rPr>
        <w:t>. This indicates that the time each block spends in the consensus queue is determined by the consensus rate and system transition rate, and is independent of the arrival rate.</w:t>
      </w:r>
      <w:r w:rsidRPr="0067575C">
        <w:rPr>
          <w:rFonts w:ascii="Times New Roman" w:hAnsi="Times New Roman" w:cs="Times New Roman"/>
          <w:kern w:val="0"/>
        </w:rPr>
        <w:t xml:space="preserve"> </w:t>
      </w:r>
      <w:r w:rsidRPr="00D90800">
        <w:rPr>
          <w:rFonts w:ascii="Times New Roman" w:hAnsi="Times New Roman" w:cs="Times New Roman"/>
          <w:kern w:val="0"/>
        </w:rPr>
        <w:t>Lastly, the analytical results are in good agreement with the simulation results.</w:t>
      </w:r>
    </w:p>
    <w:p w14:paraId="4947E6BC" w14:textId="77777777" w:rsidR="000A7ADF" w:rsidRDefault="000A7ADF" w:rsidP="000A7ADF">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_Ref199770989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15</w:t>
      </w:r>
      <w:r w:rsidRPr="00EE3D9E">
        <w:rPr>
          <w:rFonts w:ascii="Times New Roman" w:hAnsi="Times New Roman" w:cs="Times New Roman"/>
        </w:rPr>
        <w:fldChar w:fldCharType="end"/>
      </w:r>
      <w:r w:rsidRPr="00EC5D27">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decreases steadily. This is because higher block generation rates allow customers to be grouped and processed more frequently,</w:t>
      </w:r>
      <w:r w:rsidRPr="008E703D">
        <w:rPr>
          <w:rFonts w:ascii="Times New Roman" w:hAnsi="Times New Roman" w:cs="Times New Roman"/>
        </w:rPr>
        <w:t xml:space="preserve"> </w:t>
      </w:r>
      <w:r>
        <w:rPr>
          <w:rFonts w:ascii="Times New Roman" w:hAnsi="Times New Roman" w:cs="Times New Roman"/>
        </w:rPr>
        <w:t>which reduces congestion in the customer queue.</w:t>
      </w:r>
      <w:r w:rsidRPr="008E703D">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666B94A9" w14:textId="77777777" w:rsidR="000A7ADF" w:rsidRDefault="000A7ADF" w:rsidP="000A7ADF">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16</w:t>
      </w:r>
      <w:r w:rsidRPr="00EE3D9E">
        <w:rPr>
          <w:rFonts w:ascii="Times New Roman" w:hAnsi="Times New Roman" w:cs="Times New Roman"/>
        </w:rPr>
        <w:fldChar w:fldCharType="end"/>
      </w:r>
      <w:r w:rsidRPr="008E703D">
        <w:rPr>
          <w:rFonts w:ascii="Times New Roman" w:hAnsi="Times New Roman" w:cs="Times New Roman"/>
        </w:rPr>
        <w:t xml:space="preserve"> </w:t>
      </w:r>
      <w:r w:rsidRPr="008E6DC5">
        <w:rPr>
          <w:rFonts w:ascii="Times New Roman" w:hAnsi="Times New Roman" w:cs="Times New Roman"/>
        </w:rPr>
        <w:t xml:space="preserve">illustrates the impact of the </w:t>
      </w:r>
      <w:r>
        <w:rPr>
          <w:rFonts w:ascii="Times New Roman" w:hAnsi="Times New Roman" w:cs="Times New Roman"/>
        </w:rPr>
        <w:t>block generation rate</w:t>
      </w:r>
      <w:r w:rsidRPr="008E6DC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8E6DC5">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8E6DC5">
        <w:rPr>
          <w:rFonts w:ascii="Times New Roman" w:hAnsi="Times New Roman" w:cs="Times New Roman"/>
        </w:rPr>
        <w:t xml:space="preserve"> inc</w:t>
      </w:r>
      <w:proofErr w:type="spellStart"/>
      <w:r w:rsidRPr="008E6DC5">
        <w:rPr>
          <w:rFonts w:ascii="Times New Roman" w:hAnsi="Times New Roman" w:cs="Times New Roman"/>
        </w:rPr>
        <w:t>reases</w:t>
      </w:r>
      <w:proofErr w:type="spellEnd"/>
      <w:r w:rsidRPr="008E6DC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 xml:space="preserve"> initially grows and then stabilizes around constant value. This indicates that</w:t>
      </w:r>
      <w:r>
        <w:rPr>
          <w:rFonts w:ascii="Times New Roman" w:hAnsi="Times New Roman" w:cs="Times New Roman"/>
        </w:rPr>
        <w:t xml:space="preserve"> although more frequent block generation can expedite customers service</w:t>
      </w:r>
      <w:r w:rsidRPr="008E6DC5">
        <w:rPr>
          <w:rFonts w:ascii="Times New Roman" w:hAnsi="Times New Roman" w:cs="Times New Roman"/>
        </w:rPr>
        <w:t xml:space="preserve">, the average block occupancy tends to saturate </w:t>
      </w:r>
      <w:r>
        <w:rPr>
          <w:rFonts w:ascii="Times New Roman" w:hAnsi="Times New Roman" w:cs="Times New Roman"/>
        </w:rPr>
        <w:t>because of the arrival rate</w:t>
      </w:r>
      <w:r w:rsidRPr="0023024D">
        <w:rPr>
          <w:rFonts w:ascii="Times New Roman" w:hAnsi="Times New Roman" w:cs="Times New Roman"/>
        </w:rPr>
        <w:t xml:space="preserve"> </w:t>
      </w:r>
      <w:r>
        <w:rPr>
          <w:rFonts w:ascii="Times New Roman" w:hAnsi="Times New Roman" w:cs="Times New Roman"/>
        </w:rPr>
        <w:t>and the effective service rate reached a state of equilibrium.</w:t>
      </w:r>
      <w:r w:rsidRPr="000E3AC9">
        <w:rPr>
          <w:rFonts w:ascii="Times New Roman" w:hAnsi="Times New Roman" w:cs="Times New Roman"/>
          <w:color w:val="4472C4" w:themeColor="accent1"/>
          <w:kern w:val="0"/>
        </w:rPr>
        <w:t xml:space="preserve"> </w:t>
      </w:r>
      <w:r w:rsidRPr="008E6DC5">
        <w:rPr>
          <w:rFonts w:ascii="Times New Roman" w:hAnsi="Times New Roman" w:cs="Times New Roman"/>
          <w:kern w:val="0"/>
        </w:rPr>
        <w:t>Lastly, the analytical results are in good agreement with the simulation results.</w:t>
      </w:r>
    </w:p>
    <w:p w14:paraId="4832F37B" w14:textId="77777777" w:rsidR="000A7ADF" w:rsidRDefault="000A7ADF" w:rsidP="000A7ADF">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_Ref199771006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17</w:t>
      </w:r>
      <w:r w:rsidRPr="00EE3D9E">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A</w:t>
      </w:r>
      <w:r w:rsidRPr="00D90800">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decreases rapidly. This is because higher block generation rates allow customers to be served more frequently, reducing the possibility that the customer queue reaches its capacity and causes incoming arrivals to be blocked.</w:t>
      </w:r>
      <w:r w:rsidRPr="00AD03BA">
        <w:rPr>
          <w:rFonts w:ascii="Times New Roman" w:hAnsi="Times New Roman" w:cs="Times New Roman"/>
          <w:kern w:val="0"/>
        </w:rPr>
        <w:t xml:space="preserve"> </w:t>
      </w:r>
      <w:r w:rsidRPr="008E6DC5">
        <w:rPr>
          <w:rFonts w:ascii="Times New Roman" w:hAnsi="Times New Roman" w:cs="Times New Roman"/>
          <w:kern w:val="0"/>
        </w:rPr>
        <w:t>Lastly, the analytical results are in good agreement with the simulation results.</w:t>
      </w:r>
    </w:p>
    <w:p w14:paraId="65B39896" w14:textId="77777777" w:rsidR="000A7ADF" w:rsidRDefault="000A7ADF" w:rsidP="000A7ADF">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18</w:t>
      </w:r>
      <w:r w:rsidRPr="00EE3D9E">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7959E1">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F1383F">
        <w:t xml:space="preserve"> </w:t>
      </w:r>
      <w:r w:rsidRPr="00F1383F">
        <w:rPr>
          <w:rFonts w:ascii="Times New Roman" w:hAnsi="Times New Roman" w:cs="Times New Roman"/>
        </w:rPr>
        <w:t xml:space="preserve">rises rapidly at first and then gradually saturates. This is because </w:t>
      </w:r>
      <w:r>
        <w:rPr>
          <w:rFonts w:ascii="Times New Roman" w:hAnsi="Times New Roman" w:cs="Times New Roman"/>
        </w:rPr>
        <w:t>higher block generation rates</w:t>
      </w:r>
      <w:r w:rsidRPr="00F1383F">
        <w:rPr>
          <w:rFonts w:ascii="Times New Roman" w:hAnsi="Times New Roman" w:cs="Times New Roman"/>
        </w:rPr>
        <w:t xml:space="preserve"> enable more customers to be processed per consensus cycle, but the throughput eventually approaches a limit determined by</w:t>
      </w:r>
      <w:r w:rsidRPr="000E3AC9">
        <w:rPr>
          <w:rFonts w:ascii="Times New Roman" w:hAnsi="Times New Roman" w:cs="Times New Roman"/>
          <w:color w:val="FF0000"/>
          <w:kern w:val="0"/>
        </w:rPr>
        <w:t xml:space="preserve"> </w:t>
      </w:r>
      <w:r w:rsidRPr="00E474C7">
        <w:rPr>
          <w:rFonts w:ascii="Times New Roman" w:hAnsi="Times New Roman" w:cs="Times New Roman"/>
          <w:kern w:val="0"/>
        </w:rPr>
        <w:t>the customer arrival rate, which is less than the system processing capacity.</w:t>
      </w:r>
      <w:r w:rsidRPr="000E3AC9">
        <w:rPr>
          <w:rFonts w:ascii="Times New Roman" w:hAnsi="Times New Roman" w:cs="Times New Roman"/>
          <w:color w:val="4472C4" w:themeColor="accent1"/>
        </w:rPr>
        <w:t xml:space="preserve"> </w:t>
      </w:r>
      <w:r w:rsidRPr="00F1383F">
        <w:rPr>
          <w:rFonts w:ascii="Times New Roman" w:hAnsi="Times New Roman" w:cs="Times New Roman"/>
        </w:rPr>
        <w:t>Lastly, the analytical results are in good agreement with the simulation results.</w:t>
      </w:r>
    </w:p>
    <w:p w14:paraId="35F1A9B4" w14:textId="77777777" w:rsidR="000A7ADF" w:rsidRPr="00D90800" w:rsidRDefault="000A7ADF" w:rsidP="000A7ADF">
      <w:pPr>
        <w:keepNext/>
        <w:jc w:val="center"/>
        <w:rPr>
          <w:rFonts w:ascii="Times New Roman" w:eastAsia="Yu Mincho" w:hAnsi="Times New Roman" w:cs="Times New Roman"/>
          <w:lang w:eastAsia="ja-JP"/>
        </w:rPr>
      </w:pPr>
      <w:r>
        <w:rPr>
          <w:noProof/>
        </w:rPr>
        <w:lastRenderedPageBreak/>
        <w:drawing>
          <wp:inline distT="0" distB="0" distL="0" distR="0" wp14:anchorId="7030BFF2" wp14:editId="1940ACD0">
            <wp:extent cx="4572000" cy="2762250"/>
            <wp:effectExtent l="0" t="0" r="0" b="0"/>
            <wp:docPr id="43" name="圖表 43">
              <a:extLst xmlns:a="http://schemas.openxmlformats.org/drawingml/2006/main">
                <a:ext uri="{FF2B5EF4-FFF2-40B4-BE49-F238E27FC236}">
                  <a16:creationId xmlns:a16="http://schemas.microsoft.com/office/drawing/2014/main" id="{67E76BD4-2394-4123-82D5-45521F56CA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30837DC" w14:textId="77777777" w:rsidR="000A7ADF" w:rsidRPr="00D90800" w:rsidRDefault="000A7ADF" w:rsidP="000A7ADF">
      <w:pPr>
        <w:pStyle w:val="ad"/>
      </w:pPr>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13</w:t>
      </w:r>
      <w:r>
        <w:rPr>
          <w:noProof/>
        </w:rPr>
        <w:fldChar w:fldCharType="end"/>
      </w:r>
      <w:r w:rsidRPr="00D90800">
        <w:t>:</w:t>
      </w:r>
      <w:r w:rsidRPr="00BA09CC">
        <w:rPr>
          <w:lang w:eastAsia="zh-TW"/>
        </w:rPr>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customer queue</w:t>
      </w:r>
    </w:p>
    <w:p w14:paraId="3D53A1C1" w14:textId="77777777" w:rsidR="000A7ADF" w:rsidRPr="00BA09CC" w:rsidRDefault="000A7ADF" w:rsidP="000A7ADF">
      <w:pPr>
        <w:keepNext/>
        <w:jc w:val="center"/>
        <w:rPr>
          <w:rFonts w:ascii="Times New Roman" w:hAnsi="Times New Roman" w:cs="Times New Roman"/>
        </w:rPr>
      </w:pPr>
      <w:r w:rsidRPr="00BA09CC">
        <w:rPr>
          <w:noProof/>
        </w:rPr>
        <w:t xml:space="preserve"> </w:t>
      </w:r>
      <w:r>
        <w:rPr>
          <w:noProof/>
        </w:rPr>
        <w:drawing>
          <wp:inline distT="0" distB="0" distL="0" distR="0" wp14:anchorId="613271D1" wp14:editId="674538FD">
            <wp:extent cx="4572000" cy="2762250"/>
            <wp:effectExtent l="0" t="0" r="0" b="0"/>
            <wp:docPr id="44" name="圖表 44">
              <a:extLst xmlns:a="http://schemas.openxmlformats.org/drawingml/2006/main">
                <a:ext uri="{FF2B5EF4-FFF2-40B4-BE49-F238E27FC236}">
                  <a16:creationId xmlns:a16="http://schemas.microsoft.com/office/drawing/2014/main" id="{1DA95AEC-4EC8-4F05-9471-D4C58C1EE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C7130BF" w14:textId="77777777" w:rsidR="000A7ADF" w:rsidRPr="00D90800" w:rsidRDefault="000A7ADF" w:rsidP="000A7ADF">
      <w:pPr>
        <w:pStyle w:val="ad"/>
      </w:pPr>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14</w:t>
      </w:r>
      <w:r>
        <w:rPr>
          <w:noProof/>
        </w:rPr>
        <w:fldChar w:fldCharType="end"/>
      </w:r>
      <w:r w:rsidRPr="00D90800">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block queue</w:t>
      </w:r>
    </w:p>
    <w:p w14:paraId="2D67DBBD" w14:textId="77777777" w:rsidR="000A7ADF" w:rsidRPr="00D90800" w:rsidRDefault="000A7ADF" w:rsidP="000A7ADF">
      <w:pPr>
        <w:keepNext/>
        <w:jc w:val="center"/>
        <w:rPr>
          <w:rFonts w:ascii="Times New Roman" w:hAnsi="Times New Roman" w:cs="Times New Roman"/>
        </w:rPr>
      </w:pPr>
      <w:r>
        <w:rPr>
          <w:noProof/>
        </w:rPr>
        <w:lastRenderedPageBreak/>
        <w:drawing>
          <wp:inline distT="0" distB="0" distL="0" distR="0" wp14:anchorId="65A8287C" wp14:editId="7F26106F">
            <wp:extent cx="4572000" cy="2762250"/>
            <wp:effectExtent l="0" t="0" r="0" b="0"/>
            <wp:docPr id="45" name="圖表 45">
              <a:extLst xmlns:a="http://schemas.openxmlformats.org/drawingml/2006/main">
                <a:ext uri="{FF2B5EF4-FFF2-40B4-BE49-F238E27FC236}">
                  <a16:creationId xmlns:a16="http://schemas.microsoft.com/office/drawing/2014/main" id="{DE41767D-B288-43FB-A069-81ECDE71C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465BF06" w14:textId="77777777" w:rsidR="000A7ADF" w:rsidRPr="00D90800" w:rsidRDefault="000A7ADF" w:rsidP="000A7ADF">
      <w:pPr>
        <w:pStyle w:val="ad"/>
      </w:pPr>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15</w:t>
      </w:r>
      <w:r>
        <w:rPr>
          <w:noProof/>
        </w:rPr>
        <w:fldChar w:fldCharType="end"/>
      </w:r>
      <w:r w:rsidRPr="00D90800">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system</w:t>
      </w:r>
    </w:p>
    <w:p w14:paraId="4E5E0918" w14:textId="77777777" w:rsidR="000A7ADF" w:rsidRPr="00D90800" w:rsidRDefault="000A7ADF" w:rsidP="000A7ADF">
      <w:pPr>
        <w:keepNext/>
        <w:jc w:val="center"/>
        <w:rPr>
          <w:rFonts w:ascii="Times New Roman" w:hAnsi="Times New Roman" w:cs="Times New Roman"/>
        </w:rPr>
      </w:pPr>
      <w:r>
        <w:rPr>
          <w:noProof/>
        </w:rPr>
        <w:drawing>
          <wp:inline distT="0" distB="0" distL="0" distR="0" wp14:anchorId="72516809" wp14:editId="381108E5">
            <wp:extent cx="4572000" cy="2762250"/>
            <wp:effectExtent l="0" t="0" r="0" b="0"/>
            <wp:docPr id="50" name="圖表 50">
              <a:extLst xmlns:a="http://schemas.openxmlformats.org/drawingml/2006/main">
                <a:ext uri="{FF2B5EF4-FFF2-40B4-BE49-F238E27FC236}">
                  <a16:creationId xmlns:a16="http://schemas.microsoft.com/office/drawing/2014/main" id="{52A9D245-46EA-4D0F-BCB5-B7EB4740F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88FB53D" w14:textId="77777777" w:rsidR="000A7ADF" w:rsidRPr="00D90800" w:rsidRDefault="000A7ADF" w:rsidP="000A7ADF">
      <w:pPr>
        <w:pStyle w:val="ad"/>
      </w:pPr>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16</w:t>
      </w:r>
      <w:r>
        <w:rPr>
          <w:noProof/>
        </w:rPr>
        <w:fldChar w:fldCharType="end"/>
      </w:r>
      <w:r w:rsidRPr="00D90800">
        <w:t xml:space="preserve">: </w:t>
      </w:r>
      <w:r>
        <w:t>Effect of</w:t>
      </w:r>
      <w:r w:rsidRPr="003B13EA">
        <w:rPr>
          <w:lang w:eastAsia="zh-TW"/>
        </w:rPr>
        <w:t xml:space="preserve"> </w:t>
      </w:r>
      <w:r>
        <w:rPr>
          <w:lang w:eastAsia="zh-TW"/>
        </w:rPr>
        <w:t>block generation rate on</w:t>
      </w:r>
      <w:r>
        <w:t xml:space="preserve"> </w:t>
      </w:r>
      <w:r w:rsidRPr="00D90800">
        <w:t>average number of customers in block queue</w:t>
      </w:r>
    </w:p>
    <w:p w14:paraId="0C289EA2" w14:textId="77777777" w:rsidR="000A7ADF" w:rsidRPr="00D90800" w:rsidRDefault="000A7ADF" w:rsidP="000A7ADF">
      <w:pPr>
        <w:keepNext/>
        <w:jc w:val="center"/>
        <w:rPr>
          <w:rFonts w:ascii="Times New Roman" w:hAnsi="Times New Roman" w:cs="Times New Roman"/>
        </w:rPr>
      </w:pPr>
      <w:r>
        <w:rPr>
          <w:noProof/>
        </w:rPr>
        <w:lastRenderedPageBreak/>
        <w:drawing>
          <wp:inline distT="0" distB="0" distL="0" distR="0" wp14:anchorId="008F1B20" wp14:editId="0D105D9D">
            <wp:extent cx="4572000" cy="2762250"/>
            <wp:effectExtent l="0" t="0" r="0" b="0"/>
            <wp:docPr id="51" name="圖表 51">
              <a:extLst xmlns:a="http://schemas.openxmlformats.org/drawingml/2006/main">
                <a:ext uri="{FF2B5EF4-FFF2-40B4-BE49-F238E27FC236}">
                  <a16:creationId xmlns:a16="http://schemas.microsoft.com/office/drawing/2014/main" id="{4645CD5B-D898-4CE8-ADCD-341A9C11B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D5A6C8B" w14:textId="77777777" w:rsidR="000A7ADF" w:rsidRPr="00D90800" w:rsidRDefault="000A7ADF" w:rsidP="000A7ADF">
      <w:pPr>
        <w:pStyle w:val="ad"/>
      </w:pPr>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17</w:t>
      </w:r>
      <w:r>
        <w:rPr>
          <w:noProof/>
        </w:rPr>
        <w:fldChar w:fldCharType="end"/>
      </w:r>
      <w:r w:rsidRPr="00D90800">
        <w:t xml:space="preserve">: </w:t>
      </w:r>
      <w:r w:rsidRPr="00D90800">
        <w:rPr>
          <w:lang w:eastAsia="zh-TW"/>
        </w:rPr>
        <w:t xml:space="preserve">Effect of </w:t>
      </w:r>
      <w:r>
        <w:rPr>
          <w:lang w:eastAsia="zh-TW"/>
        </w:rPr>
        <w:t>block generation rate on</w:t>
      </w:r>
      <w:r w:rsidRPr="00D90800">
        <w:rPr>
          <w:lang w:eastAsia="zh-TW"/>
        </w:rPr>
        <w:t xml:space="preserve"> </w:t>
      </w:r>
      <w:r>
        <w:t>blocking probability</w:t>
      </w:r>
    </w:p>
    <w:p w14:paraId="6102D31B" w14:textId="77777777" w:rsidR="000A7ADF" w:rsidRPr="00D90800" w:rsidRDefault="000A7ADF" w:rsidP="000A7ADF">
      <w:pPr>
        <w:keepNext/>
        <w:jc w:val="center"/>
        <w:rPr>
          <w:rFonts w:ascii="Times New Roman" w:hAnsi="Times New Roman" w:cs="Times New Roman"/>
        </w:rPr>
      </w:pPr>
      <w:r>
        <w:rPr>
          <w:noProof/>
        </w:rPr>
        <w:drawing>
          <wp:inline distT="0" distB="0" distL="0" distR="0" wp14:anchorId="47E41259" wp14:editId="13A0BC29">
            <wp:extent cx="4572000" cy="2762250"/>
            <wp:effectExtent l="0" t="0" r="0" b="0"/>
            <wp:docPr id="52" name="圖表 52">
              <a:extLst xmlns:a="http://schemas.openxmlformats.org/drawingml/2006/main">
                <a:ext uri="{FF2B5EF4-FFF2-40B4-BE49-F238E27FC236}">
                  <a16:creationId xmlns:a16="http://schemas.microsoft.com/office/drawing/2014/main" id="{F439E8A8-BC8F-4760-882E-EE1327CC3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4699F01" w14:textId="77777777" w:rsidR="000A7ADF" w:rsidRPr="006716C3" w:rsidRDefault="000A7ADF" w:rsidP="000A7ADF">
      <w:pPr>
        <w:pStyle w:val="ad"/>
      </w:pPr>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18</w:t>
      </w:r>
      <w:r>
        <w:rPr>
          <w:noProof/>
        </w:rPr>
        <w:fldChar w:fldCharType="end"/>
      </w:r>
      <w:r w:rsidRPr="00D90800">
        <w:t xml:space="preserve">: </w:t>
      </w:r>
      <w:r w:rsidRPr="00D90800">
        <w:rPr>
          <w:lang w:eastAsia="zh-TW"/>
        </w:rPr>
        <w:t xml:space="preserve">Effect of </w:t>
      </w:r>
      <w:r>
        <w:rPr>
          <w:lang w:eastAsia="zh-TW"/>
        </w:rPr>
        <w:t>block generation rate</w:t>
      </w:r>
      <w:r w:rsidRPr="00D90800">
        <w:rPr>
          <w:lang w:eastAsia="zh-TW"/>
        </w:rPr>
        <w:t xml:space="preserve"> on throughput</w:t>
      </w:r>
    </w:p>
    <w:p w14:paraId="54DF74B8" w14:textId="5081E192" w:rsidR="00A156C1" w:rsidRPr="000A7ADF" w:rsidRDefault="00A156C1" w:rsidP="000A7ADF"/>
    <w:sectPr w:rsidR="00A156C1" w:rsidRPr="000A7AD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CF98D" w14:textId="77777777" w:rsidR="00E939A1" w:rsidRDefault="00E939A1" w:rsidP="00D15111">
      <w:r>
        <w:separator/>
      </w:r>
    </w:p>
  </w:endnote>
  <w:endnote w:type="continuationSeparator" w:id="0">
    <w:p w14:paraId="1B64E233" w14:textId="77777777" w:rsidR="00E939A1" w:rsidRDefault="00E939A1"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D6F92" w14:textId="77777777" w:rsidR="00E939A1" w:rsidRDefault="00E939A1" w:rsidP="00D15111">
      <w:r>
        <w:separator/>
      </w:r>
    </w:p>
  </w:footnote>
  <w:footnote w:type="continuationSeparator" w:id="0">
    <w:p w14:paraId="61F6A0AC" w14:textId="77777777" w:rsidR="00E939A1" w:rsidRDefault="00E939A1"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05D891B6"/>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40E96"/>
    <w:multiLevelType w:val="multilevel"/>
    <w:tmpl w:val="87B46FE4"/>
    <w:lvl w:ilvl="0">
      <w:start w:val="5"/>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1"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5"/>
  </w:num>
  <w:num w:numId="2">
    <w:abstractNumId w:val="13"/>
  </w:num>
  <w:num w:numId="3">
    <w:abstractNumId w:val="0"/>
    <w:lvlOverride w:ilvl="0">
      <w:startOverride w:val="1"/>
    </w:lvlOverride>
  </w:num>
  <w:num w:numId="4">
    <w:abstractNumId w:val="27"/>
  </w:num>
  <w:num w:numId="5">
    <w:abstractNumId w:val="25"/>
  </w:num>
  <w:num w:numId="6">
    <w:abstractNumId w:val="21"/>
  </w:num>
  <w:num w:numId="7">
    <w:abstractNumId w:val="22"/>
  </w:num>
  <w:num w:numId="8">
    <w:abstractNumId w:val="17"/>
  </w:num>
  <w:num w:numId="9">
    <w:abstractNumId w:val="9"/>
  </w:num>
  <w:num w:numId="10">
    <w:abstractNumId w:val="16"/>
  </w:num>
  <w:num w:numId="11">
    <w:abstractNumId w:val="20"/>
  </w:num>
  <w:num w:numId="1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9"/>
  </w:num>
  <w:num w:numId="21">
    <w:abstractNumId w:val="11"/>
  </w:num>
  <w:num w:numId="22">
    <w:abstractNumId w:val="3"/>
  </w:num>
  <w:num w:numId="23">
    <w:abstractNumId w:val="8"/>
  </w:num>
  <w:num w:numId="24">
    <w:abstractNumId w:val="1"/>
  </w:num>
  <w:num w:numId="25">
    <w:abstractNumId w:val="7"/>
  </w:num>
  <w:num w:numId="26">
    <w:abstractNumId w:val="12"/>
  </w:num>
  <w:num w:numId="27">
    <w:abstractNumId w:val="26"/>
  </w:num>
  <w:num w:numId="28">
    <w:abstractNumId w:val="18"/>
  </w:num>
  <w:num w:numId="29">
    <w:abstractNumId w:val="10"/>
  </w:num>
  <w:num w:numId="30">
    <w:abstractNumId w:val="24"/>
  </w:num>
  <w:num w:numId="31">
    <w:abstractNumId w:val="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237A5"/>
    <w:rsid w:val="00045395"/>
    <w:rsid w:val="000466C8"/>
    <w:rsid w:val="00047225"/>
    <w:rsid w:val="00047BFD"/>
    <w:rsid w:val="000575D9"/>
    <w:rsid w:val="00075349"/>
    <w:rsid w:val="00090616"/>
    <w:rsid w:val="00094303"/>
    <w:rsid w:val="00094ECE"/>
    <w:rsid w:val="000A2D6A"/>
    <w:rsid w:val="000A3DF8"/>
    <w:rsid w:val="000A7ADF"/>
    <w:rsid w:val="000B10CD"/>
    <w:rsid w:val="000B64C4"/>
    <w:rsid w:val="000B6C8D"/>
    <w:rsid w:val="000B7E8C"/>
    <w:rsid w:val="000B7EB0"/>
    <w:rsid w:val="000C2076"/>
    <w:rsid w:val="000C380C"/>
    <w:rsid w:val="000C7AA6"/>
    <w:rsid w:val="000D069E"/>
    <w:rsid w:val="000E29D1"/>
    <w:rsid w:val="000E5247"/>
    <w:rsid w:val="000E5A92"/>
    <w:rsid w:val="000E754E"/>
    <w:rsid w:val="000F3777"/>
    <w:rsid w:val="00102D39"/>
    <w:rsid w:val="00111D87"/>
    <w:rsid w:val="00121700"/>
    <w:rsid w:val="00121B3C"/>
    <w:rsid w:val="0012683C"/>
    <w:rsid w:val="00136D95"/>
    <w:rsid w:val="00137BA7"/>
    <w:rsid w:val="0015127B"/>
    <w:rsid w:val="00161579"/>
    <w:rsid w:val="001638FF"/>
    <w:rsid w:val="001645C6"/>
    <w:rsid w:val="00167BA6"/>
    <w:rsid w:val="001711CB"/>
    <w:rsid w:val="00176230"/>
    <w:rsid w:val="00180694"/>
    <w:rsid w:val="00191443"/>
    <w:rsid w:val="001952E1"/>
    <w:rsid w:val="001A3799"/>
    <w:rsid w:val="001B2F7C"/>
    <w:rsid w:val="001D399D"/>
    <w:rsid w:val="001D67DE"/>
    <w:rsid w:val="001E53A8"/>
    <w:rsid w:val="001E6C26"/>
    <w:rsid w:val="002005E2"/>
    <w:rsid w:val="00200C77"/>
    <w:rsid w:val="002101E3"/>
    <w:rsid w:val="002177B0"/>
    <w:rsid w:val="00226133"/>
    <w:rsid w:val="002434AE"/>
    <w:rsid w:val="0024575E"/>
    <w:rsid w:val="002516B0"/>
    <w:rsid w:val="00272B8E"/>
    <w:rsid w:val="002732BB"/>
    <w:rsid w:val="0028411F"/>
    <w:rsid w:val="0028478C"/>
    <w:rsid w:val="00285919"/>
    <w:rsid w:val="002865DC"/>
    <w:rsid w:val="0029009F"/>
    <w:rsid w:val="00297085"/>
    <w:rsid w:val="00297B7D"/>
    <w:rsid w:val="002A5C08"/>
    <w:rsid w:val="002B5F27"/>
    <w:rsid w:val="002D45D3"/>
    <w:rsid w:val="002E046D"/>
    <w:rsid w:val="002E31A6"/>
    <w:rsid w:val="002E5679"/>
    <w:rsid w:val="002F248E"/>
    <w:rsid w:val="002F6DA4"/>
    <w:rsid w:val="0030185B"/>
    <w:rsid w:val="00301D4D"/>
    <w:rsid w:val="003035B5"/>
    <w:rsid w:val="00314FAA"/>
    <w:rsid w:val="003162B6"/>
    <w:rsid w:val="00330ECB"/>
    <w:rsid w:val="0034772C"/>
    <w:rsid w:val="0034777C"/>
    <w:rsid w:val="0035760D"/>
    <w:rsid w:val="003672A0"/>
    <w:rsid w:val="003701CD"/>
    <w:rsid w:val="00373488"/>
    <w:rsid w:val="00387C97"/>
    <w:rsid w:val="003B4C32"/>
    <w:rsid w:val="003B696F"/>
    <w:rsid w:val="003C144B"/>
    <w:rsid w:val="003C265B"/>
    <w:rsid w:val="003D1405"/>
    <w:rsid w:val="003D5BDE"/>
    <w:rsid w:val="003D5C1E"/>
    <w:rsid w:val="003E0CBE"/>
    <w:rsid w:val="003E7792"/>
    <w:rsid w:val="003F0D8F"/>
    <w:rsid w:val="003F1E36"/>
    <w:rsid w:val="00401A25"/>
    <w:rsid w:val="004145A6"/>
    <w:rsid w:val="00414B94"/>
    <w:rsid w:val="00420AE7"/>
    <w:rsid w:val="00425598"/>
    <w:rsid w:val="00425754"/>
    <w:rsid w:val="00435924"/>
    <w:rsid w:val="00445BBB"/>
    <w:rsid w:val="00454557"/>
    <w:rsid w:val="004557FC"/>
    <w:rsid w:val="00457DEB"/>
    <w:rsid w:val="00465AFF"/>
    <w:rsid w:val="00466E9F"/>
    <w:rsid w:val="004724C7"/>
    <w:rsid w:val="0048038B"/>
    <w:rsid w:val="004831A3"/>
    <w:rsid w:val="00497082"/>
    <w:rsid w:val="004A0204"/>
    <w:rsid w:val="004B6335"/>
    <w:rsid w:val="004C0E54"/>
    <w:rsid w:val="004C7C13"/>
    <w:rsid w:val="004D1AB9"/>
    <w:rsid w:val="004D34C9"/>
    <w:rsid w:val="004D5FD3"/>
    <w:rsid w:val="004D69A1"/>
    <w:rsid w:val="004D7609"/>
    <w:rsid w:val="004E26F0"/>
    <w:rsid w:val="004E664E"/>
    <w:rsid w:val="004F0946"/>
    <w:rsid w:val="004F4395"/>
    <w:rsid w:val="004F68F6"/>
    <w:rsid w:val="00502C80"/>
    <w:rsid w:val="00512548"/>
    <w:rsid w:val="00514B52"/>
    <w:rsid w:val="005176CC"/>
    <w:rsid w:val="00521B78"/>
    <w:rsid w:val="00521B79"/>
    <w:rsid w:val="00534ACE"/>
    <w:rsid w:val="0054090A"/>
    <w:rsid w:val="00540A47"/>
    <w:rsid w:val="00550786"/>
    <w:rsid w:val="005608CD"/>
    <w:rsid w:val="00563FE8"/>
    <w:rsid w:val="00564564"/>
    <w:rsid w:val="00564ED8"/>
    <w:rsid w:val="0056785C"/>
    <w:rsid w:val="00572591"/>
    <w:rsid w:val="0057418C"/>
    <w:rsid w:val="00574DCF"/>
    <w:rsid w:val="005776EA"/>
    <w:rsid w:val="005823A2"/>
    <w:rsid w:val="005919A1"/>
    <w:rsid w:val="00597EFA"/>
    <w:rsid w:val="005B035F"/>
    <w:rsid w:val="005C530F"/>
    <w:rsid w:val="005C79AE"/>
    <w:rsid w:val="005D00E9"/>
    <w:rsid w:val="005D42ED"/>
    <w:rsid w:val="005D4CA2"/>
    <w:rsid w:val="005D624D"/>
    <w:rsid w:val="005F3B64"/>
    <w:rsid w:val="005F645B"/>
    <w:rsid w:val="006033F2"/>
    <w:rsid w:val="00606665"/>
    <w:rsid w:val="0065165E"/>
    <w:rsid w:val="00653D8A"/>
    <w:rsid w:val="006546F7"/>
    <w:rsid w:val="00654C5B"/>
    <w:rsid w:val="0066159B"/>
    <w:rsid w:val="00663FB0"/>
    <w:rsid w:val="00664B1A"/>
    <w:rsid w:val="0066720B"/>
    <w:rsid w:val="006716C3"/>
    <w:rsid w:val="00672FCF"/>
    <w:rsid w:val="006773E7"/>
    <w:rsid w:val="00680DC9"/>
    <w:rsid w:val="0068508C"/>
    <w:rsid w:val="006928A8"/>
    <w:rsid w:val="00696A30"/>
    <w:rsid w:val="00697BB7"/>
    <w:rsid w:val="006A2EF4"/>
    <w:rsid w:val="006B3DFE"/>
    <w:rsid w:val="006B63FA"/>
    <w:rsid w:val="006D3282"/>
    <w:rsid w:val="006D43CE"/>
    <w:rsid w:val="006D50D6"/>
    <w:rsid w:val="006E7363"/>
    <w:rsid w:val="006F1B51"/>
    <w:rsid w:val="006F7AAA"/>
    <w:rsid w:val="007006CA"/>
    <w:rsid w:val="00714318"/>
    <w:rsid w:val="00727C62"/>
    <w:rsid w:val="00727C7D"/>
    <w:rsid w:val="0073007D"/>
    <w:rsid w:val="00735E44"/>
    <w:rsid w:val="00747F25"/>
    <w:rsid w:val="007535D6"/>
    <w:rsid w:val="0076425F"/>
    <w:rsid w:val="00766594"/>
    <w:rsid w:val="007737AF"/>
    <w:rsid w:val="00774218"/>
    <w:rsid w:val="007752AE"/>
    <w:rsid w:val="0079099D"/>
    <w:rsid w:val="007909F8"/>
    <w:rsid w:val="007966D6"/>
    <w:rsid w:val="007967FB"/>
    <w:rsid w:val="00797817"/>
    <w:rsid w:val="007A0344"/>
    <w:rsid w:val="007A4894"/>
    <w:rsid w:val="007A7BAC"/>
    <w:rsid w:val="007B1690"/>
    <w:rsid w:val="007B58FA"/>
    <w:rsid w:val="007C2798"/>
    <w:rsid w:val="007C3B0C"/>
    <w:rsid w:val="007D2534"/>
    <w:rsid w:val="007D3F19"/>
    <w:rsid w:val="007D7E9A"/>
    <w:rsid w:val="007E5583"/>
    <w:rsid w:val="007F1080"/>
    <w:rsid w:val="0080374F"/>
    <w:rsid w:val="0080522E"/>
    <w:rsid w:val="008101A3"/>
    <w:rsid w:val="0081254B"/>
    <w:rsid w:val="00813687"/>
    <w:rsid w:val="008153F0"/>
    <w:rsid w:val="008232AE"/>
    <w:rsid w:val="00830554"/>
    <w:rsid w:val="008329DC"/>
    <w:rsid w:val="008373B2"/>
    <w:rsid w:val="00855583"/>
    <w:rsid w:val="008555D5"/>
    <w:rsid w:val="0085606C"/>
    <w:rsid w:val="00860743"/>
    <w:rsid w:val="00861201"/>
    <w:rsid w:val="008677FC"/>
    <w:rsid w:val="00890862"/>
    <w:rsid w:val="00892899"/>
    <w:rsid w:val="00897451"/>
    <w:rsid w:val="008975A5"/>
    <w:rsid w:val="008A317F"/>
    <w:rsid w:val="008A6001"/>
    <w:rsid w:val="008B4559"/>
    <w:rsid w:val="008C06AF"/>
    <w:rsid w:val="008C091B"/>
    <w:rsid w:val="008C34AD"/>
    <w:rsid w:val="008E3C62"/>
    <w:rsid w:val="008E44F2"/>
    <w:rsid w:val="008E681C"/>
    <w:rsid w:val="008E6DC5"/>
    <w:rsid w:val="008F0691"/>
    <w:rsid w:val="008F1173"/>
    <w:rsid w:val="00900E68"/>
    <w:rsid w:val="0090182E"/>
    <w:rsid w:val="00913C02"/>
    <w:rsid w:val="009170AE"/>
    <w:rsid w:val="009231D1"/>
    <w:rsid w:val="00936379"/>
    <w:rsid w:val="00941452"/>
    <w:rsid w:val="00944183"/>
    <w:rsid w:val="00946DFB"/>
    <w:rsid w:val="00947B27"/>
    <w:rsid w:val="0095607E"/>
    <w:rsid w:val="00957D24"/>
    <w:rsid w:val="00960081"/>
    <w:rsid w:val="00960315"/>
    <w:rsid w:val="00963BF5"/>
    <w:rsid w:val="00967E7A"/>
    <w:rsid w:val="0097397B"/>
    <w:rsid w:val="009946DE"/>
    <w:rsid w:val="00994BAB"/>
    <w:rsid w:val="0099612D"/>
    <w:rsid w:val="0099780E"/>
    <w:rsid w:val="009A0633"/>
    <w:rsid w:val="009A1B5A"/>
    <w:rsid w:val="009B4FDC"/>
    <w:rsid w:val="009B5794"/>
    <w:rsid w:val="009B6328"/>
    <w:rsid w:val="009B6A58"/>
    <w:rsid w:val="009B7098"/>
    <w:rsid w:val="009C1FBB"/>
    <w:rsid w:val="009C62A0"/>
    <w:rsid w:val="009D3796"/>
    <w:rsid w:val="009D3840"/>
    <w:rsid w:val="009D6906"/>
    <w:rsid w:val="009E0718"/>
    <w:rsid w:val="009E7796"/>
    <w:rsid w:val="00A13554"/>
    <w:rsid w:val="00A1400A"/>
    <w:rsid w:val="00A156C1"/>
    <w:rsid w:val="00A252D3"/>
    <w:rsid w:val="00A44C91"/>
    <w:rsid w:val="00A47ECB"/>
    <w:rsid w:val="00A5114A"/>
    <w:rsid w:val="00A5697D"/>
    <w:rsid w:val="00A60A02"/>
    <w:rsid w:val="00A62CB7"/>
    <w:rsid w:val="00A65BB7"/>
    <w:rsid w:val="00A662C5"/>
    <w:rsid w:val="00A672B6"/>
    <w:rsid w:val="00A75AFE"/>
    <w:rsid w:val="00A85783"/>
    <w:rsid w:val="00A85FF4"/>
    <w:rsid w:val="00A87AED"/>
    <w:rsid w:val="00A910AC"/>
    <w:rsid w:val="00AB3EDC"/>
    <w:rsid w:val="00AC1A75"/>
    <w:rsid w:val="00AC53F1"/>
    <w:rsid w:val="00AE3BE3"/>
    <w:rsid w:val="00AE3E20"/>
    <w:rsid w:val="00AE4492"/>
    <w:rsid w:val="00B017A3"/>
    <w:rsid w:val="00B14263"/>
    <w:rsid w:val="00B20EE6"/>
    <w:rsid w:val="00B253DB"/>
    <w:rsid w:val="00B37660"/>
    <w:rsid w:val="00B40821"/>
    <w:rsid w:val="00B4399C"/>
    <w:rsid w:val="00B675DD"/>
    <w:rsid w:val="00B86B0D"/>
    <w:rsid w:val="00B86C6B"/>
    <w:rsid w:val="00B92F2E"/>
    <w:rsid w:val="00BA0438"/>
    <w:rsid w:val="00BA07E8"/>
    <w:rsid w:val="00BB601B"/>
    <w:rsid w:val="00BB731D"/>
    <w:rsid w:val="00BC0B4D"/>
    <w:rsid w:val="00BD022E"/>
    <w:rsid w:val="00BD25AE"/>
    <w:rsid w:val="00BD5B06"/>
    <w:rsid w:val="00BE0860"/>
    <w:rsid w:val="00BE513B"/>
    <w:rsid w:val="00BE7ADE"/>
    <w:rsid w:val="00BF2C16"/>
    <w:rsid w:val="00BF44FA"/>
    <w:rsid w:val="00C033C0"/>
    <w:rsid w:val="00C0437A"/>
    <w:rsid w:val="00C0560A"/>
    <w:rsid w:val="00C337B9"/>
    <w:rsid w:val="00C5636C"/>
    <w:rsid w:val="00C73973"/>
    <w:rsid w:val="00C74726"/>
    <w:rsid w:val="00C822A2"/>
    <w:rsid w:val="00C93B3C"/>
    <w:rsid w:val="00CA0008"/>
    <w:rsid w:val="00CA5F63"/>
    <w:rsid w:val="00CB4DC9"/>
    <w:rsid w:val="00CD66C9"/>
    <w:rsid w:val="00CD6F52"/>
    <w:rsid w:val="00CE0DBC"/>
    <w:rsid w:val="00CF46CE"/>
    <w:rsid w:val="00D15111"/>
    <w:rsid w:val="00D24614"/>
    <w:rsid w:val="00D37EDA"/>
    <w:rsid w:val="00D42B97"/>
    <w:rsid w:val="00D433EA"/>
    <w:rsid w:val="00D51C22"/>
    <w:rsid w:val="00D5503D"/>
    <w:rsid w:val="00D55D98"/>
    <w:rsid w:val="00D62E8C"/>
    <w:rsid w:val="00D71172"/>
    <w:rsid w:val="00D76060"/>
    <w:rsid w:val="00D802F3"/>
    <w:rsid w:val="00D81689"/>
    <w:rsid w:val="00D83507"/>
    <w:rsid w:val="00D87360"/>
    <w:rsid w:val="00D90800"/>
    <w:rsid w:val="00D9151D"/>
    <w:rsid w:val="00DA1554"/>
    <w:rsid w:val="00DA59A3"/>
    <w:rsid w:val="00DB0B87"/>
    <w:rsid w:val="00DB2397"/>
    <w:rsid w:val="00DB2B09"/>
    <w:rsid w:val="00DB6BA2"/>
    <w:rsid w:val="00DC1C96"/>
    <w:rsid w:val="00DD27EB"/>
    <w:rsid w:val="00DD61CD"/>
    <w:rsid w:val="00DE5581"/>
    <w:rsid w:val="00DE727A"/>
    <w:rsid w:val="00E042FE"/>
    <w:rsid w:val="00E13425"/>
    <w:rsid w:val="00E251CC"/>
    <w:rsid w:val="00E26CCC"/>
    <w:rsid w:val="00E43411"/>
    <w:rsid w:val="00E453FB"/>
    <w:rsid w:val="00E50DB7"/>
    <w:rsid w:val="00E55C15"/>
    <w:rsid w:val="00E61C36"/>
    <w:rsid w:val="00E6202D"/>
    <w:rsid w:val="00E6703C"/>
    <w:rsid w:val="00E7137F"/>
    <w:rsid w:val="00E71A38"/>
    <w:rsid w:val="00E73FF5"/>
    <w:rsid w:val="00E900BE"/>
    <w:rsid w:val="00E939A1"/>
    <w:rsid w:val="00E93A15"/>
    <w:rsid w:val="00EA6018"/>
    <w:rsid w:val="00EB54BC"/>
    <w:rsid w:val="00EC22CB"/>
    <w:rsid w:val="00ED7F33"/>
    <w:rsid w:val="00EE3D9E"/>
    <w:rsid w:val="00EF0ADD"/>
    <w:rsid w:val="00F0107E"/>
    <w:rsid w:val="00F1383F"/>
    <w:rsid w:val="00F13C42"/>
    <w:rsid w:val="00F21B49"/>
    <w:rsid w:val="00F24D6A"/>
    <w:rsid w:val="00F33950"/>
    <w:rsid w:val="00F37487"/>
    <w:rsid w:val="00F413D3"/>
    <w:rsid w:val="00F434CB"/>
    <w:rsid w:val="00F46936"/>
    <w:rsid w:val="00F51CDE"/>
    <w:rsid w:val="00F52326"/>
    <w:rsid w:val="00F5644A"/>
    <w:rsid w:val="00F67979"/>
    <w:rsid w:val="00F67E9B"/>
    <w:rsid w:val="00F71823"/>
    <w:rsid w:val="00F7755C"/>
    <w:rsid w:val="00F8390E"/>
    <w:rsid w:val="00F85CBF"/>
    <w:rsid w:val="00F908C6"/>
    <w:rsid w:val="00FA10BD"/>
    <w:rsid w:val="00FA5DAD"/>
    <w:rsid w:val="00FB18A3"/>
    <w:rsid w:val="00FB464D"/>
    <w:rsid w:val="00FC12DC"/>
    <w:rsid w:val="00FD2152"/>
    <w:rsid w:val="00FD3B58"/>
    <w:rsid w:val="00FD6067"/>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7ADF"/>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853150205">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0556406">
      <w:bodyDiv w:val="1"/>
      <w:marLeft w:val="0"/>
      <w:marRight w:val="0"/>
      <w:marTop w:val="0"/>
      <w:marBottom w:val="0"/>
      <w:divBdr>
        <w:top w:val="none" w:sz="0" w:space="0" w:color="auto"/>
        <w:left w:val="none" w:sz="0" w:space="0" w:color="auto"/>
        <w:bottom w:val="none" w:sz="0" w:space="0" w:color="auto"/>
        <w:right w:val="none" w:sz="0" w:space="0" w:color="auto"/>
      </w:divBdr>
      <w:divsChild>
        <w:div w:id="1862278372">
          <w:marLeft w:val="0"/>
          <w:marRight w:val="0"/>
          <w:marTop w:val="0"/>
          <w:marBottom w:val="0"/>
          <w:divBdr>
            <w:top w:val="none" w:sz="0" w:space="0" w:color="auto"/>
            <w:left w:val="none" w:sz="0" w:space="0" w:color="auto"/>
            <w:bottom w:val="none" w:sz="0" w:space="0" w:color="auto"/>
            <w:right w:val="none" w:sz="0" w:space="0" w:color="auto"/>
          </w:divBdr>
        </w:div>
        <w:div w:id="1567835668">
          <w:marLeft w:val="0"/>
          <w:marRight w:val="0"/>
          <w:marTop w:val="0"/>
          <w:marBottom w:val="0"/>
          <w:divBdr>
            <w:top w:val="none" w:sz="0" w:space="0" w:color="auto"/>
            <w:left w:val="none" w:sz="0" w:space="0" w:color="auto"/>
            <w:bottom w:val="none" w:sz="0" w:space="0" w:color="auto"/>
            <w:right w:val="none" w:sz="0" w:space="0" w:color="auto"/>
          </w:divBdr>
        </w:div>
      </w:divsChild>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b'!$J$2:$J$6</c:f>
              <c:numCache>
                <c:formatCode>General</c:formatCode>
                <c:ptCount val="5"/>
                <c:pt idx="0">
                  <c:v>0.94538599999999995</c:v>
                </c:pt>
                <c:pt idx="1">
                  <c:v>0.52318299999999995</c:v>
                </c:pt>
                <c:pt idx="2">
                  <c:v>0.34775</c:v>
                </c:pt>
                <c:pt idx="3">
                  <c:v>0.27197199999999999</c:v>
                </c:pt>
                <c:pt idx="4">
                  <c:v>0.233705</c:v>
                </c:pt>
              </c:numCache>
            </c:numRef>
          </c:val>
          <c:smooth val="0"/>
          <c:extLst>
            <c:ext xmlns:c16="http://schemas.microsoft.com/office/drawing/2014/chart" uri="{C3380CC4-5D6E-409C-BE32-E72D297353CC}">
              <c16:uniqueId val="{00000000-7949-4E94-BCD6-40DCEB6F28CE}"/>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b'!$J$9:$J$13</c:f>
              <c:numCache>
                <c:formatCode>General</c:formatCode>
                <c:ptCount val="5"/>
                <c:pt idx="0">
                  <c:v>0.94539899999999999</c:v>
                </c:pt>
                <c:pt idx="1">
                  <c:v>0.52322999999999997</c:v>
                </c:pt>
                <c:pt idx="2">
                  <c:v>0.34788599999999997</c:v>
                </c:pt>
                <c:pt idx="3">
                  <c:v>0.27189099999999999</c:v>
                </c:pt>
                <c:pt idx="4">
                  <c:v>0.23369500000000001</c:v>
                </c:pt>
              </c:numCache>
            </c:numRef>
          </c:val>
          <c:smooth val="0"/>
          <c:extLst>
            <c:ext xmlns:c16="http://schemas.microsoft.com/office/drawing/2014/chart" uri="{C3380CC4-5D6E-409C-BE32-E72D297353CC}">
              <c16:uniqueId val="{00000001-7949-4E94-BCD6-40DCEB6F28C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lam'!$H$2:$H$6</c:f>
              <c:numCache>
                <c:formatCode>General</c:formatCode>
                <c:ptCount val="5"/>
                <c:pt idx="0">
                  <c:v>0.99894099999999997</c:v>
                </c:pt>
                <c:pt idx="1">
                  <c:v>1.4836199999999999</c:v>
                </c:pt>
                <c:pt idx="2">
                  <c:v>1.8893599999999999</c:v>
                </c:pt>
                <c:pt idx="3">
                  <c:v>2.1650100000000001</c:v>
                </c:pt>
                <c:pt idx="4">
                  <c:v>2.3207</c:v>
                </c:pt>
              </c:numCache>
            </c:numRef>
          </c:val>
          <c:smooth val="0"/>
          <c:extLst>
            <c:ext xmlns:c16="http://schemas.microsoft.com/office/drawing/2014/chart" uri="{C3380CC4-5D6E-409C-BE32-E72D297353CC}">
              <c16:uniqueId val="{00000000-AC6F-4A37-AC9E-4C5585D5C7D2}"/>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lam'!$H$9:$H$13</c:f>
              <c:numCache>
                <c:formatCode>General</c:formatCode>
                <c:ptCount val="5"/>
                <c:pt idx="0">
                  <c:v>0.99940899999999999</c:v>
                </c:pt>
                <c:pt idx="1">
                  <c:v>1.48316</c:v>
                </c:pt>
                <c:pt idx="2">
                  <c:v>1.8904300000000001</c:v>
                </c:pt>
                <c:pt idx="3">
                  <c:v>2.1649600000000002</c:v>
                </c:pt>
                <c:pt idx="4">
                  <c:v>2.32043</c:v>
                </c:pt>
              </c:numCache>
            </c:numRef>
          </c:val>
          <c:smooth val="0"/>
          <c:extLst>
            <c:ext xmlns:c16="http://schemas.microsoft.com/office/drawing/2014/chart" uri="{C3380CC4-5D6E-409C-BE32-E72D297353CC}">
              <c16:uniqueId val="{00000001-AC6F-4A37-AC9E-4C5585D5C7D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lam'!$N$2:$N$6</c:f>
              <c:numCache>
                <c:formatCode>General</c:formatCode>
                <c:ptCount val="5"/>
                <c:pt idx="0">
                  <c:v>5.9230999999999997E-4</c:v>
                </c:pt>
                <c:pt idx="1">
                  <c:v>1.1224100000000001E-2</c:v>
                </c:pt>
                <c:pt idx="2">
                  <c:v>5.4745599999999998E-2</c:v>
                </c:pt>
                <c:pt idx="3">
                  <c:v>0.133885</c:v>
                </c:pt>
                <c:pt idx="4">
                  <c:v>0.22659199999999999</c:v>
                </c:pt>
              </c:numCache>
            </c:numRef>
          </c:val>
          <c:smooth val="0"/>
          <c:extLst>
            <c:ext xmlns:c16="http://schemas.microsoft.com/office/drawing/2014/chart" uri="{C3380CC4-5D6E-409C-BE32-E72D297353CC}">
              <c16:uniqueId val="{00000000-87F6-4258-BD3C-CA985271A4DF}"/>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lam'!$N$9:$N$13</c:f>
              <c:numCache>
                <c:formatCode>General</c:formatCode>
                <c:ptCount val="5"/>
                <c:pt idx="0">
                  <c:v>5.9189500000000005E-4</c:v>
                </c:pt>
                <c:pt idx="1">
                  <c:v>1.1227900000000001E-2</c:v>
                </c:pt>
                <c:pt idx="2">
                  <c:v>5.4786399999999999E-2</c:v>
                </c:pt>
                <c:pt idx="3">
                  <c:v>0.134017</c:v>
                </c:pt>
                <c:pt idx="4">
                  <c:v>0.226523</c:v>
                </c:pt>
              </c:numCache>
            </c:numRef>
          </c:val>
          <c:smooth val="0"/>
          <c:extLst>
            <c:ext xmlns:c16="http://schemas.microsoft.com/office/drawing/2014/chart" uri="{C3380CC4-5D6E-409C-BE32-E72D297353CC}">
              <c16:uniqueId val="{00000001-87F6-4258-BD3C-CA985271A4D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lam'!$M$2:$M$6</c:f>
              <c:numCache>
                <c:formatCode>General</c:formatCode>
                <c:ptCount val="5"/>
                <c:pt idx="0">
                  <c:v>9.9938900000000004</c:v>
                </c:pt>
                <c:pt idx="1">
                  <c:v>14.8331</c:v>
                </c:pt>
                <c:pt idx="2">
                  <c:v>18.9039</c:v>
                </c:pt>
                <c:pt idx="3">
                  <c:v>21.6511</c:v>
                </c:pt>
                <c:pt idx="4">
                  <c:v>23.203199999999999</c:v>
                </c:pt>
              </c:numCache>
            </c:numRef>
          </c:val>
          <c:smooth val="0"/>
          <c:extLst>
            <c:ext xmlns:c16="http://schemas.microsoft.com/office/drawing/2014/chart" uri="{C3380CC4-5D6E-409C-BE32-E72D297353CC}">
              <c16:uniqueId val="{00000000-A398-4DFD-AB14-91AE14E9D80C}"/>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lam'!$M$9:$M$13</c:f>
              <c:numCache>
                <c:formatCode>General</c:formatCode>
                <c:ptCount val="5"/>
                <c:pt idx="0">
                  <c:v>9.9940800000000003</c:v>
                </c:pt>
                <c:pt idx="1">
                  <c:v>14.8316</c:v>
                </c:pt>
                <c:pt idx="2">
                  <c:v>18.904299999999999</c:v>
                </c:pt>
                <c:pt idx="3">
                  <c:v>21.6496</c:v>
                </c:pt>
                <c:pt idx="4">
                  <c:v>23.2043</c:v>
                </c:pt>
              </c:numCache>
            </c:numRef>
          </c:val>
          <c:smooth val="0"/>
          <c:extLst>
            <c:ext xmlns:c16="http://schemas.microsoft.com/office/drawing/2014/chart" uri="{C3380CC4-5D6E-409C-BE32-E72D297353CC}">
              <c16:uniqueId val="{00000001-A398-4DFD-AB14-91AE14E9D80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muc'!$J$2:$J$6</c:f>
              <c:numCache>
                <c:formatCode>General</c:formatCode>
                <c:ptCount val="5"/>
                <c:pt idx="0">
                  <c:v>0.76507999999999998</c:v>
                </c:pt>
                <c:pt idx="1">
                  <c:v>0.47286699999999998</c:v>
                </c:pt>
                <c:pt idx="2">
                  <c:v>0.34795100000000001</c:v>
                </c:pt>
                <c:pt idx="3">
                  <c:v>0.28534300000000001</c:v>
                </c:pt>
                <c:pt idx="4">
                  <c:v>0.24967700000000001</c:v>
                </c:pt>
              </c:numCache>
            </c:numRef>
          </c:val>
          <c:smooth val="0"/>
          <c:extLst>
            <c:ext xmlns:c16="http://schemas.microsoft.com/office/drawing/2014/chart" uri="{C3380CC4-5D6E-409C-BE32-E72D297353CC}">
              <c16:uniqueId val="{00000000-16CF-454F-B4A0-31564EAB8F7F}"/>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muc'!$J$9:$J$13</c:f>
              <c:numCache>
                <c:formatCode>General</c:formatCode>
                <c:ptCount val="5"/>
                <c:pt idx="0">
                  <c:v>0.76465000000000005</c:v>
                </c:pt>
                <c:pt idx="1">
                  <c:v>0.47251799999999999</c:v>
                </c:pt>
                <c:pt idx="2">
                  <c:v>0.34788599999999997</c:v>
                </c:pt>
                <c:pt idx="3">
                  <c:v>0.28536099999999998</c:v>
                </c:pt>
                <c:pt idx="4">
                  <c:v>0.24962899999999999</c:v>
                </c:pt>
              </c:numCache>
            </c:numRef>
          </c:val>
          <c:smooth val="0"/>
          <c:extLst>
            <c:ext xmlns:c16="http://schemas.microsoft.com/office/drawing/2014/chart" uri="{C3380CC4-5D6E-409C-BE32-E72D297353CC}">
              <c16:uniqueId val="{00000001-16CF-454F-B4A0-31564EAB8F7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muc'!$K$2:$K$6</c:f>
              <c:numCache>
                <c:formatCode>General</c:formatCode>
                <c:ptCount val="5"/>
                <c:pt idx="0">
                  <c:v>9.9993499999999999E-2</c:v>
                </c:pt>
                <c:pt idx="1">
                  <c:v>9.9989800000000004E-2</c:v>
                </c:pt>
                <c:pt idx="2">
                  <c:v>9.9990899999999994E-2</c:v>
                </c:pt>
                <c:pt idx="3">
                  <c:v>9.9995200000000006E-2</c:v>
                </c:pt>
                <c:pt idx="4">
                  <c:v>0.100012</c:v>
                </c:pt>
              </c:numCache>
            </c:numRef>
          </c:val>
          <c:smooth val="0"/>
          <c:extLst>
            <c:ext xmlns:c16="http://schemas.microsoft.com/office/drawing/2014/chart" uri="{C3380CC4-5D6E-409C-BE32-E72D297353CC}">
              <c16:uniqueId val="{00000000-8A12-439D-BF74-74B77ACBFFE4}"/>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8A12-439D-BF74-74B77ACBFFE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muc'!$I$2:$I$6</c:f>
              <c:numCache>
                <c:formatCode>General</c:formatCode>
                <c:ptCount val="5"/>
                <c:pt idx="0">
                  <c:v>0.86507400000000001</c:v>
                </c:pt>
                <c:pt idx="1">
                  <c:v>0.57285600000000003</c:v>
                </c:pt>
                <c:pt idx="2">
                  <c:v>0.44794200000000001</c:v>
                </c:pt>
                <c:pt idx="3">
                  <c:v>0.38533800000000001</c:v>
                </c:pt>
                <c:pt idx="4">
                  <c:v>0.34968900000000003</c:v>
                </c:pt>
              </c:numCache>
            </c:numRef>
          </c:val>
          <c:smooth val="0"/>
          <c:extLst>
            <c:ext xmlns:c16="http://schemas.microsoft.com/office/drawing/2014/chart" uri="{C3380CC4-5D6E-409C-BE32-E72D297353CC}">
              <c16:uniqueId val="{00000000-F24E-4EEB-85F9-1F5A29EC5F10}"/>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muc'!$I$9:$I$13</c:f>
              <c:numCache>
                <c:formatCode>General</c:formatCode>
                <c:ptCount val="5"/>
                <c:pt idx="0">
                  <c:v>0.86465000000000003</c:v>
                </c:pt>
                <c:pt idx="1">
                  <c:v>0.57251799999999997</c:v>
                </c:pt>
                <c:pt idx="2">
                  <c:v>0.44788600000000001</c:v>
                </c:pt>
                <c:pt idx="3">
                  <c:v>0.38536100000000001</c:v>
                </c:pt>
                <c:pt idx="4">
                  <c:v>0.34962900000000002</c:v>
                </c:pt>
              </c:numCache>
            </c:numRef>
          </c:val>
          <c:smooth val="0"/>
          <c:extLst>
            <c:ext xmlns:c16="http://schemas.microsoft.com/office/drawing/2014/chart" uri="{C3380CC4-5D6E-409C-BE32-E72D297353CC}">
              <c16:uniqueId val="{00000001-F24E-4EEB-85F9-1F5A29EC5F1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muc'!$H$2:$H$6</c:f>
              <c:numCache>
                <c:formatCode>General</c:formatCode>
                <c:ptCount val="5"/>
                <c:pt idx="0">
                  <c:v>1.56365</c:v>
                </c:pt>
                <c:pt idx="1">
                  <c:v>1.80233</c:v>
                </c:pt>
                <c:pt idx="2">
                  <c:v>1.89019</c:v>
                </c:pt>
                <c:pt idx="3">
                  <c:v>1.9261999999999999</c:v>
                </c:pt>
                <c:pt idx="4">
                  <c:v>1.94374</c:v>
                </c:pt>
              </c:numCache>
            </c:numRef>
          </c:val>
          <c:smooth val="0"/>
          <c:extLst>
            <c:ext xmlns:c16="http://schemas.microsoft.com/office/drawing/2014/chart" uri="{C3380CC4-5D6E-409C-BE32-E72D297353CC}">
              <c16:uniqueId val="{00000000-DCEF-492A-9AFA-2461B7B44025}"/>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muc'!$H$9:$H$13</c:f>
              <c:numCache>
                <c:formatCode>General</c:formatCode>
                <c:ptCount val="5"/>
                <c:pt idx="0">
                  <c:v>1.5638700000000001</c:v>
                </c:pt>
                <c:pt idx="1">
                  <c:v>1.80236</c:v>
                </c:pt>
                <c:pt idx="2">
                  <c:v>1.8904300000000001</c:v>
                </c:pt>
                <c:pt idx="3">
                  <c:v>1.92638</c:v>
                </c:pt>
                <c:pt idx="4">
                  <c:v>1.9434</c:v>
                </c:pt>
              </c:numCache>
            </c:numRef>
          </c:val>
          <c:smooth val="0"/>
          <c:extLst>
            <c:ext xmlns:c16="http://schemas.microsoft.com/office/drawing/2014/chart" uri="{C3380CC4-5D6E-409C-BE32-E72D297353CC}">
              <c16:uniqueId val="{00000001-DCEF-492A-9AFA-2461B7B4402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muc'!$N$2:$N$6</c:f>
              <c:numCache>
                <c:formatCode>General</c:formatCode>
                <c:ptCount val="5"/>
                <c:pt idx="0">
                  <c:v>0.21824199999999999</c:v>
                </c:pt>
                <c:pt idx="1">
                  <c:v>9.8894899999999994E-2</c:v>
                </c:pt>
                <c:pt idx="2">
                  <c:v>5.4771500000000001E-2</c:v>
                </c:pt>
                <c:pt idx="3">
                  <c:v>3.67363E-2</c:v>
                </c:pt>
                <c:pt idx="4">
                  <c:v>2.8257399999999998E-2</c:v>
                </c:pt>
              </c:numCache>
            </c:numRef>
          </c:val>
          <c:smooth val="0"/>
          <c:extLst>
            <c:ext xmlns:c16="http://schemas.microsoft.com/office/drawing/2014/chart" uri="{C3380CC4-5D6E-409C-BE32-E72D297353CC}">
              <c16:uniqueId val="{00000000-866F-4E48-B07E-4276E0DCB83A}"/>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muc'!$N$9:$N$13</c:f>
              <c:numCache>
                <c:formatCode>General</c:formatCode>
                <c:ptCount val="5"/>
                <c:pt idx="0">
                  <c:v>0.21806600000000001</c:v>
                </c:pt>
                <c:pt idx="1">
                  <c:v>9.8820000000000005E-2</c:v>
                </c:pt>
                <c:pt idx="2">
                  <c:v>5.4786399999999999E-2</c:v>
                </c:pt>
                <c:pt idx="3">
                  <c:v>3.68092E-2</c:v>
                </c:pt>
                <c:pt idx="4">
                  <c:v>2.8299999999999999E-2</c:v>
                </c:pt>
              </c:numCache>
            </c:numRef>
          </c:val>
          <c:smooth val="0"/>
          <c:extLst>
            <c:ext xmlns:c16="http://schemas.microsoft.com/office/drawing/2014/chart" uri="{C3380CC4-5D6E-409C-BE32-E72D297353CC}">
              <c16:uniqueId val="{00000001-866F-4E48-B07E-4276E0DCB83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muc'!$M$2:$M$6</c:f>
              <c:numCache>
                <c:formatCode>General</c:formatCode>
                <c:ptCount val="5"/>
                <c:pt idx="0">
                  <c:v>15.637499999999999</c:v>
                </c:pt>
                <c:pt idx="1">
                  <c:v>18.025099999999998</c:v>
                </c:pt>
                <c:pt idx="2">
                  <c:v>18.903600000000001</c:v>
                </c:pt>
                <c:pt idx="3">
                  <c:v>19.262899999999998</c:v>
                </c:pt>
                <c:pt idx="4">
                  <c:v>19.435099999999998</c:v>
                </c:pt>
              </c:numCache>
            </c:numRef>
          </c:val>
          <c:smooth val="0"/>
          <c:extLst>
            <c:ext xmlns:c16="http://schemas.microsoft.com/office/drawing/2014/chart" uri="{C3380CC4-5D6E-409C-BE32-E72D297353CC}">
              <c16:uniqueId val="{00000000-E2D5-42E7-80D6-3EAE31871420}"/>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muc'!$M$9:$M$13</c:f>
              <c:numCache>
                <c:formatCode>General</c:formatCode>
                <c:ptCount val="5"/>
                <c:pt idx="0">
                  <c:v>15.6387</c:v>
                </c:pt>
                <c:pt idx="1">
                  <c:v>18.023599999999998</c:v>
                </c:pt>
                <c:pt idx="2">
                  <c:v>18.904299999999999</c:v>
                </c:pt>
                <c:pt idx="3">
                  <c:v>19.2638</c:v>
                </c:pt>
                <c:pt idx="4">
                  <c:v>19.434000000000001</c:v>
                </c:pt>
              </c:numCache>
            </c:numRef>
          </c:val>
          <c:smooth val="0"/>
          <c:extLst>
            <c:ext xmlns:c16="http://schemas.microsoft.com/office/drawing/2014/chart" uri="{C3380CC4-5D6E-409C-BE32-E72D297353CC}">
              <c16:uniqueId val="{00000001-E2D5-42E7-80D6-3EAE3187142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b'!$K$2:$K$6</c:f>
              <c:numCache>
                <c:formatCode>General</c:formatCode>
                <c:ptCount val="5"/>
                <c:pt idx="0">
                  <c:v>0.100024</c:v>
                </c:pt>
                <c:pt idx="1">
                  <c:v>9.9982299999999996E-2</c:v>
                </c:pt>
                <c:pt idx="2">
                  <c:v>9.9960199999999999E-2</c:v>
                </c:pt>
                <c:pt idx="3">
                  <c:v>0.100022</c:v>
                </c:pt>
                <c:pt idx="4">
                  <c:v>0.100027</c:v>
                </c:pt>
              </c:numCache>
            </c:numRef>
          </c:val>
          <c:smooth val="0"/>
          <c:extLst>
            <c:ext xmlns:c16="http://schemas.microsoft.com/office/drawing/2014/chart" uri="{C3380CC4-5D6E-409C-BE32-E72D297353CC}">
              <c16:uniqueId val="{00000000-6E8C-41CD-A32A-BACBE9C0FA63}"/>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6E8C-41CD-A32A-BACBE9C0FA6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b'!$I$2:$I$6</c:f>
              <c:numCache>
                <c:formatCode>General</c:formatCode>
                <c:ptCount val="5"/>
                <c:pt idx="0">
                  <c:v>1.04541</c:v>
                </c:pt>
                <c:pt idx="1">
                  <c:v>0.623166</c:v>
                </c:pt>
                <c:pt idx="2">
                  <c:v>0.44771</c:v>
                </c:pt>
                <c:pt idx="3">
                  <c:v>0.37199399999999999</c:v>
                </c:pt>
                <c:pt idx="4">
                  <c:v>0.33373199999999997</c:v>
                </c:pt>
              </c:numCache>
            </c:numRef>
          </c:val>
          <c:smooth val="0"/>
          <c:extLst>
            <c:ext xmlns:c16="http://schemas.microsoft.com/office/drawing/2014/chart" uri="{C3380CC4-5D6E-409C-BE32-E72D297353CC}">
              <c16:uniqueId val="{00000000-EC64-41E1-9E8B-1DDE6C7CC09A}"/>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b'!$I$9:$I$13</c:f>
              <c:numCache>
                <c:formatCode>General</c:formatCode>
                <c:ptCount val="5"/>
                <c:pt idx="0">
                  <c:v>1.0454000000000001</c:v>
                </c:pt>
                <c:pt idx="1">
                  <c:v>0.62322999999999995</c:v>
                </c:pt>
                <c:pt idx="2">
                  <c:v>0.44788600000000001</c:v>
                </c:pt>
                <c:pt idx="3">
                  <c:v>0.37189100000000003</c:v>
                </c:pt>
                <c:pt idx="4">
                  <c:v>0.33369500000000002</c:v>
                </c:pt>
              </c:numCache>
            </c:numRef>
          </c:val>
          <c:smooth val="0"/>
          <c:extLst>
            <c:ext xmlns:c16="http://schemas.microsoft.com/office/drawing/2014/chart" uri="{C3380CC4-5D6E-409C-BE32-E72D297353CC}">
              <c16:uniqueId val="{00000001-EC64-41E1-9E8B-1DDE6C7CC09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b'!$H$2:$H$6</c:f>
              <c:numCache>
                <c:formatCode>General</c:formatCode>
                <c:ptCount val="5"/>
                <c:pt idx="0">
                  <c:v>1.4791000000000001</c:v>
                </c:pt>
                <c:pt idx="1">
                  <c:v>1.7787500000000001</c:v>
                </c:pt>
                <c:pt idx="2">
                  <c:v>1.8895200000000001</c:v>
                </c:pt>
                <c:pt idx="3">
                  <c:v>1.92957</c:v>
                </c:pt>
                <c:pt idx="4">
                  <c:v>1.9442999999999999</c:v>
                </c:pt>
              </c:numCache>
            </c:numRef>
          </c:val>
          <c:smooth val="0"/>
          <c:extLst>
            <c:ext xmlns:c16="http://schemas.microsoft.com/office/drawing/2014/chart" uri="{C3380CC4-5D6E-409C-BE32-E72D297353CC}">
              <c16:uniqueId val="{00000000-D656-4A59-A029-5307CC2DEDC4}"/>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b'!$H$9:$H$13</c:f>
              <c:numCache>
                <c:formatCode>General</c:formatCode>
                <c:ptCount val="5"/>
                <c:pt idx="0">
                  <c:v>1.4787399999999999</c:v>
                </c:pt>
                <c:pt idx="1">
                  <c:v>1.7791600000000001</c:v>
                </c:pt>
                <c:pt idx="2">
                  <c:v>1.8904300000000001</c:v>
                </c:pt>
                <c:pt idx="3">
                  <c:v>1.9292100000000001</c:v>
                </c:pt>
                <c:pt idx="4">
                  <c:v>1.94367</c:v>
                </c:pt>
              </c:numCache>
            </c:numRef>
          </c:val>
          <c:smooth val="0"/>
          <c:extLst>
            <c:ext xmlns:c16="http://schemas.microsoft.com/office/drawing/2014/chart" uri="{C3380CC4-5D6E-409C-BE32-E72D297353CC}">
              <c16:uniqueId val="{00000001-D656-4A59-A029-5307CC2DEDC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b'!$N$2:$N$6</c:f>
              <c:numCache>
                <c:formatCode>General</c:formatCode>
                <c:ptCount val="5"/>
                <c:pt idx="0">
                  <c:v>0.26062600000000002</c:v>
                </c:pt>
                <c:pt idx="1">
                  <c:v>0.110434</c:v>
                </c:pt>
                <c:pt idx="2">
                  <c:v>5.4751099999999997E-2</c:v>
                </c:pt>
                <c:pt idx="3">
                  <c:v>3.5416000000000003E-2</c:v>
                </c:pt>
                <c:pt idx="4">
                  <c:v>2.8144499999999999E-2</c:v>
                </c:pt>
              </c:numCache>
            </c:numRef>
          </c:val>
          <c:smooth val="0"/>
          <c:extLst>
            <c:ext xmlns:c16="http://schemas.microsoft.com/office/drawing/2014/chart" uri="{C3380CC4-5D6E-409C-BE32-E72D297353CC}">
              <c16:uniqueId val="{00000000-4391-4C40-A299-B3DFB6CB8E45}"/>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b'!$N$9:$N$13</c:f>
              <c:numCache>
                <c:formatCode>General</c:formatCode>
                <c:ptCount val="5"/>
                <c:pt idx="0">
                  <c:v>0.26062999999999997</c:v>
                </c:pt>
                <c:pt idx="1">
                  <c:v>0.11042200000000001</c:v>
                </c:pt>
                <c:pt idx="2">
                  <c:v>5.4786399999999999E-2</c:v>
                </c:pt>
                <c:pt idx="3">
                  <c:v>3.5393500000000001E-2</c:v>
                </c:pt>
                <c:pt idx="4">
                  <c:v>2.8167000000000001E-2</c:v>
                </c:pt>
              </c:numCache>
            </c:numRef>
          </c:val>
          <c:smooth val="0"/>
          <c:extLst>
            <c:ext xmlns:c16="http://schemas.microsoft.com/office/drawing/2014/chart" uri="{C3380CC4-5D6E-409C-BE32-E72D297353CC}">
              <c16:uniqueId val="{00000001-4391-4C40-A299-B3DFB6CB8E4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b'!$M$2:$M$6</c:f>
              <c:numCache>
                <c:formatCode>General</c:formatCode>
                <c:ptCount val="5"/>
                <c:pt idx="0">
                  <c:v>14.7874</c:v>
                </c:pt>
                <c:pt idx="1">
                  <c:v>17.790700000000001</c:v>
                </c:pt>
                <c:pt idx="2">
                  <c:v>18.902699999999999</c:v>
                </c:pt>
                <c:pt idx="3">
                  <c:v>19.291399999999999</c:v>
                </c:pt>
                <c:pt idx="4">
                  <c:v>19.437899999999999</c:v>
                </c:pt>
              </c:numCache>
            </c:numRef>
          </c:val>
          <c:smooth val="0"/>
          <c:extLst>
            <c:ext xmlns:c16="http://schemas.microsoft.com/office/drawing/2014/chart" uri="{C3380CC4-5D6E-409C-BE32-E72D297353CC}">
              <c16:uniqueId val="{00000000-9AA2-4864-9553-DE1CC09EFE62}"/>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b'!$M$9:$M$13</c:f>
              <c:numCache>
                <c:formatCode>General</c:formatCode>
                <c:ptCount val="5"/>
                <c:pt idx="0">
                  <c:v>14.7874</c:v>
                </c:pt>
                <c:pt idx="1">
                  <c:v>17.791599999999999</c:v>
                </c:pt>
                <c:pt idx="2">
                  <c:v>18.904299999999999</c:v>
                </c:pt>
                <c:pt idx="3">
                  <c:v>19.292100000000001</c:v>
                </c:pt>
                <c:pt idx="4">
                  <c:v>19.436699999999998</c:v>
                </c:pt>
              </c:numCache>
            </c:numRef>
          </c:val>
          <c:smooth val="0"/>
          <c:extLst>
            <c:ext xmlns:c16="http://schemas.microsoft.com/office/drawing/2014/chart" uri="{C3380CC4-5D6E-409C-BE32-E72D297353CC}">
              <c16:uniqueId val="{00000001-9AA2-4864-9553-DE1CC09EFE6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lam'!$J$2:$J$6</c:f>
              <c:numCache>
                <c:formatCode>General</c:formatCode>
                <c:ptCount val="5"/>
                <c:pt idx="0">
                  <c:v>0.20246900000000001</c:v>
                </c:pt>
                <c:pt idx="1">
                  <c:v>0.26630900000000002</c:v>
                </c:pt>
                <c:pt idx="2">
                  <c:v>0.34781000000000001</c:v>
                </c:pt>
                <c:pt idx="3">
                  <c:v>0.42483199999999999</c:v>
                </c:pt>
                <c:pt idx="4">
                  <c:v>0.48555199999999998</c:v>
                </c:pt>
              </c:numCache>
            </c:numRef>
          </c:val>
          <c:smooth val="0"/>
          <c:extLst>
            <c:ext xmlns:c16="http://schemas.microsoft.com/office/drawing/2014/chart" uri="{C3380CC4-5D6E-409C-BE32-E72D297353CC}">
              <c16:uniqueId val="{00000000-FF43-493C-B43B-BD44E997333E}"/>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lam'!$J$9:$J$13</c:f>
              <c:numCache>
                <c:formatCode>General</c:formatCode>
                <c:ptCount val="5"/>
                <c:pt idx="0">
                  <c:v>0.20253199999999999</c:v>
                </c:pt>
                <c:pt idx="1">
                  <c:v>0.26624300000000001</c:v>
                </c:pt>
                <c:pt idx="2">
                  <c:v>0.34788599999999997</c:v>
                </c:pt>
                <c:pt idx="3">
                  <c:v>0.42494300000000002</c:v>
                </c:pt>
                <c:pt idx="4">
                  <c:v>0.48552800000000002</c:v>
                </c:pt>
              </c:numCache>
            </c:numRef>
          </c:val>
          <c:smooth val="0"/>
          <c:extLst>
            <c:ext xmlns:c16="http://schemas.microsoft.com/office/drawing/2014/chart" uri="{C3380CC4-5D6E-409C-BE32-E72D297353CC}">
              <c16:uniqueId val="{00000001-FF43-493C-B43B-BD44E997333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lam'!$K$2:$K$6</c:f>
              <c:numCache>
                <c:formatCode>General</c:formatCode>
                <c:ptCount val="5"/>
                <c:pt idx="0">
                  <c:v>9.9955100000000005E-2</c:v>
                </c:pt>
                <c:pt idx="1">
                  <c:v>0.100021</c:v>
                </c:pt>
                <c:pt idx="2">
                  <c:v>9.9945599999999996E-2</c:v>
                </c:pt>
                <c:pt idx="3">
                  <c:v>9.9995399999999998E-2</c:v>
                </c:pt>
                <c:pt idx="4">
                  <c:v>0.10001599999999999</c:v>
                </c:pt>
              </c:numCache>
            </c:numRef>
          </c:val>
          <c:smooth val="0"/>
          <c:extLst>
            <c:ext xmlns:c16="http://schemas.microsoft.com/office/drawing/2014/chart" uri="{C3380CC4-5D6E-409C-BE32-E72D297353CC}">
              <c16:uniqueId val="{00000000-3DE5-46C1-8CE8-B855E18343ED}"/>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3DE5-46C1-8CE8-B855E18343E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lam'!$I$2:$I$6</c:f>
              <c:numCache>
                <c:formatCode>General</c:formatCode>
                <c:ptCount val="5"/>
                <c:pt idx="0">
                  <c:v>0.302425</c:v>
                </c:pt>
                <c:pt idx="1">
                  <c:v>0.36632999999999999</c:v>
                </c:pt>
                <c:pt idx="2">
                  <c:v>0.44775599999999999</c:v>
                </c:pt>
                <c:pt idx="3">
                  <c:v>0.52482799999999996</c:v>
                </c:pt>
                <c:pt idx="4">
                  <c:v>0.58556799999999998</c:v>
                </c:pt>
              </c:numCache>
            </c:numRef>
          </c:val>
          <c:smooth val="0"/>
          <c:extLst>
            <c:ext xmlns:c16="http://schemas.microsoft.com/office/drawing/2014/chart" uri="{C3380CC4-5D6E-409C-BE32-E72D297353CC}">
              <c16:uniqueId val="{00000000-CD72-47F7-B8F7-C40BD48024D4}"/>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lam'!$I$9:$I$13</c:f>
              <c:numCache>
                <c:formatCode>General</c:formatCode>
                <c:ptCount val="5"/>
                <c:pt idx="0">
                  <c:v>0.30253200000000002</c:v>
                </c:pt>
                <c:pt idx="1">
                  <c:v>0.36624299999999999</c:v>
                </c:pt>
                <c:pt idx="2">
                  <c:v>0.44788600000000001</c:v>
                </c:pt>
                <c:pt idx="3">
                  <c:v>0.52494300000000005</c:v>
                </c:pt>
                <c:pt idx="4">
                  <c:v>0.58552800000000005</c:v>
                </c:pt>
              </c:numCache>
            </c:numRef>
          </c:val>
          <c:smooth val="0"/>
          <c:extLst>
            <c:ext xmlns:c16="http://schemas.microsoft.com/office/drawing/2014/chart" uri="{C3380CC4-5D6E-409C-BE32-E72D297353CC}">
              <c16:uniqueId val="{00000001-CD72-47F7-B8F7-C40BD48024D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2082</Words>
  <Characters>11873</Characters>
  <Application>Microsoft Office Word</Application>
  <DocSecurity>0</DocSecurity>
  <Lines>98</Lines>
  <Paragraphs>27</Paragraphs>
  <ScaleCrop>false</ScaleCrop>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8</cp:revision>
  <dcterms:created xsi:type="dcterms:W3CDTF">2025-06-03T08:43:00Z</dcterms:created>
  <dcterms:modified xsi:type="dcterms:W3CDTF">2025-06-05T06:48:00Z</dcterms:modified>
</cp:coreProperties>
</file>