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BDE1" w14:textId="77777777" w:rsidR="00E65103" w:rsidRDefault="00000000">
      <w:pPr>
        <w:spacing w:after="160"/>
        <w:jc w:val="center"/>
      </w:pPr>
      <w:r>
        <w:rPr>
          <w:b/>
        </w:rPr>
        <w:t>Agentic AI and Policy Intelligence for Prior Authorization:</w:t>
      </w:r>
      <w:r>
        <w:rPr>
          <w:b/>
        </w:rPr>
        <w:br/>
        <w:t>A Strategic Look for Healthcare Payment Operations</w:t>
      </w:r>
    </w:p>
    <w:p w14:paraId="37532DC4" w14:textId="19924A00" w:rsidR="00E65103" w:rsidRDefault="00000000">
      <w:pPr>
        <w:jc w:val="center"/>
      </w:pPr>
      <w:r>
        <w:t>Noopur Shekhar</w:t>
      </w:r>
      <w:r w:rsidR="00D930F8">
        <w:t xml:space="preserve"> Divekar</w:t>
      </w:r>
    </w:p>
    <w:p w14:paraId="0D0F878E" w14:textId="77777777" w:rsidR="00E65103" w:rsidRDefault="00000000">
      <w:pPr>
        <w:spacing w:after="200"/>
        <w:jc w:val="center"/>
      </w:pPr>
      <w:r>
        <w:t>June 28, 2026</w:t>
      </w:r>
    </w:p>
    <w:p w14:paraId="27D013C6" w14:textId="77777777" w:rsidR="00E65103" w:rsidRDefault="00000000" w:rsidP="00753C83">
      <w:pPr>
        <w:spacing w:before="200" w:after="80"/>
        <w:jc w:val="both"/>
      </w:pPr>
      <w:r>
        <w:rPr>
          <w:b/>
        </w:rPr>
        <w:t>Defining the Topic</w:t>
      </w:r>
    </w:p>
    <w:p w14:paraId="74936DD1" w14:textId="77777777" w:rsidR="00E65103" w:rsidRDefault="00000000" w:rsidP="00753C83">
      <w:pPr>
        <w:jc w:val="both"/>
      </w:pPr>
      <w:r>
        <w:t>Prior authorization is when a health plan decides whether a requested procedure, test, or medication is covered before it happens. A provider submits clinical details. A plan reviewer opens the case, finds the right coverage policy, and decides if the patient meets the rules. That answer might be approved, denied, or sent up the chain for a manager. The process protects patients and controls spending, but it is slow, expensive, and hard to do consistently. Two nurses reading the same Medicare National Coverage Determination (NCD) manual can reach different conclusions when the policy language is dense or the clinical notes are thin.</w:t>
      </w:r>
    </w:p>
    <w:p w14:paraId="56E8D16D" w14:textId="77777777" w:rsidR="00E65103" w:rsidRDefault="00000000" w:rsidP="00753C83">
      <w:pPr>
        <w:jc w:val="both"/>
      </w:pPr>
      <w:r>
        <w:t>This report sits at the crossroads of two assessment themes. The first is agentic generative AI: software that takes a series of steps on its own, such as reading a request, searching policy documents, weighing evidence, and explaining its reasoning. The second is healthcare content management: the work of turning unstructured payer policies, coding manuals, and clinical guidelines into content a machine and a human can trust. Put together, the topic is policy intelligence for prior authorization. The goal is not to replace clinical judgment. The goal is to give reviewers a strong first draft backed by real policy text.</w:t>
      </w:r>
    </w:p>
    <w:p w14:paraId="3CB72F05" w14:textId="77777777" w:rsidR="00E65103" w:rsidRDefault="00000000" w:rsidP="00753C83">
      <w:pPr>
        <w:jc w:val="both"/>
      </w:pPr>
      <w:r>
        <w:t>To make that idea concrete, I built ClearAuth, a proof-of-concept dashboard for health plan reviewers. It ingests CMS policy PDFs into a vector database, runs a LangGraph agent (parse, retrieve, reason, then pause), and shows the human an AI recommendation with citations, confidence, and links to the source PDF page. Every final decision still requires a person to approve, reject, or escalate.</w:t>
      </w:r>
    </w:p>
    <w:p w14:paraId="5A93A649" w14:textId="77777777" w:rsidR="00E65103" w:rsidRDefault="00000000" w:rsidP="00753C83">
      <w:pPr>
        <w:spacing w:before="200" w:after="80"/>
        <w:jc w:val="both"/>
      </w:pPr>
      <w:r>
        <w:rPr>
          <w:b/>
        </w:rPr>
        <w:t>Relevant Trends</w:t>
      </w:r>
    </w:p>
    <w:p w14:paraId="6D5F25B1" w14:textId="77777777" w:rsidR="00E65103" w:rsidRDefault="00000000" w:rsidP="00753C83">
      <w:pPr>
        <w:jc w:val="both"/>
      </w:pPr>
      <w:r>
        <w:t>Several trends make this moment different from earlier waves of health IT. First, large language models can read long documents and write clear summaries. They are useful, but unsafe on their own because they can invent policy language that sounds official. Second, retrieval-augmented generation (RAG) has moved from research papers into practical tools. You store policy PDFs as searchable chunks, pull the best matches for each case, and only let the model reason over those excerpts. That gives reviewers something they rarely get today: a direct link between the decision and the paragraph that supports it.</w:t>
      </w:r>
    </w:p>
    <w:p w14:paraId="7635FC12" w14:textId="77777777" w:rsidR="00E65103" w:rsidRDefault="00000000" w:rsidP="00753C83">
      <w:pPr>
        <w:jc w:val="both"/>
      </w:pPr>
      <w:r>
        <w:t>Third, agent frameworks like LangGraph let teams model real workflows. Prior auth is not one prompt. It is a chain of steps with a mandatory stop for human review. Fourth, health plans and vendors face growing pressure to show AI governance: audit logs, escalation when confidence is low, and clear rules about what automation may not do. CMS continues to publish detailed coverage policies faster than operations teams can absorb them. On the business side, the AMA and others have documented physician frustration with prior auth delays. Health plans spend heavily on nurses and clinical staff for manual review. Any tool that saves even fifteen to twenty minutes per case, without skipping accountability, has a credible business case.</w:t>
      </w:r>
    </w:p>
    <w:p w14:paraId="64D2DAA8" w14:textId="77777777" w:rsidR="00922E0E" w:rsidRDefault="00922E0E" w:rsidP="00753C83">
      <w:pPr>
        <w:spacing w:before="200" w:after="80"/>
        <w:jc w:val="both"/>
        <w:rPr>
          <w:b/>
        </w:rPr>
      </w:pPr>
    </w:p>
    <w:p w14:paraId="101439A6" w14:textId="0BEED7A0" w:rsidR="00E65103" w:rsidRDefault="00000000" w:rsidP="00753C83">
      <w:pPr>
        <w:spacing w:before="200" w:after="80"/>
        <w:jc w:val="both"/>
      </w:pPr>
      <w:r>
        <w:rPr>
          <w:b/>
        </w:rPr>
        <w:lastRenderedPageBreak/>
        <w:t>Opportunities and Threats</w:t>
      </w:r>
    </w:p>
    <w:p w14:paraId="72F45990" w14:textId="77777777" w:rsidR="00E65103" w:rsidRDefault="00000000" w:rsidP="00753C83">
      <w:pPr>
        <w:jc w:val="both"/>
      </w:pPr>
      <w:r>
        <w:t>For Cotiviti, the opportunity is unusually direct. Cotiviti works in payment accuracy, claims, and health plan operations. Prior auth is upstream of payment disputes: get the coverage decision right early and you reduce rework, appeals, and provider abrasion later. A policy-grounded assistant fits Cotiviti's Treatment, Payment, and Operations (TPO) footprint. Reviewers could work from a queue, see an AI tag and confidence score, read the cited policy chunks, open the PDF, and log a decision in one place. Over time, the same content layer could support coding policy questions, contract comparisons, or audit sampling.</w:t>
      </w:r>
    </w:p>
    <w:p w14:paraId="231CD55C" w14:textId="77777777" w:rsidR="00E65103" w:rsidRDefault="00000000" w:rsidP="00753C83">
      <w:pPr>
        <w:jc w:val="both"/>
      </w:pPr>
      <w:r>
        <w:t>There is also a workforce angle. New reviewers take months to learn where policies live and how to apply them. A RAG-based tool puts the right paragraph in front of them on day one. That lowers training cost and reduces variation between reviewers, which matters when clients ask for consistent application of rules.</w:t>
      </w:r>
    </w:p>
    <w:p w14:paraId="24320191" w14:textId="77777777" w:rsidR="00E65103" w:rsidRDefault="00000000" w:rsidP="00753C83">
      <w:pPr>
        <w:jc w:val="both"/>
      </w:pPr>
      <w:r>
        <w:t>The threats deserve equal attention. A wrong approval can mean paying for care that policy does not support. A wrong denial can delay needed treatment and damage member trust. Production systems must handle protected health information under strict controls; my demo uses synthetic cases only. Vendor marketing often oversells full automation. Cotiviti would be wise to pilot small, measure outcomes, and publish honest limits.</w:t>
      </w:r>
    </w:p>
    <w:p w14:paraId="2D72D4AB" w14:textId="77777777" w:rsidR="00E65103" w:rsidRDefault="00000000" w:rsidP="00753C83">
      <w:pPr>
        <w:jc w:val="both"/>
      </w:pPr>
      <w:r>
        <w:t>I ran a simple benchmark on fifteen synthetic cases with expected labels. The prototype matched the expected decision on seven cases (46.7% overall). It was strong on clear escalate scenarios (three of three) and weaker on borderline flag cases (one of five). That is acceptable for a hackathon build, but it is not production ready. It actually supports the human-in-the-loop design: the AI should recommend, not decide, when confidence is low or clinical nuance is high.</w:t>
      </w:r>
    </w:p>
    <w:p w14:paraId="2955786B" w14:textId="77777777" w:rsidR="00E65103" w:rsidRDefault="00000000" w:rsidP="00753C83">
      <w:pPr>
        <w:spacing w:before="200" w:after="80"/>
        <w:jc w:val="both"/>
      </w:pPr>
      <w:r>
        <w:rPr>
          <w:b/>
        </w:rPr>
        <w:t>Strategic Options for Cotiviti</w:t>
      </w:r>
    </w:p>
    <w:p w14:paraId="4EF9619C" w14:textId="77777777" w:rsidR="00E65103" w:rsidRDefault="00000000" w:rsidP="00753C83">
      <w:pPr>
        <w:jc w:val="both"/>
      </w:pPr>
      <w:r>
        <w:t>Option 1: Run a ninety-day pilot with one health plan and a narrow policy scope, such as Medicare screening procedures under selected NCD manuals. Measure median review time, override rate, inter-reviewer agreement, and agreement with senior adjudicators. Keep humans on every final decision. Use de-identified cases only.</w:t>
      </w:r>
    </w:p>
    <w:p w14:paraId="5022751D" w14:textId="77777777" w:rsidR="00E65103" w:rsidRDefault="00000000" w:rsidP="00753C83">
      <w:pPr>
        <w:jc w:val="both"/>
      </w:pPr>
      <w:r>
        <w:t>Option 2: Invest in a shared policy intelligence platform inside Cotiviti. The same ingestion pipeline (PDF to chunks to vector store), citation format, and governance rules could serve prior auth first and later support coding integrity or payer-provider contract analysis. This turns a demo into infrastructure.</w:t>
      </w:r>
    </w:p>
    <w:p w14:paraId="54F3B266" w14:textId="77777777" w:rsidR="00E65103" w:rsidRDefault="00000000" w:rsidP="00753C83">
      <w:pPr>
        <w:jc w:val="both"/>
      </w:pPr>
      <w:r>
        <w:t>Option 3: Make AI governance a client-facing strength. Cotiviti could document how it evaluates generative AI for payment use cases: synthetic and labeled benchmarks, escalation thresholds, full audit trails, and periodic human audits of overrides. In a market full of vague AI claims, that transparency is a differentiator.</w:t>
      </w:r>
    </w:p>
    <w:p w14:paraId="240FDD3B" w14:textId="77777777" w:rsidR="00E65103" w:rsidRDefault="00000000" w:rsidP="00753C83">
      <w:pPr>
        <w:jc w:val="both"/>
      </w:pPr>
      <w:r>
        <w:t>My recommendation is a phased path. Start with Option 1 immediately because it produces evidence clients can understand. Design the pilot so data models and citation standards align with Option 2 from the start. Use Option 3 in client conversations and RFP responses. Prior auth is painful, visible, and close to Cotiviti's core mission. The technology is ready enough to try. What wins trust is measured results, clear human control, and a plain-spoken story about what the AI did and did not see when it made a recommendation.</w:t>
      </w:r>
    </w:p>
    <w:p w14:paraId="0FA6E2AC" w14:textId="77777777" w:rsidR="00E65103" w:rsidRDefault="00000000" w:rsidP="00753C83">
      <w:pPr>
        <w:jc w:val="both"/>
      </w:pPr>
      <w:r>
        <w:br w:type="page"/>
      </w:r>
    </w:p>
    <w:p w14:paraId="1052A9D8" w14:textId="77777777" w:rsidR="00E65103" w:rsidRDefault="00000000">
      <w:pPr>
        <w:spacing w:before="200" w:after="80"/>
      </w:pPr>
      <w:r>
        <w:rPr>
          <w:b/>
        </w:rPr>
        <w:lastRenderedPageBreak/>
        <w:t>References</w:t>
      </w:r>
    </w:p>
    <w:p w14:paraId="4E4A7046" w14:textId="77777777" w:rsidR="00E65103" w:rsidRDefault="00000000">
      <w:r>
        <w:t>American Medical Association. (2023). 2022 AMA prior authorization physician survey. https://www.ama-assn.org/practice-management/sustainability/prior-authorization-survey</w:t>
      </w:r>
    </w:p>
    <w:p w14:paraId="18C21F19" w14:textId="77777777" w:rsidR="00E65103" w:rsidRDefault="00000000">
      <w:r>
        <w:t>Centers for Medicare &amp; Medicaid Services. (2024). Medicare coverage database. https://www.cms.gov/medicare-coverage-database</w:t>
      </w:r>
    </w:p>
    <w:p w14:paraId="6A2FCA9C" w14:textId="77777777" w:rsidR="00E65103" w:rsidRDefault="00000000">
      <w:r>
        <w:t>Cotiviti. (2024). Payment accuracy solutions. https://www.cotiviti.com</w:t>
      </w:r>
    </w:p>
    <w:p w14:paraId="467CBC48" w14:textId="77777777" w:rsidR="00E65103" w:rsidRDefault="00000000">
      <w:r>
        <w:t>LangChain Inc. (2024). LangGraph: Build resilient language agents as graphs. https://langchain-ai.github.io/langgraph/</w:t>
      </w:r>
    </w:p>
    <w:p w14:paraId="3A4FE86E" w14:textId="77777777" w:rsidR="00E65103" w:rsidRDefault="00000000">
      <w:r>
        <w:t>Lewis, P., Perez, E., Piktus, A., Petroni, F., Karpukhin, V., Goyal, N., Kuttler, H., Lewis, M., Yih, W., Rocktaschel, T., Riedel, S., &amp; Kiela, D. (2020). Retrieval-augmented generation for knowledge-intensive NLP tasks. Advances in Neural Information Processing Systems, 33, 9459-9474. https://arxiv.org/abs/2005.11401</w:t>
      </w:r>
    </w:p>
    <w:p w14:paraId="2694885F" w14:textId="77777777" w:rsidR="00E65103" w:rsidRDefault="00000000">
      <w:r>
        <w:t>Office of the National Coordinator for Health Information Technology. (2024). Health IT playbook. U.S. Department of Health and Human Services. https://www.healthit.gov/playbook/</w:t>
      </w:r>
    </w:p>
    <w:p w14:paraId="2B407822" w14:textId="77777777" w:rsidR="00E65103" w:rsidRDefault="00000000">
      <w:r>
        <w:t>Shekhar, N. (2026). ClearAuth: Health plan prior authorization dashboard [Proof-of-concept software]. Cotiviti GenAI Developer Intern assessment.</w:t>
      </w:r>
    </w:p>
    <w:sectPr w:rsidR="00E6510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3371517">
    <w:abstractNumId w:val="8"/>
  </w:num>
  <w:num w:numId="2" w16cid:durableId="1925072422">
    <w:abstractNumId w:val="6"/>
  </w:num>
  <w:num w:numId="3" w16cid:durableId="719089881">
    <w:abstractNumId w:val="5"/>
  </w:num>
  <w:num w:numId="4" w16cid:durableId="337004366">
    <w:abstractNumId w:val="4"/>
  </w:num>
  <w:num w:numId="5" w16cid:durableId="2042854783">
    <w:abstractNumId w:val="7"/>
  </w:num>
  <w:num w:numId="6" w16cid:durableId="535240760">
    <w:abstractNumId w:val="3"/>
  </w:num>
  <w:num w:numId="7" w16cid:durableId="2140144412">
    <w:abstractNumId w:val="2"/>
  </w:num>
  <w:num w:numId="8" w16cid:durableId="561407237">
    <w:abstractNumId w:val="1"/>
  </w:num>
  <w:num w:numId="9" w16cid:durableId="193766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09AD"/>
    <w:rsid w:val="00753C83"/>
    <w:rsid w:val="00922E0E"/>
    <w:rsid w:val="00A85DDB"/>
    <w:rsid w:val="00AA1D8D"/>
    <w:rsid w:val="00B47730"/>
    <w:rsid w:val="00CB0664"/>
    <w:rsid w:val="00D930F8"/>
    <w:rsid w:val="00E65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BD88D"/>
  <w14:defaultImageDpi w14:val="300"/>
  <w15:docId w15:val="{DEF2FC33-8A42-43FD-9ECE-B23CC93B6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Divekar, Noopur Shekhar</cp:lastModifiedBy>
  <cp:revision>5</cp:revision>
  <dcterms:created xsi:type="dcterms:W3CDTF">2013-12-23T23:15:00Z</dcterms:created>
  <dcterms:modified xsi:type="dcterms:W3CDTF">2026-06-28T18:35:00Z</dcterms:modified>
  <cp:category/>
</cp:coreProperties>
</file>