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44"/>
        </w:rPr>
        <w:t>ANALYSIS OF RETINOPATHY</w:t>
      </w:r>
    </w:p>
    <w:p/>
    <w:p>
      <w:pPr>
        <w:jc w:val="center"/>
      </w:pPr>
      <w:r>
        <w:rPr>
          <w:rFonts w:ascii="Times New Roman" w:hAnsi="Times New Roman"/>
          <w:sz w:val="32"/>
        </w:rPr>
        <w:t>Statistical Analysis Report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1. Background and Study Design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Testing retinopathy risk factors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This report presents a comprehensive statistical analysis of retinopathy among the study population. A total of 200 patients were analyzed.</w:t>
      </w:r>
    </w:p>
    <w:p>
      <w:pPr>
        <w:pStyle w:val="Heading1"/>
      </w:pPr>
      <w:r>
        <w:rPr>
          <w:rFonts w:ascii="Times New Roman" w:hAnsi="Times New Roman"/>
        </w:rPr>
        <w:t>2. Data Cleaning Methodology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1. Standardized 12 column names to snake_case</w:t>
        <w:br/>
        <w:t>2. Capped 3 outliers in 'age_years' (24.80, 82.80)</w:t>
        <w:br/>
        <w:t>3. Capped 1 outliers in 'bmi' (15.35, 41.35)</w:t>
        <w:br/>
        <w:t>4. Capped 1 outliers in 'hba1c' (3.39, 11.89)</w:t>
        <w:br/>
        <w:t>5. Capped 6 outliers in 'diabetes_duration' (-12.00, 27.20)</w:t>
        <w:br/>
        <w:t>6. Capped 2 outliers in 'dbp' (52.59, 109.09)</w:t>
        <w:br/>
        <w:t>7. Capped 1 outliers in 'cholesterol' (87.55, 295.15)</w:t>
        <w:br/>
        <w:t>8. Total outliers capped across all variables: 14</w:t>
        <w:br/>
        <w:t>9. Cleaning complete. Final shape: (200, 12)</w:t>
      </w:r>
    </w:p>
    <w:p>
      <w:pPr>
        <w:pStyle w:val="Heading1"/>
      </w:pPr>
      <w:r>
        <w:rPr>
          <w:rFonts w:ascii="Times New Roman" w:hAnsi="Times New Roman"/>
        </w:rPr>
        <w:t>3. Table 1: Baseline Characteristics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Variable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Without retinopathy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With retinopathy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Test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p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Effect Size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age_years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54.7 +/- 11.0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53.9 +/- 11.3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Welch's t = 0.48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0.629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 = 0.08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bmi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28.3 +/- 4.8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28.8 +/- 4.7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Welch's t = -0.70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0.488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 = 0.11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hba1c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7.5 +/- 1.4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8.3 +/- 1.8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Welch's t = -2.94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 = 0.47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diabetes_duration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7.3 +/- 7.1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11.8 +/- 6.8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U = 2349.00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&lt;.001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 = 0.35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sbp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132.1 +/- 14.3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134.0 +/- 14.9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Welch's t = -0.83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0.409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 = 0.13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dbp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80.7 +/- 9.8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81.3 +/- 11.7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Welch's t = -0.32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0.747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 = 0.05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cholesterol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190.3 +/- 36.0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190.2 +/- 41.2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Welch's t = 0.02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0.987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 = 0.00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gender (female)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81 (57.9%)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30 (50.0%)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0.76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0.385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V = 0.044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gender (male)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59 (42.1%)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30 (50.0%)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smoking (current)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29 (20.7%)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11 (18.3%)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2.58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0.275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V = 0.080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smoking (former)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46 (32.9%)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 (23.3%)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smoking (never)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65 (46.4%)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35 (58.3%)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hypertension (no)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83 (59.3%)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39 (65.0%)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0.36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0.548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V = 0.030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hypertension (yes)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57 (40.7%)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21 (35.0%)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nephropathy (no)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95 (67.9%)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38 (63.3%)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0.21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0.647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V = 0.023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nephropathy (yes)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45 (32.1%)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22 (36.7%)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</w:tbl>
    <w:p>
      <w:pPr>
        <w:jc w:val="left"/>
      </w:pPr>
      <w:r>
        <w:rPr>
          <w:rFonts w:ascii="Times New Roman" w:hAnsi="Times New Roman"/>
          <w:i/>
          <w:sz w:val="20"/>
        </w:rPr>
        <w:t>Table. Baseline characteristics stratified by retinopathy. Continuous: M ± SD or Mdn [IQR]. Effect sizes: Cohen's d or rank-biserial r.</w:t>
      </w:r>
    </w:p>
    <w:p/>
    <w:p>
      <w:pPr>
        <w:pStyle w:val="Heading1"/>
      </w:pPr>
      <w:r>
        <w:rPr>
          <w:rFonts w:ascii="Times New Roman" w:hAnsi="Times New Roman"/>
        </w:rPr>
        <w:t>4. Bivariate Analysis Results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A total of 16 candidate predictors were evaluated for their association with retinopathy.</w:t>
        <w:br/>
        <w:t>Bivariate analysis revealed significant associations between retinopathy and diabetes_duration (all p &lt; .05).</w:t>
        <w:br/>
        <w:t>Multivariable logistic regression identified 2 independent predictors of retinopathy: hba1c (aOR = 1.301, 95% CI [1.057, 1.601]); diabetes_duration (aOR = 1.080, 95% CI [1.034, 1.128]).</w:t>
        <w:br/>
        <w:t>The model explained 9.8% of the variance (McFadden's pseudo-R² = 0.098).</w:t>
        <w:br/>
        <w:t>The model demonstrated good discrimination with an AUC of 0.715.</w:t>
      </w:r>
    </w:p>
    <w:p>
      <w:pPr>
        <w:pStyle w:val="Heading1"/>
      </w:pPr>
      <w:r>
        <w:rPr>
          <w:rFonts w:ascii="Times New Roman" w:hAnsi="Times New Roman"/>
        </w:rPr>
        <w:t>5. Multivariable Regression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Predictor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aOR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95% CI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p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age_years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0.991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[0.962, 1.021]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0.548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bmi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1.027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[0.958, 1.101]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0.455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hba1c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1.301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[1.057, 1.601]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0.013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*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diabetes_duration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1.080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[1.034, 1.128]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&lt;.001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***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sbp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1.007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[0.983, 1.031]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0.579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dbp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1.011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[0.980, 1.043]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0.483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cholesterol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0.999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[0.990, 1.008]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0.803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</w:tbl>
    <w:p>
      <w:pPr>
        <w:jc w:val="left"/>
      </w:pPr>
      <w:r>
        <w:rPr>
          <w:rFonts w:ascii="Times New Roman" w:hAnsi="Times New Roman"/>
          <w:i/>
          <w:sz w:val="20"/>
        </w:rPr>
        <w:t>Table. Independent predictors of retinopathy from multivariable logistic regression. aOR = adjusted odds ratio; CI = confidence interval. *p &lt; .05, **p &lt; .01, ***p &lt; .001.</w:t>
      </w:r>
    </w:p>
    <w:p/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Model fit: pseudo-R² = 0.098, AIC = 236.4, N = 200</w:t>
      </w:r>
    </w:p>
    <w:p>
      <w:pPr>
        <w:pStyle w:val="Heading1"/>
      </w:pPr>
      <w:r>
        <w:rPr>
          <w:rFonts w:ascii="Times New Roman" w:hAnsi="Times New Roman"/>
        </w:rPr>
        <w:t>6. Figures</w:t>
      </w:r>
    </w:p>
    <w:p>
      <w:r>
        <w:drawing>
          <wp:inline xmlns:a="http://schemas.openxmlformats.org/drawingml/2006/main" xmlns:pic="http://schemas.openxmlformats.org/drawingml/2006/picture">
            <wp:extent cx="5029200" cy="37544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fi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54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Times New Roman" w:hAnsi="Times New Roman"/>
          <w:i/>
          <w:sz w:val="20"/>
        </w:rPr>
        <w:t>Figure. ROC curve of the logistic regression model for predicting retinopathy. AUC = 0.715</w:t>
      </w:r>
    </w:p>
    <w:p/>
    <w:p>
      <w:r>
        <w:drawing>
          <wp:inline xmlns:a="http://schemas.openxmlformats.org/drawingml/2006/main" xmlns:pic="http://schemas.openxmlformats.org/drawingml/2006/picture">
            <wp:extent cx="5029200" cy="41508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fi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50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Times New Roman" w:hAnsi="Times New Roman"/>
          <w:i/>
          <w:sz w:val="20"/>
        </w:rPr>
        <w:t>Figure. Distribution of key clinical variables by retinopathy status. Boxes represent median and IQR; whiskers extend to 1.5×IQR.</w:t>
      </w:r>
    </w:p>
    <w:p/>
    <w:p>
      <w:r>
        <w:drawing>
          <wp:inline xmlns:a="http://schemas.openxmlformats.org/drawingml/2006/main" xmlns:pic="http://schemas.openxmlformats.org/drawingml/2006/picture">
            <wp:extent cx="5029200" cy="41678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fi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67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Times New Roman" w:hAnsi="Times New Roman"/>
          <w:i/>
          <w:sz w:val="20"/>
        </w:rPr>
        <w:t>Figure. Distribution of categorical variables stratified by retinopathy status. Percentages computed within each group.</w:t>
      </w:r>
    </w:p>
    <w:p/>
    <w:p>
      <w:r>
        <w:drawing>
          <wp:inline xmlns:a="http://schemas.openxmlformats.org/drawingml/2006/main" xmlns:pic="http://schemas.openxmlformats.org/drawingml/2006/picture">
            <wp:extent cx="5029200" cy="24901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fi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0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Times New Roman" w:hAnsi="Times New Roman"/>
          <w:i/>
          <w:sz w:val="20"/>
        </w:rPr>
        <w:t>Figure. Forest plot of adjusted odds ratios. Points = point estimates; error bars = 95% CI. Vertical dashed line at aOR = 1.0.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5707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fi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70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Times New Roman" w:hAnsi="Times New Roman"/>
          <w:i/>
          <w:sz w:val="20"/>
        </w:rPr>
        <w:t>Figure. Relationship between key continuous variables by retinopathy status.</w:t>
      </w:r>
    </w:p>
    <w:p/>
    <w:p>
      <w:pPr>
        <w:pStyle w:val="Heading1"/>
      </w:pPr>
      <w:r>
        <w:rPr>
          <w:rFonts w:ascii="Times New Roman" w:hAnsi="Times New Roman"/>
        </w:rPr>
        <w:t>7. Discussion and Conclusions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A total of 16 candidate predictors were evaluated for their association with retinopathy.</w:t>
        <w:br/>
        <w:t>Bivariate analysis revealed significant associations between retinopathy and diabetes_duration (all p &lt; .05).</w:t>
        <w:br/>
        <w:t>Multivariable logistic regression identified 2 independent predictors of retinopathy: hba1c (aOR = 1.301, 95% CI [1.057, 1.601]); diabetes_duration (aOR = 1.080, 95% CI [1.034, 1.128]).</w:t>
        <w:br/>
        <w:t>The model explained 9.8% of the variance (McFadden's pseudo-R² = 0.098).</w:t>
        <w:br/>
        <w:t>The model demonstrated good discrimination with an AUC of 0.715.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These findings should be interpreted considering the study's limitations, including the observational design and potential residual confounding.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