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800"/>
        <w:jc w:val="center"/>
      </w:pPr>
      <w:r>
        <w:rPr>
          <w:b/>
          <w:bCs/>
          <w:sz w:val="56"/>
          <w:szCs w:val="56"/>
        </w:rPr>
        <w:t xml:space="preserve">Wheat Disease Classification</w:t>
      </w:r>
    </w:p>
    <w:p>
      <w:pPr>
        <w:spacing w:after="400"/>
        <w:jc w:val="center"/>
      </w:pPr>
      <w:r>
        <w:rPr>
          <w:i/>
          <w:iCs/>
          <w:sz w:val="30"/>
          <w:szCs w:val="30"/>
        </w:rPr>
        <w:t xml:space="preserve">A Three-Modality Ablation:  RGB → +MS → +HS</w:t>
      </w:r>
    </w:p>
    <w:p>
      <w:pPr>
        <w:spacing w:after="200" w:before="800"/>
        <w:jc w:val="center"/>
      </w:pPr>
      <w:r>
        <w:rPr>
          <w:sz w:val="28"/>
          <w:szCs w:val="28"/>
        </w:rPr>
        <w:t xml:space="preserve">Deep Learning Project Report — Spring 2026</w:t>
      </w:r>
    </w:p>
    <w:p>
      <w:pPr>
        <w:spacing w:after="200"/>
        <w:jc w:val="center"/>
      </w:pPr>
      <w:r>
        <w:rPr>
          <w:sz w:val="24"/>
          <w:szCs w:val="24"/>
        </w:rPr>
        <w:t xml:space="preserve">University of Jordan</w:t>
      </w:r>
    </w:p>
    <w:p>
      <w:pPr>
        <w:spacing w:after="200"/>
        <w:jc w:val="center"/>
      </w:pPr>
      <w:r>
        <w:rPr>
          <w:sz w:val="24"/>
          <w:szCs w:val="24"/>
        </w:rPr>
        <w:t xml:space="preserve">Course: Deep Learning</w:t>
      </w:r>
    </w:p>
    <w:p>
      <w:pPr>
        <w:spacing w:after="600"/>
        <w:jc w:val="center"/>
      </w:pPr>
      <w:r>
        <w:rPr>
          <w:sz w:val="24"/>
          <w:szCs w:val="24"/>
        </w:rPr>
        <w:t xml:space="preserve">Instructor: Dr. Tamam AlSarhan</w:t>
      </w:r>
    </w:p>
    <w:p>
      <w:pPr>
        <w:spacing w:after="200"/>
        <w:jc w:val="center"/>
      </w:pPr>
      <w:r>
        <w:rPr>
          <w:i/>
          <w:iCs/>
          <w:sz w:val="22"/>
          <w:szCs w:val="22"/>
        </w:rPr>
        <w:t xml:space="preserve">Competition: ICPR 2026 — Beyond Visible Spectrum: AI for Agriculture</w:t>
      </w:r>
    </w:p>
    <w:p>
      <w:pPr>
        <w:spacing w:after="80"/>
        <w:jc w:val="center"/>
      </w:pPr>
      <w:r>
        <w:rPr>
          <w:sz w:val="22"/>
          <w:szCs w:val="22"/>
        </w:rPr>
        <w:t>Noor Almasri — 0221554</w:t>
      </w:r>
    </w:p>
    <w:p>
      <w:pPr>
        <w:spacing w:after="80"/>
        <w:jc w:val="center"/>
      </w:pPr>
      <w:r>
        <w:rPr>
          <w:sz w:val="22"/>
          <w:szCs w:val="22"/>
        </w:rPr>
        <w:t>Nourhan Raed — 2213412</w:t>
      </w:r>
    </w:p>
    <w:p>
      <w:pPr>
        <w:spacing w:after="200"/>
        <w:jc w:val="center"/>
      </w:pPr>
      <w:r>
        <w:rPr>
          <w:sz w:val="22"/>
          <w:szCs w:val="22"/>
        </w:rPr>
        <w:t>Azizeh Albadarin — 0206008</w:t>
      </w:r>
    </w:p>
    <w:p>
      <w:r>
        <w:br w:type="page"/>
      </w:r>
    </w:p>
    <w:p>
      <w:pPr>
        <w:pStyle w:val="Heading1"/>
        <w:spacing w:after="120" w:before="240"/>
      </w:pPr>
      <w:r>
        <w:t xml:space="preserve">Abstract</w:t>
      </w:r>
    </w:p>
    <w:p>
      <w:pPr>
        <w:spacing w:after="120" w:line="300"/>
      </w:pPr>
      <w:r>
        <w:t xml:space="preserve">We address the three-class classification of wheat-field image patches — Health, Rust, Other — from the ICPR 2026 Beyond Visible Spectrum: AI for Agriculture competition. The dataset provides three co-registered modalities collected by a UAV-mounted snapshot hyperspectral sensor: RGB (64×64, 3 channels), multispectral (64×64, 5 bands: B/G/R/RE/NIR), and hyperspectral (32×32, 125 bands across 450–950 nm).</w:t>
      </w:r>
    </w:p>
    <w:p>
      <w:pPr>
        <w:spacing w:after="120" w:line="300"/>
      </w:pPr>
      <w:r>
        <w:t xml:space="preserve">We start by analyzing the spectral signatures of each class to understand where the discriminative information actually lives. Our main finding from the data is that the signal separating healthy wheat from rust-infected wheat is concentrated in the red-edge region (680–750 nm) and the broader NIR plateau, regions absent or sparsely sampled in RGB and MS but densely captured by HS. We train three ImageNet-pretrained ResNet50 models under identical training and a common 5-fold stratified cross-validation protocol, varying only the input modality: (a) RGB only, (b) RGB + MS early fusion, and (c) RGB + MS + HS with a learned 1D-convolutional spectral encoder that compresses the 125 HS bands into 16 channels before stacking with the RGB+MS spatial input.</w:t>
      </w:r>
    </w:p>
    <w:p>
      <w:pPr>
        <w:spacing w:after="120" w:line="300"/>
      </w:pPr>
      <w:r>
        <w:t xml:space="preserve">Results confirm the hypothesis cleanly and monotonically. CV accuracy rises 0.598 → 0.640 → 0.668; macro-F1 rises 0.566 → 0.609 → 0.642; the official Kaggle public score climbs from 0.505 to 0.663 (+15.8 pp). The gains are most concentrated where the EDA predicted — the Health class — whose F1 climbs from 0.309 to 0.400 (+9.1 pp). The final Kaggle private leaderboard score is 0.732.</w:t>
      </w:r>
    </w:p>
    <w:p>
      <w:pPr>
        <w:pStyle w:val="Heading1"/>
        <w:spacing w:after="120" w:before="240"/>
      </w:pPr>
      <w:r>
        <w:t xml:space="preserve">1. Introduction</w:t>
      </w:r>
    </w:p>
    <w:p>
      <w:pPr>
        <w:spacing w:after="120" w:line="300"/>
      </w:pPr>
      <w:r>
        <w:t xml:space="preserve">Crop-disease detection is a long-standing application of remote sensing in precision agriculture. Wheat stripe rust (Puccinia striiformis) causes substantial annual yield losses worldwide, and early detection through aerial imagery enables targeted intervention before infection spreads through a field.</w:t>
      </w:r>
    </w:p>
    <w:p>
      <w:pPr>
        <w:spacing w:after="120" w:line="300"/>
      </w:pPr>
      <w:r>
        <w:t xml:space="preserve">The ICPR 2026 Beyond Visible Spectrum: AI for Agriculture competition addresses exactly this task. Task 1 asks competitors to classify image patches of wheat fields into three categories — Health, Rust, Other — using one or more of three aligned modalities: RGB, multispectral (MS), and hyperspectral (HS). The challenge is genuinely multimodal: each modality carries different information at different spatial resolutions, and effective use of all three requires careful design choices about fusion, normalization, and resolution alignment.</w:t>
      </w:r>
    </w:p>
    <w:p>
      <w:pPr>
        <w:spacing w:after="120" w:line="300"/>
      </w:pPr>
      <w:r>
        <w:t xml:space="preserve">In this report we describe our approach to the competition. Rather than going straight for the highest-performing model, we took a more systematic route: We first analyze the data — particularly the per-class hyperspectral signatures — to derive a specific, testable prediction about how each modality should help and by how much. We then test that prediction by running a three-way ablation: three otherwise-identical models differing only in their input modalities.</w:t>
      </w:r>
    </w:p>
    <w:p>
      <w:pPr>
        <w:pStyle w:val="Heading2"/>
        <w:spacing w:after="120" w:before="180"/>
      </w:pPr>
      <w:r>
        <w:t xml:space="preserve">1.1 Contributions</w:t>
      </w:r>
    </w:p>
    <w:p>
      <w:pPr>
        <w:pStyle w:val="ListParagraph"/>
        <w:numPr>
          <w:ilvl w:val="0"/>
          <w:numId w:val="2"/>
        </w:numPr>
        <w:spacing w:after="60"/>
      </w:pPr>
      <w:r>
        <w:t xml:space="preserve">EDA of all three modalities, including a class-conditional mean hyperspectral signature that identifies the red-edge region (680–750 nm) as the most diagnostic wavelength range for separating Health from Rust.</w:t>
      </w:r>
    </w:p>
    <w:p>
      <w:pPr>
        <w:pStyle w:val="ListParagraph"/>
        <w:numPr>
          <w:ilvl w:val="0"/>
          <w:numId w:val="2"/>
        </w:numPr>
        <w:spacing w:after="60"/>
      </w:pPr>
      <w:r>
        <w:t xml:space="preserve">Two architecturally distinct RGB-only baselines (ResNet50 and EfficientNet-B0) plus three modality configurations evaluated under identical 5-fold stratified cross-validation, fixed seeds, and 5-fold soft-vote ensembling: (i) RGB ResNet50 baseline; (ii) RGB EfficientNet-B0 baseline; (iii) RGB + MS early-fusion; (iv) full tri-modal model with a learned 1D spectral encoder for HS.</w:t>
      </w:r>
    </w:p>
    <w:p>
      <w:pPr>
        <w:pStyle w:val="ListParagraph"/>
        <w:numPr>
          <w:ilvl w:val="0"/>
          <w:numId w:val="2"/>
        </w:numPr>
        <w:spacing w:after="60"/>
      </w:pPr>
      <w:r>
        <w:t xml:space="preserve">A learned spectral encoder (HSSpectralEncoder) using 1×1 1D convolutions along the spectral axis, addressing both the 125-band dimensionality and the 32×32 vs. 64×64 resolution mismatch in a single small module.</w:t>
      </w:r>
    </w:p>
    <w:p>
      <w:pPr>
        <w:pStyle w:val="ListParagraph"/>
        <w:numPr>
          <w:ilvl w:val="0"/>
          <w:numId w:val="2"/>
        </w:numPr>
        <w:spacing w:after="60"/>
      </w:pPr>
      <w:r>
        <w:t xml:space="preserve">Three Kaggle late-submission results, reaching 0.6632 public / 0.7317 private with the tri-modal model.</w:t>
      </w:r>
    </w:p>
    <w:p>
      <w:pPr>
        <w:pStyle w:val="ListParagraph"/>
        <w:numPr>
          <w:ilvl w:val="0"/>
          <w:numId w:val="2"/>
        </w:numPr>
        <w:spacing w:after="60"/>
      </w:pPr>
      <w:r>
        <w:t xml:space="preserve">Per-class error analysis confirming that gains are concentrated in the Health class, consistent with the EDA hypothesis.</w:t>
      </w:r>
    </w:p>
    <w:p>
      <w:pPr>
        <w:pStyle w:val="Heading1"/>
        <w:spacing w:after="120" w:before="240"/>
      </w:pPr>
      <w:r>
        <w:t xml:space="preserve">2. Related Work</w:t>
      </w:r>
    </w:p>
    <w:p>
      <w:pPr>
        <w:pStyle w:val="Heading2"/>
        <w:spacing w:after="120" w:before="180"/>
      </w:pPr>
      <w:r>
        <w:t xml:space="preserve">2.1 Spectral remote sensing for wheat disease</w:t>
      </w:r>
    </w:p>
    <w:p>
      <w:pPr>
        <w:spacing w:after="120" w:line="300"/>
      </w:pPr>
      <w:r>
        <w:t xml:space="preserve">The use of hyperspectral and multispectral remote sensing for detecting wheat stripe rust has a well-established literature. Early work demonstrated that rust infection induces measurable changes in leaf pigmentation — particularly chlorophyll degradation and carotenoid accumulation — that are detectable in the red-edge region of the reflectance spectrum (680–750 nm) well before visible lesions appear to the naked eye [7]. These findings directly motivate the multimodal design of the current competition and predict the specific spectral diagnostic region we identify in our EDA.</w:t>
      </w:r>
    </w:p>
    <w:p>
      <w:pPr>
        <w:spacing w:after="120" w:line="300"/>
      </w:pPr>
      <w:r>
        <w:t xml:space="preserve">Zhang et al. [8] proposed one of the first deep convolutional neural network approaches to automated wheat yellow rust detection using UAV hyperspectral images with 125 spectral bands — the same spectral resolution as our competition dataset. Their model used sliding-window patches of size 64×64×125 fed into an Inception-ResNet architecture, achieving competitive classification performance at the field scale. The input size they identify as appropriate for GPU memory constraints is identical to the format of our training patches, providing direct methodological precedent for our choice of 64×64 patches as the fundamental unit of classification.</w:t>
      </w:r>
    </w:p>
    <w:p>
      <w:pPr>
        <w:spacing w:after="120" w:line="300"/>
      </w:pPr>
      <w:r>
        <w:t xml:space="preserve">Su et al. (2021) applied U-Net to multispectral UAV imagery for stripe rust monitoring, achieving an F1 score of 0.84 for the rust class. Zheng et al. (2021) further improved this to F1 = 0.88 with an irregular-segmentation U-Net design [9]. These segmentation-focused works differ from the present competition's classification task — classifying pre-extracted patches rather than segmenting dense field imagery — but they establish the viability of multispectral input for the problem, consistent with our observation that adding the Red Edge and NIR bands (MS modality) raises our Rust F1 from 0.647 to 0.669.</w:t>
      </w:r>
    </w:p>
    <w:p>
      <w:pPr>
        <w:pStyle w:val="Heading2"/>
        <w:spacing w:after="120" w:before="180"/>
      </w:pPr>
      <w:r>
        <w:t xml:space="preserve">2.2 1D spectral encoders and dimensionality reduction</w:t>
      </w:r>
    </w:p>
    <w:p>
      <w:pPr>
        <w:spacing w:after="120" w:line="300"/>
      </w:pPr>
      <w:r>
        <w:t xml:space="preserve">The high dimensionality of hyperspectral data (125+ bands in our case) is a well-known challenge. Traditional approaches use PCA or manual band selection to reduce dimensionality before feeding data to a 2D CNN. Recent work has argued that learned spectral compression is preferable because it optimizes for the downstream classification objective rather than for variance preservation.</w:t>
      </w:r>
    </w:p>
    <w:p>
      <w:pPr>
        <w:spacing w:after="120" w:line="300"/>
      </w:pPr>
      <w:r>
        <w:t xml:space="preserve">The use of 1D convolutions along the spectral axis was proposed by Hu et al. (2015) in one of the earliest deep learning approaches to HSI classification and remains a standard component in hybrid architectures [10]. In the crop classification context, 3D-CNNs that model spectral-spatial interactions jointly have been shown to outperform 1D and 2D CNNs [10], but at substantially higher computational cost. Our HSSpectralEncoder uses a simpler two-layer 1×1 Conv1d that compresses 125 bands to 16 without any spatial interaction — a deliberate design choice that keeps the module lightweight (~10K parameters) while still learning task-relevant band combinations. The downstream ResNet50 spatial convolutions then handle spectral-spatial joint modelling.</w:t>
      </w:r>
    </w:p>
    <w:p>
      <w:pPr>
        <w:pStyle w:val="Heading2"/>
        <w:spacing w:after="120" w:before="180"/>
      </w:pPr>
      <w:r>
        <w:t xml:space="preserve">2.3 Multimodal fusion for remote sensing classification</w:t>
      </w:r>
    </w:p>
    <w:p>
      <w:pPr>
        <w:spacing w:after="120" w:line="300"/>
      </w:pPr>
      <w:r>
        <w:t xml:space="preserve">Multimodal fusion in remote sensing can be broadly categorized as early fusion (channel concatenation before the first convolutional layer), late fusion (separate encoders with fusion at the feature or decision level), or hybrid approaches. Early fusion is the simplest and is appropriate when modalities are spatially co-registered — as they are in the present dataset — because it allows the backbone to learn cross-modal correlations at every layer depth.</w:t>
      </w:r>
    </w:p>
    <w:p>
      <w:pPr>
        <w:spacing w:after="120" w:line="300"/>
      </w:pPr>
      <w:r>
        <w:t xml:space="preserve">Li et al. (2025) showed that ResNet50 with multi-attention mechanisms improves on plain ResNet50 for multispectral crop classification by learning to weight spectral and spatial features jointly [11]. While our implementation uses plain ResNet50 for architectural simplicity and fair comparison, their results are consistent with the direction our future-work extension would take (attention-based modality weighting). A recent dual-stream transformer approach for integrating hyperspectral and multispectral satellite data achieves state-of-the-art results on fine-grained crop type classification [12], but requires much larger datasets than the 600-sample training set available here — underscoring the importance of the pretrained ImageNet backbone we use.</w:t>
      </w:r>
    </w:p>
    <w:p>
      <w:pPr>
        <w:pStyle w:val="Heading2"/>
        <w:spacing w:after="120" w:before="180"/>
      </w:pPr>
      <w:r>
        <w:t xml:space="preserve">2.4 Positioning of the present work</w:t>
      </w:r>
    </w:p>
    <w:p>
      <w:pPr>
        <w:spacing w:after="120" w:line="300"/>
      </w:pPr>
      <w:r>
        <w:t xml:space="preserve">Our work differs from most published approaches in the following ways:</w:t>
      </w:r>
    </w:p>
    <w:p>
      <w:pPr>
        <w:pStyle w:val="ListParagraph"/>
        <w:numPr>
          <w:ilvl w:val="0"/>
          <w:numId w:val="2"/>
        </w:numPr>
        <w:spacing w:after="60"/>
      </w:pPr>
      <w:r>
        <w:t xml:space="preserve">We report a controlled ablation rather than just a best model. Most published work shows a single architecture; by keeping everything identical except the input modality, performance differences can be attributed confidently to the spectral information itself.</w:t>
      </w:r>
    </w:p>
    <w:p>
      <w:pPr>
        <w:pStyle w:val="ListParagraph"/>
        <w:numPr>
          <w:ilvl w:val="0"/>
          <w:numId w:val="2"/>
        </w:numPr>
        <w:spacing w:after="60"/>
      </w:pPr>
      <w:r>
        <w:t xml:space="preserve">Competition context with a real leaderboard. Reporting results on the ICPR 2026 Kaggle leaderboard (public and private splits) provides an objective benchmark independent of our cross-validation. Our Kaggle private score of 0.732 situates the work on a leaderboard where the top-ranked teams (who use self-supervised pretraining on Sentinel data) score in the 0.90+ range.</w:t>
      </w:r>
    </w:p>
    <w:p>
      <w:pPr>
        <w:pStyle w:val="ListParagraph"/>
        <w:numPr>
          <w:ilvl w:val="0"/>
          <w:numId w:val="2"/>
        </w:numPr>
        <w:spacing w:after="60"/>
      </w:pPr>
      <w:r>
        <w:t xml:space="preserve">Team submission on a small training set. The dataset contains 600 labeled training patches — a regime where large models with many parameters overfit easily. Our design choices (ResNet50 not a larger architecture; ImageNet pretraining to offset small data; conservative augmentation to preserve the disease spectral signal) are specifically adapted to this constraint.</w:t>
      </w:r>
    </w:p>
    <w:p>
      <w:pPr>
        <w:pStyle w:val="Heading1"/>
        <w:spacing w:after="120" w:before="240"/>
      </w:pPr>
      <w:r>
        <w:t xml:space="preserve">3. Dataset</w:t>
      </w:r>
    </w:p>
    <w:p>
      <w:pPr>
        <w:spacing w:after="120" w:line="300"/>
      </w:pPr>
      <w:r>
        <w:t xml:space="preserve">The competition dataset consists of co-registered wheat-field image patches collected by a DJI M600 Pro UAV equipped with an S185 snapshot hyperspectral sensor, flown at 60 m altitude (~4 cm/pixel). Acquisition took place on 3 May and 8 May 2019, covering the pre-grouting and middle-grouting growth stages of the wheat crop. For each physical sample, three aligned modalities are provided: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b/>
                <w:bCs/>
                <w:sz w:val="20"/>
                <w:szCs w:val="20"/>
              </w:rPr>
              <w:t xml:space="preserve">Modality</w:t>
            </w:r>
          </w:p>
        </w:tc>
        <w:tc>
          <w:tcPr>
            <w:tcW w:type="dxa" w:w="1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b/>
                <w:bCs/>
                <w:sz w:val="20"/>
                <w:szCs w:val="20"/>
              </w:rPr>
              <w:t xml:space="preserve">Format</w:t>
            </w:r>
          </w:p>
        </w:tc>
        <w:tc>
          <w:tcPr>
            <w:tcW w:type="dxa" w:w="1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b/>
                <w:bCs/>
                <w:sz w:val="20"/>
                <w:szCs w:val="20"/>
              </w:rPr>
              <w:t xml:space="preserve">Spatial size</w:t>
            </w:r>
          </w:p>
        </w:tc>
        <w:tc>
          <w:tcPr>
            <w:tcW w:type="dxa" w:w="1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b/>
                <w:bCs/>
                <w:sz w:val="20"/>
                <w:szCs w:val="20"/>
              </w:rPr>
              <w:t xml:space="preserve">Channels</w:t>
            </w:r>
          </w:p>
        </w:tc>
        <w:tc>
          <w:tcPr>
            <w:tcW w:type="dxa" w:w="1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b/>
                <w:bCs/>
                <w:sz w:val="20"/>
                <w:szCs w:val="20"/>
              </w:rPr>
              <w:t xml:space="preserve">Description</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RGB</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PNG (uint8)</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64×64</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3</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True-color</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MS</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TIFF (uint16)</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64×64</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5</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B/G/R/RE/NIR</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HS</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TIFF (uint16)</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32×32</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125</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450–950 nm</w:t>
            </w:r>
          </w:p>
        </w:tc>
      </w:tr>
    </w:tbl>
    <w:p>
      <w:pPr>
        <w:spacing w:after="120" w:line="300"/>
      </w:pPr>
      <w:r>
        <w:t xml:space="preserve"/>
      </w:r>
    </w:p>
    <w:p>
      <w:pPr>
        <w:spacing w:after="120" w:line="300"/>
      </w:pPr>
      <w:r>
        <w:t xml:space="preserve">The training set is perfectly balanced: 200 samples per class for a total of 600. The validation set contains 300 anonymized patches; ground-truth labels are held back by the competition organizers.</w:t>
      </w:r>
    </w:p>
    <w:p>
      <w:pPr>
        <w:pStyle w:val="Heading2"/>
        <w:spacing w:after="120" w:before="180"/>
      </w:pPr>
      <w:r>
        <w:t xml:space="preserve">3.1 A note on the RGB images</w:t>
      </w:r>
    </w:p>
    <w:p>
      <w:pPr>
        <w:spacing w:after="120" w:line="300"/>
      </w:pPr>
      <w:r>
        <w:t xml:space="preserve">Per the dataset description, the RGB images are synthesized from the hyperspectral cube by selecting three bands near 480 nm, 550 nm, and 650 nm. The resulting images have unusual color casts compared to ordinary photographic RGB but are functionally equivalent to a true-color RGB sensor as input.</w:t>
      </w:r>
    </w:p>
    <w:p>
      <w:pPr>
        <w:pStyle w:val="Heading2"/>
        <w:spacing w:after="120" w:before="180"/>
      </w:pPr>
      <w:r>
        <w:t xml:space="preserve">3.2 Sample visualization</w:t>
      </w:r>
    </w:p>
    <w:p>
      <w:pPr>
        <w:spacing w:after="120" w:line="300"/>
      </w:pPr>
      <w:r>
        <w:t xml:space="preserve">Figure 1 shows one example from each class in each modality. At the 64×64 RGB resolution, the visual distinction between Health and Rust is subtle. The MS NIR band shows a clearer contrast — healthy vegetation reflects strongly in the NIR. The HS patches are visually noisier at 32×32 but encode dense spectral information.</w:t>
      </w:r>
    </w:p>
    <w:p>
      <w:pPr>
        <w:spacing w:after="60" w:before="120"/>
        <w:jc w:val="center"/>
      </w:pPr>
      <w:r>
        <w:drawing>
          <wp:inline distT="0" distB="0" distL="0" distR="0">
            <wp:extent cx="4572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4572000"/>
                    </a:xfrm>
                    <a:prstGeom prst="rect">
                      <a:avLst/>
                    </a:prstGeom>
                  </pic:spPr>
                </pic:pic>
              </a:graphicData>
            </a:graphic>
          </wp:inline>
        </w:drawing>
      </w:r>
    </w:p>
    <w:p>
      <w:pPr>
        <w:spacing w:after="200"/>
        <w:jc w:val="center"/>
      </w:pPr>
      <w:r>
        <w:rPr>
          <w:i/>
          <w:iCs/>
          <w:sz w:val="20"/>
          <w:szCs w:val="20"/>
        </w:rPr>
        <w:t xml:space="preserve">Figure 1 — One sample per class (columns) per modality (rows). RGB and MS are 64×64; HS is 32×32.</w:t>
      </w:r>
    </w:p>
    <w:p>
      <w:pPr>
        <w:pStyle w:val="Heading2"/>
        <w:spacing w:after="120" w:before="180"/>
      </w:pPr>
      <w:r>
        <w:t xml:space="preserve">3.3 The diagnostic plot: mean hyperspectral signatures</w:t>
      </w:r>
    </w:p>
    <w:p>
      <w:pPr>
        <w:spacing w:after="120" w:line="300"/>
      </w:pPr>
      <w:r>
        <w:t xml:space="preserve">Figure 2 plots the mean hyperspectral signature per class, averaged across all 200 training samples of that class spatially within each of the 125 spectral bands.</w:t>
      </w:r>
    </w:p>
    <w:p>
      <w:pPr>
        <w:spacing w:after="60" w:before="120"/>
        <w:jc w:val="center"/>
      </w:pPr>
      <w:r>
        <w:drawing>
          <wp:inline distT="0" distB="0" distL="0" distR="0">
            <wp:extent cx="51435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333625"/>
                    </a:xfrm>
                    <a:prstGeom prst="rect">
                      <a:avLst/>
                    </a:prstGeom>
                  </pic:spPr>
                </pic:pic>
              </a:graphicData>
            </a:graphic>
          </wp:inline>
        </w:drawing>
      </w:r>
    </w:p>
    <w:p>
      <w:pPr>
        <w:spacing w:after="200"/>
        <w:jc w:val="center"/>
      </w:pPr>
      <w:r>
        <w:rPr>
          <w:i/>
          <w:iCs/>
          <w:sz w:val="20"/>
          <w:szCs w:val="20"/>
        </w:rPr>
        <w:t xml:space="preserve">Figure 2 — Mean hyperspectral signature per class (200 samples each). Health and Rust diverge most strongly in the red-edge region (680–750 nm, shaded) — exactly the spectral region that is absent from RGB but captured by MS and HS.</w:t>
      </w:r>
    </w:p>
    <w:p>
      <w:pPr>
        <w:spacing w:after="120" w:line="300"/>
      </w:pPr>
      <w:r>
        <w:t xml:space="preserve">Three observations:</w:t>
      </w:r>
    </w:p>
    <w:p>
      <w:pPr>
        <w:pStyle w:val="ListParagraph"/>
        <w:numPr>
          <w:ilvl w:val="0"/>
          <w:numId w:val="2"/>
        </w:numPr>
        <w:spacing w:after="60"/>
      </w:pPr>
      <w:r>
        <w:t xml:space="preserve">Health and Rust are nearly indistinguishable in the visible region (450–680 nm) — the only region accessible to RGB inputs.</w:t>
      </w:r>
    </w:p>
    <w:p>
      <w:pPr>
        <w:pStyle w:val="ListParagraph"/>
        <w:numPr>
          <w:ilvl w:val="0"/>
          <w:numId w:val="2"/>
        </w:numPr>
        <w:spacing w:after="60"/>
      </w:pPr>
      <w:r>
        <w:t xml:space="preserve">Both classes diverge strongly in the red-edge region (680–750 nm) and remain separated in the NIR plateau — the region known to reflect chlorophyll content and leaf cellular structure.</w:t>
      </w:r>
    </w:p>
    <w:p>
      <w:pPr>
        <w:pStyle w:val="ListParagraph"/>
        <w:numPr>
          <w:ilvl w:val="0"/>
          <w:numId w:val="2"/>
        </w:numPr>
        <w:spacing w:after="60"/>
      </w:pPr>
      <w:r>
        <w:t xml:space="preserve">The Other class has a structurally different signature — flatter in the visible, lower NIR plateau — consistent with non-vegetation or background.</w:t>
      </w:r>
    </w:p>
    <w:p>
      <w:pPr>
        <w:spacing w:after="120" w:line="300"/>
      </w:pPr>
      <w:r>
        <w:t xml:space="preserve">This gives us a clear prediction to test: an RGB-only model should struggle to separate Health from Rust; adding MS should partially fix this by sampling the red edge; and adding HS should go further by covering that spectral region densely. We test all three in Section 5.</w:t>
      </w:r>
    </w:p>
    <w:p>
      <w:pPr>
        <w:pStyle w:val="Heading1"/>
        <w:spacing w:after="120" w:before="240"/>
      </w:pPr>
      <w:r>
        <w:t xml:space="preserve">4. Method</w:t>
      </w:r>
    </w:p>
    <w:p>
      <w:pPr>
        <w:pStyle w:val="Heading2"/>
        <w:spacing w:after="120" w:before="180"/>
      </w:pPr>
      <w:r>
        <w:t xml:space="preserve">4.1 Three models under identical training</w:t>
      </w:r>
    </w:p>
    <w:p>
      <w:pPr>
        <w:pStyle w:val="ListParagraph"/>
        <w:numPr>
          <w:ilvl w:val="0"/>
          <w:numId w:val="2"/>
        </w:numPr>
        <w:spacing w:after="60"/>
      </w:pPr>
      <w:r>
        <w:t xml:space="preserve">Model A — RGB only: 3-channel input (224×224), ResNet50 with default first-layer weights.</w:t>
      </w:r>
    </w:p>
    <w:p>
      <w:pPr>
        <w:pStyle w:val="ListParagraph"/>
        <w:numPr>
          <w:ilvl w:val="0"/>
          <w:numId w:val="2"/>
        </w:numPr>
        <w:spacing w:after="60"/>
      </w:pPr>
      <w:r>
        <w:t xml:space="preserve">Model B — RGB + MS: 8-channel input (3 RGB + 5 MS), via timm's in_chans=8 which averages the pretrained 3-channel filters across the extra channels.</w:t>
      </w:r>
    </w:p>
    <w:p>
      <w:pPr>
        <w:pStyle w:val="ListParagraph"/>
        <w:numPr>
          <w:ilvl w:val="0"/>
          <w:numId w:val="2"/>
        </w:numPr>
        <w:spacing w:after="60"/>
      </w:pPr>
      <w:r>
        <w:t xml:space="preserve">Model C — RGB + MS + HS: 24-channel input (3 RGB + 5 MS + 16 HS-encoded channels). The HS branch passes through a learned spectral encoder before concatenation.</w:t>
      </w:r>
    </w:p>
    <w:p>
      <w:pPr>
        <w:pStyle w:val="Heading2"/>
        <w:spacing w:after="120" w:before="180"/>
      </w:pPr>
      <w:r>
        <w:t xml:space="preserve">4.1b A second architectural baseline: EfficientNet-B0</w:t>
      </w:r>
    </w:p>
    <w:p>
      <w:pPr>
        <w:spacing w:after="120" w:line="300"/>
      </w:pPr>
      <w:r>
        <w:t xml:space="preserve">The three models above vary only the input modality while holding the backbone fixed (ResNet50). To establish a second, architecturally distinct baseline, we additionally train EfficientNet-B0 on RGB-only input under the identical training recipe (same seeds, same 5-fold stratified splits, same AdamW optimizer, cosine schedule, augmentation, and 25 epochs). ResNet50 and EfficientNet-B0 represent two different design philosophies — residual bottleneck blocks versus inverted-residual mobile blocks with compound scaling — so comparing them on identical RGB data isolates the effect of architecture from the effect of modality. EfficientNet-B0 is also a deliberately lightweight backbone (~5.3M parameters versus ResNet50’s ~25M), which on a 600-sample dataset is less prone to overfitting and therefore a meaningful second reference point. This gives us two independent baselines (ResNet50-RGB and EfficientNet-B0-RGB) against which the proposed tri-modal model is compared.</w:t>
      </w:r>
    </w:p>
    <w:p>
      <w:pPr>
        <w:pStyle w:val="Heading2"/>
        <w:spacing w:after="120" w:before="180"/>
      </w:pPr>
      <w:r>
        <w:t xml:space="preserve">4.2 The spectral encoder for HS</w:t>
      </w:r>
    </w:p>
    <w:p>
      <w:pPr>
        <w:spacing w:after="120" w:line="300"/>
      </w:pPr>
      <w:r>
        <w:t xml:space="preserve">The HS modality presents practical challenges: 125 bands can’t be fed into an ImageNet-pretrained layer without losing the pretraining benefit, and the 32×32 spatial resolution doesn’t match the 64×64 RGB and MS patches. We handle both with a small learned module placed before the backbone. Rather than using PCA — which maximizes variance rather than classification accuracy — we use a two-layer 1×1 Conv1d (125→64→16) that learns to compress the spectrum in a way that’s directly useful for the task. Bilinear upsampling aligns the 32×32 encoded output with the 224×224 spatial grid. The module adds only ~10,000 parameters, so any performance gain comes from the spectral information itself, not from added capacity.</w:t>
      </w:r>
    </w:p>
    <w:p>
      <w:pPr>
        <w:pStyle w:val="Heading2"/>
        <w:spacing w:after="120" w:before="180"/>
      </w:pPr>
      <w:r>
        <w:t xml:space="preserve">4.3 Inputs and normalization</w:t>
      </w:r>
    </w:p>
    <w:p>
      <w:pPr>
        <w:spacing w:after="120" w:line="300"/>
      </w:pPr>
      <w:r>
        <w:t xml:space="preserve">All inputs are resized to 224×224 before the backbone (matching ImageNet pretraining). RGB uses ImageNet mean/std normalization. MS and HS use per-band z-score normalization with statistics computed on the training set. HS files with more than 125 bands are truncated to 125 (a small number of files in the dataset have 126 bands due to a sensor format inconsistency).</w:t>
      </w:r>
    </w:p>
    <w:p>
      <w:pPr>
        <w:pStyle w:val="Heading2"/>
        <w:spacing w:after="120" w:before="180"/>
      </w:pPr>
      <w:r>
        <w:t xml:space="preserve">4.4 Training</w:t>
      </w:r>
    </w:p>
    <w:p>
      <w:pPr>
        <w:spacing w:after="120" w:line="300"/>
      </w:pPr>
      <w:r>
        <w:t xml:space="preserve">All models use 25 epochs, AdamW (lr=1e-4, weight decay=1e-4), cosine annealing LR, batch size 32, and cross-entropy loss. Augmentation: random flips, 90° rotations applied to all modalities simultaneously, plus light color jitter (brightness ±0.1, contrast ±0.1) on RGB only. Heavy color augmentation is avoided because color is part of the disease signal.</w:t>
      </w:r>
    </w:p>
    <w:p>
      <w:pPr>
        <w:pStyle w:val="Heading2"/>
        <w:spacing w:after="120" w:before="180"/>
      </w:pPr>
      <w:r>
        <w:t xml:space="preserve">4.5 Cross-validation and ensembling</w:t>
      </w:r>
    </w:p>
    <w:p>
      <w:pPr>
        <w:spacing w:after="120" w:line="300"/>
      </w:pPr>
      <w:r>
        <w:t xml:space="preserve">All models use 5-fold stratified cross-validation (seed 42). Best checkpoint per fold by macro-F1. For Kaggle test predictions, the 5 fold models predict softmax probabilities and these are averaged (soft-vote ensemble) before argmax.</w:t>
      </w:r>
    </w:p>
    <w:p>
      <w:pPr>
        <w:pStyle w:val="Heading1"/>
        <w:spacing w:after="120" w:before="240"/>
      </w:pPr>
      <w:r>
        <w:t xml:space="preserve">5. Experimental Setup</w:t>
      </w:r>
    </w:p>
    <w:p>
      <w:pPr>
        <w:spacing w:after="120" w:line="300"/>
      </w:pPr>
      <w:r>
        <w:t xml:space="preserve">All experiments were run on Kaggle's free GPU infrastructure (NVIDIA Tesla T4). A full 5-fold training cycle takes ~25 minutes for Models A and B and ~35 minutes for Model C. Implementation: PyTorch 2.x, timm 1.0.7, torchvision, scikit-learn, rasterio. All code is available in the project repository: https://github.com/nooralmasri253-gif/wheat-disease-multimodal</w:t>
      </w:r>
    </w:p>
    <w:p>
      <w:pPr>
        <w:pStyle w:val="Heading1"/>
        <w:spacing w:after="120" w:before="240"/>
      </w:pPr>
      <w:r>
        <w:t xml:space="preserve">6. Results</w:t>
      </w:r>
    </w:p>
    <w:p>
      <w:pPr>
        <w:pStyle w:val="Heading2"/>
        <w:spacing w:after="120" w:before="180"/>
      </w:pPr>
      <w:r>
        <w:t xml:space="preserve">6.1 Model A — RGB baseline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000"/>
        <w:gridCol w:w="2000"/>
        <w:gridCol w:w="1700"/>
      </w:tblGrid>
      <w:tr>
        <w:tc>
          <w:tcPr>
            <w:tcW w:type="dxa" w:w="15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b/>
                <w:bCs/>
                <w:sz w:val="20"/>
                <w:szCs w:val="20"/>
              </w:rPr>
              <w:t xml:space="preserve">Fold</w:t>
            </w:r>
          </w:p>
        </w:tc>
        <w:tc>
          <w:tcPr>
            <w:tcW w:type="dxa" w:w="1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b/>
                <w:bCs/>
                <w:sz w:val="20"/>
                <w:szCs w:val="20"/>
              </w:rPr>
              <w:t xml:space="preserve">Best Epoch</w:t>
            </w:r>
          </w:p>
        </w:tc>
        <w:tc>
          <w:tcPr>
            <w:tcW w:type="dxa" w:w="2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b/>
                <w:bCs/>
                <w:sz w:val="20"/>
                <w:szCs w:val="20"/>
              </w:rPr>
              <w:t xml:space="preserve">Val Accuracy</w:t>
            </w:r>
          </w:p>
        </w:tc>
        <w:tc>
          <w:tcPr>
            <w:tcW w:type="dxa" w:w="2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b/>
                <w:bCs/>
                <w:sz w:val="20"/>
                <w:szCs w:val="20"/>
              </w:rPr>
              <w:t xml:space="preserve">Val Macro-F1</w:t>
            </w:r>
          </w:p>
        </w:tc>
        <w:tc>
          <w:tcPr>
            <w:tcW w:type="dxa" w:w="17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b/>
                <w:bCs/>
                <w:sz w:val="20"/>
                <w:szCs w:val="20"/>
              </w:rPr>
              <w:t xml:space="preserve">Notes</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1</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3</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0.5583</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0.5477</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Early stop</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2</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16</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0.6417</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0.5841</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Best fold</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3</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18</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0.6333</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0.5822</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Strong</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4</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16</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0.5500</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0.5356</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Weakest</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5</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11</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0.6083</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0.5824</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Stable</w:t>
            </w:r>
          </w:p>
        </w:tc>
      </w:tr>
      <w:tr>
        <w:tc>
          <w:tcPr>
            <w:tcW w:type="dxa" w:w="15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b/>
                <w:bCs/>
                <w:sz w:val="20"/>
                <w:szCs w:val="20"/>
              </w:rPr>
              <w:t xml:space="preserve">Mean</w:t>
            </w:r>
          </w:p>
        </w:tc>
        <w:tc>
          <w:tcPr>
            <w:tcW w:type="dxa" w:w="1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b/>
                <w:bCs/>
                <w:sz w:val="20"/>
                <w:szCs w:val="20"/>
              </w:rPr>
              <w:t xml:space="preserve">—</w:t>
            </w:r>
          </w:p>
        </w:tc>
        <w:tc>
          <w:tcPr>
            <w:tcW w:type="dxa" w:w="2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b/>
                <w:bCs/>
                <w:sz w:val="20"/>
                <w:szCs w:val="20"/>
              </w:rPr>
              <w:t xml:space="preserve">0.5983 ± 0.0422</w:t>
            </w:r>
          </w:p>
        </w:tc>
        <w:tc>
          <w:tcPr>
            <w:tcW w:type="dxa" w:w="2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b/>
                <w:bCs/>
                <w:sz w:val="20"/>
                <w:szCs w:val="20"/>
              </w:rPr>
              <w:t xml:space="preserve">0.5664 ± 0.0230</w:t>
            </w:r>
          </w:p>
        </w:tc>
        <w:tc>
          <w:tcPr>
            <w:tcW w:type="dxa" w:w="17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b/>
                <w:bCs/>
                <w:sz w:val="20"/>
                <w:szCs w:val="20"/>
              </w:rPr>
              <w:t xml:space="preserve">5-fold CV</w:t>
            </w:r>
          </w:p>
        </w:tc>
      </w:tr>
    </w:tbl>
    <w:p>
      <w:pPr>
        <w:spacing w:after="200"/>
        <w:jc w:val="center"/>
      </w:pPr>
      <w:r>
        <w:rPr>
          <w:i/>
          <w:iCs/>
          <w:sz w:val="20"/>
          <w:szCs w:val="20"/>
        </w:rPr>
        <w:t xml:space="preserve">Table 1 — Model A (RGB only): per-fold validation metrics.</w:t>
      </w:r>
    </w:p>
    <w:p>
      <w:pPr>
        <w:spacing w:after="120" w:line="300"/>
      </w:pPr>
      <w:r>
        <w:t xml:space="preserve">Kaggle late submission: public 0.5053, private 0.6244.</w:t>
      </w:r>
    </w:p>
    <w:p>
      <w:pPr>
        <w:pStyle w:val="Heading2"/>
        <w:spacing w:after="120" w:before="180"/>
      </w:pPr>
      <w:r>
        <w:t xml:space="preserve">6.1b Second baseline — EfficientNet-B0 (RGB only)</w:t>
      </w:r>
    </w:p>
    <w:p>
      <w:pPr>
        <w:spacing w:after="120" w:line="300"/>
      </w:pPr>
      <w:r>
        <w:t xml:space="preserve">As a second architectural baseline, EfficientNet-B0 was trained on RGB-only input under the identical recipe used for the ResNet50 models. Its 5-fold cross-validation metrics are reported in Table 1b.</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b/>
                <w:bCs/>
                <w:sz w:val="20"/>
                <w:szCs w:val="20"/>
              </w:rPr>
              <w:t xml:space="preserve">Fold</w:t>
            </w:r>
          </w:p>
        </w:tc>
        <w:tc>
          <w:tcPr>
            <w:tcW w:type="dxa" w:w="225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b/>
                <w:bCs/>
                <w:sz w:val="20"/>
                <w:szCs w:val="20"/>
              </w:rPr>
              <w:t xml:space="preserve">Best Epoch</w:t>
            </w:r>
          </w:p>
        </w:tc>
        <w:tc>
          <w:tcPr>
            <w:tcW w:type="dxa" w:w="225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b/>
                <w:bCs/>
                <w:sz w:val="20"/>
                <w:szCs w:val="20"/>
              </w:rPr>
              <w:t xml:space="preserve">Val Accuracy</w:t>
            </w:r>
          </w:p>
        </w:tc>
        <w:tc>
          <w:tcPr>
            <w:tcW w:type="dxa" w:w="225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b/>
                <w:bCs/>
                <w:sz w:val="20"/>
                <w:szCs w:val="20"/>
              </w:rPr>
              <w:t xml:space="preserve">Val Macro-F1</w:t>
            </w:r>
          </w:p>
        </w:tc>
      </w:tr>
      <w:tr>
        <w:tc>
          <w:tcPr>
            <w:tcW w:type="dxa" w:w="2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1</w:t>
            </w:r>
          </w:p>
        </w:tc>
        <w:tc>
          <w:tcPr>
            <w:tcW w:type="dxa" w:w="2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24</w:t>
            </w:r>
          </w:p>
        </w:tc>
        <w:tc>
          <w:tcPr>
            <w:tcW w:type="dxa" w:w="2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0.6333</w:t>
            </w:r>
          </w:p>
        </w:tc>
        <w:tc>
          <w:tcPr>
            <w:tcW w:type="dxa" w:w="2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0.6288</w:t>
            </w:r>
          </w:p>
        </w:tc>
      </w:tr>
      <w:tr>
        <w:tc>
          <w:tcPr>
            <w:tcW w:type="dxa" w:w="2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2</w:t>
            </w:r>
          </w:p>
        </w:tc>
        <w:tc>
          <w:tcPr>
            <w:tcW w:type="dxa" w:w="2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25</w:t>
            </w:r>
          </w:p>
        </w:tc>
        <w:tc>
          <w:tcPr>
            <w:tcW w:type="dxa" w:w="2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0.6500</w:t>
            </w:r>
          </w:p>
        </w:tc>
        <w:tc>
          <w:tcPr>
            <w:tcW w:type="dxa" w:w="2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0.6474</w:t>
            </w:r>
          </w:p>
        </w:tc>
      </w:tr>
      <w:tr>
        <w:tc>
          <w:tcPr>
            <w:tcW w:type="dxa" w:w="2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3</w:t>
            </w:r>
          </w:p>
        </w:tc>
        <w:tc>
          <w:tcPr>
            <w:tcW w:type="dxa" w:w="2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14</w:t>
            </w:r>
          </w:p>
        </w:tc>
        <w:tc>
          <w:tcPr>
            <w:tcW w:type="dxa" w:w="2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0.5750</w:t>
            </w:r>
          </w:p>
        </w:tc>
        <w:tc>
          <w:tcPr>
            <w:tcW w:type="dxa" w:w="2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0.5785</w:t>
            </w:r>
          </w:p>
        </w:tc>
      </w:tr>
      <w:tr>
        <w:tc>
          <w:tcPr>
            <w:tcW w:type="dxa" w:w="2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4</w:t>
            </w:r>
          </w:p>
        </w:tc>
        <w:tc>
          <w:tcPr>
            <w:tcW w:type="dxa" w:w="2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20</w:t>
            </w:r>
          </w:p>
        </w:tc>
        <w:tc>
          <w:tcPr>
            <w:tcW w:type="dxa" w:w="2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0.6333</w:t>
            </w:r>
          </w:p>
        </w:tc>
        <w:tc>
          <w:tcPr>
            <w:tcW w:type="dxa" w:w="2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0.6360</w:t>
            </w:r>
          </w:p>
        </w:tc>
      </w:tr>
      <w:tr>
        <w:tc>
          <w:tcPr>
            <w:tcW w:type="dxa" w:w="2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5</w:t>
            </w:r>
          </w:p>
        </w:tc>
        <w:tc>
          <w:tcPr>
            <w:tcW w:type="dxa" w:w="2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17</w:t>
            </w:r>
          </w:p>
        </w:tc>
        <w:tc>
          <w:tcPr>
            <w:tcW w:type="dxa" w:w="2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0.6250</w:t>
            </w:r>
          </w:p>
        </w:tc>
        <w:tc>
          <w:tcPr>
            <w:tcW w:type="dxa" w:w="2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0.6271</w:t>
            </w:r>
          </w:p>
        </w:tc>
      </w:tr>
      <w:tr>
        <w:tc>
          <w:tcPr>
            <w:tcW w:type="dxa" w:w="2250"/>
            <w:tcBorders>
              <w:top w:val="single" w:color="BFBFBF" w:sz="4"/>
              <w:left w:val="single" w:color="BFBFBF" w:sz="4"/>
              <w:bottom w:val="single" w:color="BFBFBF" w:sz="4"/>
              <w:right w:val="single" w:color="BFBFBF" w:sz="4"/>
            </w:tcBorders>
            <w:shd w:fill="EFEFEF" w:val="clear"/>
            <w:tcMar>
              <w:top w:type="dxa" w:w="80"/>
              <w:left w:type="dxa" w:w="120"/>
              <w:bottom w:type="dxa" w:w="80"/>
              <w:right w:type="dxa" w:w="120"/>
            </w:tcMar>
          </w:tcPr>
          <w:p>
            <w:pPr>
              <w:jc w:val="center"/>
            </w:pPr>
            <w:r>
              <w:rPr>
                <w:b/>
                <w:bCs/>
                <w:sz w:val="20"/>
                <w:szCs w:val="20"/>
              </w:rPr>
              <w:t xml:space="preserve">Mean</w:t>
            </w:r>
          </w:p>
        </w:tc>
        <w:tc>
          <w:tcPr>
            <w:tcW w:type="dxa" w:w="2250"/>
            <w:tcBorders>
              <w:top w:val="single" w:color="BFBFBF" w:sz="4"/>
              <w:left w:val="single" w:color="BFBFBF" w:sz="4"/>
              <w:bottom w:val="single" w:color="BFBFBF" w:sz="4"/>
              <w:right w:val="single" w:color="BFBFBF" w:sz="4"/>
            </w:tcBorders>
            <w:shd w:fill="EFEFEF" w:val="clear"/>
            <w:tcMar>
              <w:top w:type="dxa" w:w="80"/>
              <w:left w:type="dxa" w:w="120"/>
              <w:bottom w:type="dxa" w:w="80"/>
              <w:right w:type="dxa" w:w="120"/>
            </w:tcMar>
          </w:tcPr>
          <w:p>
            <w:pPr>
              <w:jc w:val="center"/>
            </w:pPr>
            <w:r>
              <w:rPr>
                <w:b/>
                <w:bCs/>
                <w:sz w:val="20"/>
                <w:szCs w:val="20"/>
              </w:rPr>
              <w:t xml:space="preserve">—</w:t>
            </w:r>
          </w:p>
        </w:tc>
        <w:tc>
          <w:tcPr>
            <w:tcW w:type="dxa" w:w="2250"/>
            <w:tcBorders>
              <w:top w:val="single" w:color="BFBFBF" w:sz="4"/>
              <w:left w:val="single" w:color="BFBFBF" w:sz="4"/>
              <w:bottom w:val="single" w:color="BFBFBF" w:sz="4"/>
              <w:right w:val="single" w:color="BFBFBF" w:sz="4"/>
            </w:tcBorders>
            <w:shd w:fill="EFEFEF" w:val="clear"/>
            <w:tcMar>
              <w:top w:type="dxa" w:w="80"/>
              <w:left w:type="dxa" w:w="120"/>
              <w:bottom w:type="dxa" w:w="80"/>
              <w:right w:type="dxa" w:w="120"/>
            </w:tcMar>
          </w:tcPr>
          <w:p>
            <w:pPr>
              <w:jc w:val="center"/>
            </w:pPr>
            <w:r>
              <w:rPr>
                <w:b/>
                <w:bCs/>
                <w:sz w:val="20"/>
                <w:szCs w:val="20"/>
              </w:rPr>
              <w:t xml:space="preserve">0.6233 ± 0.0285</w:t>
            </w:r>
          </w:p>
        </w:tc>
        <w:tc>
          <w:tcPr>
            <w:tcW w:type="dxa" w:w="2250"/>
            <w:tcBorders>
              <w:top w:val="single" w:color="BFBFBF" w:sz="4"/>
              <w:left w:val="single" w:color="BFBFBF" w:sz="4"/>
              <w:bottom w:val="single" w:color="BFBFBF" w:sz="4"/>
              <w:right w:val="single" w:color="BFBFBF" w:sz="4"/>
            </w:tcBorders>
            <w:shd w:fill="EFEFEF" w:val="clear"/>
            <w:tcMar>
              <w:top w:type="dxa" w:w="80"/>
              <w:left w:type="dxa" w:w="120"/>
              <w:bottom w:type="dxa" w:w="80"/>
              <w:right w:type="dxa" w:w="120"/>
            </w:tcMar>
          </w:tcPr>
          <w:p>
            <w:pPr>
              <w:jc w:val="center"/>
            </w:pPr>
            <w:r>
              <w:rPr>
                <w:b/>
                <w:bCs/>
                <w:sz w:val="20"/>
                <w:szCs w:val="20"/>
              </w:rPr>
              <w:t xml:space="preserve">0.6235 ± 0.0264</w:t>
            </w:r>
          </w:p>
        </w:tc>
      </w:tr>
    </w:tbl>
    <w:p>
      <w:pPr>
        <w:spacing w:after="120" w:line="300"/>
      </w:pPr>
      <w:r>
        <w:rPr>
          <w:i/>
          <w:iCs/>
        </w:rPr>
        <w:t xml:space="preserve">Table 1b — EfficientNet-B0 (RGB only): per-fold validation metrics.</w:t>
      </w:r>
    </w:p>
    <w:p>
      <w:pPr>
        <w:spacing w:after="120" w:line="300"/>
      </w:pPr>
      <w:r>
        <w:t xml:space="preserve">Comparing the two RGB-only baselines on identical data: EfficientNet-B0 reaches 0.623 CV accuracy / 0.624 macro-F1, modestly ahead of the ResNet50 RGB baseline (Model A: 0.598 / 0.566). The lighter inverted-residual architecture is slightly better suited to this small dataset than ResNet50 when both see only the visible spectrum. Crucially, however, both RGB-only baselines remain well below the tri-modal model (Model C: 0.668 / 0.642). This confirms that the dominant source of improvement is the added spectral information (MS and HS), not the choice of backbone — a stronger architecture on RGB alone closes only a small fraction of the gap that the additional modalities close.</w:t>
      </w:r>
    </w:p>
    <w:p>
      <w:pPr>
        <w:pStyle w:val="Heading2"/>
        <w:spacing w:after="120" w:before="180"/>
      </w:pPr>
      <w:r>
        <w:t xml:space="preserve">6.2 Model B — RGB + 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000"/>
        <w:gridCol w:w="2000"/>
        <w:gridCol w:w="1700"/>
      </w:tblGrid>
      <w:tr>
        <w:tc>
          <w:tcPr>
            <w:tcW w:type="dxa" w:w="15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b/>
                <w:bCs/>
                <w:sz w:val="20"/>
                <w:szCs w:val="20"/>
              </w:rPr>
              <w:t xml:space="preserve">Fold</w:t>
            </w:r>
          </w:p>
        </w:tc>
        <w:tc>
          <w:tcPr>
            <w:tcW w:type="dxa" w:w="1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b/>
                <w:bCs/>
                <w:sz w:val="20"/>
                <w:szCs w:val="20"/>
              </w:rPr>
              <w:t xml:space="preserve">Best Epoch</w:t>
            </w:r>
          </w:p>
        </w:tc>
        <w:tc>
          <w:tcPr>
            <w:tcW w:type="dxa" w:w="2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b/>
                <w:bCs/>
                <w:sz w:val="20"/>
                <w:szCs w:val="20"/>
              </w:rPr>
              <w:t xml:space="preserve">Val Accuracy</w:t>
            </w:r>
          </w:p>
        </w:tc>
        <w:tc>
          <w:tcPr>
            <w:tcW w:type="dxa" w:w="2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b/>
                <w:bCs/>
                <w:sz w:val="20"/>
                <w:szCs w:val="20"/>
              </w:rPr>
              <w:t xml:space="preserve">Val Macro-F1</w:t>
            </w:r>
          </w:p>
        </w:tc>
        <w:tc>
          <w:tcPr>
            <w:tcW w:type="dxa" w:w="17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b/>
                <w:bCs/>
                <w:sz w:val="20"/>
                <w:szCs w:val="20"/>
              </w:rPr>
              <w:t xml:space="preserve">Notes</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1</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20</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0.6833</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0.6616</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Best fold</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2</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22</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0.6417</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0.6113</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Stable</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3</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14</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0.6417</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0.5758</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Stable</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4</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3</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0.6333</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0.6216</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Early stop</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5</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19</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0.6000</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0.5741</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Weakest</w:t>
            </w:r>
          </w:p>
        </w:tc>
      </w:tr>
      <w:tr>
        <w:tc>
          <w:tcPr>
            <w:tcW w:type="dxa" w:w="15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b/>
                <w:bCs/>
                <w:sz w:val="20"/>
                <w:szCs w:val="20"/>
              </w:rPr>
              <w:t xml:space="preserve">Mean</w:t>
            </w:r>
          </w:p>
        </w:tc>
        <w:tc>
          <w:tcPr>
            <w:tcW w:type="dxa" w:w="1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b/>
                <w:bCs/>
                <w:sz w:val="20"/>
                <w:szCs w:val="20"/>
              </w:rPr>
              <w:t xml:space="preserve">—</w:t>
            </w:r>
          </w:p>
        </w:tc>
        <w:tc>
          <w:tcPr>
            <w:tcW w:type="dxa" w:w="2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b/>
                <w:bCs/>
                <w:sz w:val="20"/>
                <w:szCs w:val="20"/>
              </w:rPr>
              <w:t xml:space="preserve">0.6400 ± 0.0297</w:t>
            </w:r>
          </w:p>
        </w:tc>
        <w:tc>
          <w:tcPr>
            <w:tcW w:type="dxa" w:w="2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b/>
                <w:bCs/>
                <w:sz w:val="20"/>
                <w:szCs w:val="20"/>
              </w:rPr>
              <w:t xml:space="preserve">0.6089 ± 0.0362</w:t>
            </w:r>
          </w:p>
        </w:tc>
        <w:tc>
          <w:tcPr>
            <w:tcW w:type="dxa" w:w="17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b/>
                <w:bCs/>
                <w:sz w:val="20"/>
                <w:szCs w:val="20"/>
              </w:rPr>
              <w:t xml:space="preserve">5-fold CV</w:t>
            </w:r>
          </w:p>
        </w:tc>
      </w:tr>
    </w:tbl>
    <w:p>
      <w:pPr>
        <w:spacing w:after="200"/>
        <w:jc w:val="center"/>
      </w:pPr>
      <w:r>
        <w:rPr>
          <w:i/>
          <w:iCs/>
          <w:sz w:val="20"/>
          <w:szCs w:val="20"/>
        </w:rPr>
        <w:t xml:space="preserve">Table 2 — Model B (RGB + MS): per-fold validation metrics.</w:t>
      </w:r>
    </w:p>
    <w:p>
      <w:pPr>
        <w:spacing w:after="120" w:line="300"/>
      </w:pPr>
      <w:r>
        <w:t xml:space="preserve">Kaggle late submission: public 0.6316 (+0.126), private 0.6488 (+0.024).</w:t>
      </w:r>
    </w:p>
    <w:p>
      <w:pPr>
        <w:pStyle w:val="Heading2"/>
        <w:spacing w:after="120" w:before="180"/>
      </w:pPr>
      <w:r>
        <w:t xml:space="preserve">6.3 Model C — RGB + MS + HS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000"/>
        <w:gridCol w:w="2000"/>
        <w:gridCol w:w="1700"/>
      </w:tblGrid>
      <w:tr>
        <w:tc>
          <w:tcPr>
            <w:tcW w:type="dxa" w:w="15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b/>
                <w:bCs/>
                <w:sz w:val="20"/>
                <w:szCs w:val="20"/>
              </w:rPr>
              <w:t xml:space="preserve">Fold</w:t>
            </w:r>
          </w:p>
        </w:tc>
        <w:tc>
          <w:tcPr>
            <w:tcW w:type="dxa" w:w="1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b/>
                <w:bCs/>
                <w:sz w:val="20"/>
                <w:szCs w:val="20"/>
              </w:rPr>
              <w:t xml:space="preserve">Best Epoch</w:t>
            </w:r>
          </w:p>
        </w:tc>
        <w:tc>
          <w:tcPr>
            <w:tcW w:type="dxa" w:w="2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b/>
                <w:bCs/>
                <w:sz w:val="20"/>
                <w:szCs w:val="20"/>
              </w:rPr>
              <w:t xml:space="preserve">Val Accuracy</w:t>
            </w:r>
          </w:p>
        </w:tc>
        <w:tc>
          <w:tcPr>
            <w:tcW w:type="dxa" w:w="2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b/>
                <w:bCs/>
                <w:sz w:val="20"/>
                <w:szCs w:val="20"/>
              </w:rPr>
              <w:t xml:space="preserve">Val Macro-F1</w:t>
            </w:r>
          </w:p>
        </w:tc>
        <w:tc>
          <w:tcPr>
            <w:tcW w:type="dxa" w:w="17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b/>
                <w:bCs/>
                <w:sz w:val="20"/>
                <w:szCs w:val="20"/>
              </w:rPr>
              <w:t xml:space="preserve">Notes</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1</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17</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0.7000</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0.6725</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Best fold</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2</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18</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0.6250</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0.6032</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Weakest</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3</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25</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0.6667</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0.6282</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Stable</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4</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24</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0.6917</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0.6815</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Strong</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5</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16</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0.6833</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0.6672</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Strong</w:t>
            </w:r>
          </w:p>
        </w:tc>
      </w:tr>
      <w:tr>
        <w:tc>
          <w:tcPr>
            <w:tcW w:type="dxa" w:w="15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b/>
                <w:bCs/>
                <w:sz w:val="20"/>
                <w:szCs w:val="20"/>
              </w:rPr>
              <w:t xml:space="preserve">Mean</w:t>
            </w:r>
          </w:p>
        </w:tc>
        <w:tc>
          <w:tcPr>
            <w:tcW w:type="dxa" w:w="1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b/>
                <w:bCs/>
                <w:sz w:val="20"/>
                <w:szCs w:val="20"/>
              </w:rPr>
              <w:t xml:space="preserve">—</w:t>
            </w:r>
          </w:p>
        </w:tc>
        <w:tc>
          <w:tcPr>
            <w:tcW w:type="dxa" w:w="2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b/>
                <w:bCs/>
                <w:sz w:val="20"/>
                <w:szCs w:val="20"/>
              </w:rPr>
              <w:t xml:space="preserve">0.6683 ± 0.0218</w:t>
            </w:r>
          </w:p>
        </w:tc>
        <w:tc>
          <w:tcPr>
            <w:tcW w:type="dxa" w:w="2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b/>
                <w:bCs/>
                <w:sz w:val="20"/>
                <w:szCs w:val="20"/>
              </w:rPr>
              <w:t xml:space="preserve">0.6420 ± 0.0320</w:t>
            </w:r>
          </w:p>
        </w:tc>
        <w:tc>
          <w:tcPr>
            <w:tcW w:type="dxa" w:w="17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b/>
                <w:bCs/>
                <w:sz w:val="20"/>
                <w:szCs w:val="20"/>
              </w:rPr>
              <w:t xml:space="preserve">5-fold CV</w:t>
            </w:r>
          </w:p>
        </w:tc>
      </w:tr>
    </w:tbl>
    <w:p>
      <w:pPr>
        <w:spacing w:after="200"/>
        <w:jc w:val="center"/>
      </w:pPr>
      <w:r>
        <w:rPr>
          <w:i/>
          <w:iCs/>
          <w:sz w:val="20"/>
          <w:szCs w:val="20"/>
        </w:rPr>
        <w:t xml:space="preserve">Table 3 — Model C (RGB + MS + HS): per-fold validation metrics.</w:t>
      </w:r>
    </w:p>
    <w:p>
      <w:pPr>
        <w:spacing w:after="120" w:line="300"/>
      </w:pPr>
      <w:r>
        <w:t xml:space="preserve">Kaggle late submission: public 0.6632 (+0.158 over RGB, +0.031 over RGB+MS), private 0.7317 (+0.107 over RGB, +0.083 over RGB+MS).</w:t>
      </w:r>
    </w:p>
    <w:p>
      <w:pPr>
        <w:spacing w:after="120" w:line="300"/>
      </w:pPr>
      <w:r>
        <w:t xml:space="preserve">Per-class metrics for the tri-modal model: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750"/>
        <w:gridCol w:w="1750"/>
        <w:gridCol w:w="1750"/>
        <w:gridCol w:w="1750"/>
      </w:tblGrid>
      <w:tr>
        <w:tc>
          <w:tcPr>
            <w:tcW w:type="dxa" w:w="2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b/>
                <w:bCs/>
                <w:sz w:val="20"/>
                <w:szCs w:val="20"/>
              </w:rPr>
              <w:t xml:space="preserve">Class</w:t>
            </w:r>
          </w:p>
        </w:tc>
        <w:tc>
          <w:tcPr>
            <w:tcW w:type="dxa" w:w="175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b/>
                <w:bCs/>
                <w:sz w:val="20"/>
                <w:szCs w:val="20"/>
              </w:rPr>
              <w:t xml:space="preserve">Precision</w:t>
            </w:r>
          </w:p>
        </w:tc>
        <w:tc>
          <w:tcPr>
            <w:tcW w:type="dxa" w:w="175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b/>
                <w:bCs/>
                <w:sz w:val="20"/>
                <w:szCs w:val="20"/>
              </w:rPr>
              <w:t xml:space="preserve">Recall</w:t>
            </w:r>
          </w:p>
        </w:tc>
        <w:tc>
          <w:tcPr>
            <w:tcW w:type="dxa" w:w="175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b/>
                <w:bCs/>
                <w:sz w:val="20"/>
                <w:szCs w:val="20"/>
              </w:rPr>
              <w:t xml:space="preserve">F1-score</w:t>
            </w:r>
          </w:p>
        </w:tc>
        <w:tc>
          <w:tcPr>
            <w:tcW w:type="dxa" w:w="175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b/>
                <w:bCs/>
                <w:sz w:val="20"/>
                <w:szCs w:val="20"/>
              </w:rPr>
              <w:t xml:space="preserve">Support</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Health</w:t>
            </w:r>
          </w:p>
        </w:tc>
        <w:tc>
          <w:tcPr>
            <w:tcW w:type="dxa" w:w="17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0.564</w:t>
            </w:r>
          </w:p>
        </w:tc>
        <w:tc>
          <w:tcPr>
            <w:tcW w:type="dxa" w:w="17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0.310</w:t>
            </w:r>
          </w:p>
        </w:tc>
        <w:tc>
          <w:tcPr>
            <w:tcW w:type="dxa" w:w="17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0.400</w:t>
            </w:r>
          </w:p>
        </w:tc>
        <w:tc>
          <w:tcPr>
            <w:tcW w:type="dxa" w:w="17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200</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Rust</w:t>
            </w:r>
          </w:p>
        </w:tc>
        <w:tc>
          <w:tcPr>
            <w:tcW w:type="dxa" w:w="17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0.616</w:t>
            </w:r>
          </w:p>
        </w:tc>
        <w:tc>
          <w:tcPr>
            <w:tcW w:type="dxa" w:w="17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0.850</w:t>
            </w:r>
          </w:p>
        </w:tc>
        <w:tc>
          <w:tcPr>
            <w:tcW w:type="dxa" w:w="17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0.714</w:t>
            </w:r>
          </w:p>
        </w:tc>
        <w:tc>
          <w:tcPr>
            <w:tcW w:type="dxa" w:w="17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200</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Other</w:t>
            </w:r>
          </w:p>
        </w:tc>
        <w:tc>
          <w:tcPr>
            <w:tcW w:type="dxa" w:w="17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0.790</w:t>
            </w:r>
          </w:p>
        </w:tc>
        <w:tc>
          <w:tcPr>
            <w:tcW w:type="dxa" w:w="17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0.845</w:t>
            </w:r>
          </w:p>
        </w:tc>
        <w:tc>
          <w:tcPr>
            <w:tcW w:type="dxa" w:w="17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0.816</w:t>
            </w:r>
          </w:p>
        </w:tc>
        <w:tc>
          <w:tcPr>
            <w:tcW w:type="dxa" w:w="17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200</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bCs/>
                <w:sz w:val="20"/>
                <w:szCs w:val="20"/>
              </w:rPr>
              <w:t xml:space="preserve">Macro avg</w:t>
            </w:r>
          </w:p>
        </w:tc>
        <w:tc>
          <w:tcPr>
            <w:tcW w:type="dxa" w:w="17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bCs/>
                <w:sz w:val="20"/>
                <w:szCs w:val="20"/>
              </w:rPr>
              <w:t xml:space="preserve">0.656</w:t>
            </w:r>
          </w:p>
        </w:tc>
        <w:tc>
          <w:tcPr>
            <w:tcW w:type="dxa" w:w="17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bCs/>
                <w:sz w:val="20"/>
                <w:szCs w:val="20"/>
              </w:rPr>
              <w:t xml:space="preserve">0.668</w:t>
            </w:r>
          </w:p>
        </w:tc>
        <w:tc>
          <w:tcPr>
            <w:tcW w:type="dxa" w:w="17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bCs/>
                <w:sz w:val="20"/>
                <w:szCs w:val="20"/>
              </w:rPr>
              <w:t xml:space="preserve">0.642</w:t>
            </w:r>
          </w:p>
        </w:tc>
        <w:tc>
          <w:tcPr>
            <w:tcW w:type="dxa" w:w="17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bCs/>
                <w:sz w:val="20"/>
                <w:szCs w:val="20"/>
              </w:rPr>
              <w:t xml:space="preserve">600</w:t>
            </w:r>
          </w:p>
        </w:tc>
      </w:tr>
    </w:tbl>
    <w:p>
      <w:pPr>
        <w:spacing w:after="200"/>
        <w:jc w:val="center"/>
      </w:pPr>
      <w:r>
        <w:rPr>
          <w:i/>
          <w:iCs/>
          <w:sz w:val="20"/>
          <w:szCs w:val="20"/>
        </w:rPr>
        <w:t xml:space="preserve">Table 4 — Model C (RGB + MS + HS): out-of-fold per-class metrics (n=600).</w:t>
      </w:r>
    </w:p>
    <w:p>
      <w:pPr>
        <w:pStyle w:val="Heading2"/>
        <w:spacing w:after="120" w:before="180"/>
      </w:pPr>
      <w:r>
        <w:t xml:space="preserve">6.4 Three-way ablation</w:t>
      </w:r>
    </w:p>
    <w:p>
      <w:pPr>
        <w:spacing w:after="120" w:line="300"/>
      </w:pPr>
      <w:r>
        <w:t xml:space="preserve">Table 5 brings together the main numbers across all three models. Every single metric improves as we add modalities, and the pattern holds across both our cross-validation and the two independent Kaggle leaderboard splits. That consistency is reassuring — it suggests the gains are real and not just lucky CV splits.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800"/>
        <w:gridCol w:w="1200"/>
      </w:tblGrid>
      <w:tr>
        <w:tc>
          <w:tcPr>
            <w:tcW w:type="dxa" w:w="2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b/>
                <w:bCs/>
                <w:sz w:val="20"/>
                <w:szCs w:val="20"/>
              </w:rPr>
              <w:t xml:space="preserve">Metric</w:t>
            </w:r>
          </w:p>
        </w:tc>
        <w:tc>
          <w:tcPr>
            <w:tcW w:type="dxa" w:w="16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b/>
                <w:bCs/>
                <w:sz w:val="20"/>
                <w:szCs w:val="20"/>
              </w:rPr>
              <w:t xml:space="preserve">RGB</w:t>
            </w:r>
          </w:p>
        </w:tc>
        <w:tc>
          <w:tcPr>
            <w:tcW w:type="dxa" w:w="16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b/>
                <w:bCs/>
                <w:sz w:val="20"/>
                <w:szCs w:val="20"/>
              </w:rPr>
              <w:t xml:space="preserve">RGB + MS</w:t>
            </w:r>
          </w:p>
        </w:tc>
        <w:tc>
          <w:tcPr>
            <w:tcW w:type="dxa" w:w="1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b/>
                <w:bCs/>
                <w:sz w:val="20"/>
                <w:szCs w:val="20"/>
              </w:rPr>
              <w:t xml:space="preserve">RGB + MS + HS</w:t>
            </w:r>
          </w:p>
        </w:tc>
        <w:tc>
          <w:tcPr>
            <w:tcW w:type="dxa" w:w="12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b/>
                <w:bCs/>
                <w:sz w:val="20"/>
                <w:szCs w:val="20"/>
              </w:rPr>
              <w:t xml:space="preserve">Total Δ</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CV mean accuracy</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0.564</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0.640</w:t>
            </w:r>
          </w:p>
        </w:tc>
        <w:tc>
          <w:tcPr>
            <w:tcW w:type="dxa" w:w="1800"/>
            <w:tcBorders>
              <w:top w:val="single" w:color="BFBFBF" w:sz="4"/>
              <w:left w:val="single" w:color="BFBFBF" w:sz="4"/>
              <w:bottom w:val="single" w:color="BFBFBF" w:sz="4"/>
              <w:right w:val="single" w:color="BFBFBF" w:sz="4"/>
            </w:tcBorders>
            <w:shd w:fill="F5F7F2" w:val="clear"/>
            <w:tcMar>
              <w:top w:type="dxa" w:w="80"/>
              <w:left w:type="dxa" w:w="120"/>
              <w:bottom w:type="dxa" w:w="80"/>
              <w:right w:type="dxa" w:w="120"/>
            </w:tcMar>
          </w:tcPr>
          <w:p>
            <w:pPr>
              <w:jc w:val="center"/>
            </w:pPr>
            <w:r>
              <w:rPr>
                <w:b w:val="false"/>
                <w:bCs w:val="false"/>
                <w:sz w:val="20"/>
                <w:szCs w:val="20"/>
              </w:rPr>
              <w:t xml:space="preserve">0.668</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bCs/>
                <w:sz w:val="20"/>
                <w:szCs w:val="20"/>
              </w:rPr>
              <w:t xml:space="preserve">+0.070</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CV mean macro-F1</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0.566</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0.609</w:t>
            </w:r>
          </w:p>
        </w:tc>
        <w:tc>
          <w:tcPr>
            <w:tcW w:type="dxa" w:w="1800"/>
            <w:tcBorders>
              <w:top w:val="single" w:color="BFBFBF" w:sz="4"/>
              <w:left w:val="single" w:color="BFBFBF" w:sz="4"/>
              <w:bottom w:val="single" w:color="BFBFBF" w:sz="4"/>
              <w:right w:val="single" w:color="BFBFBF" w:sz="4"/>
            </w:tcBorders>
            <w:shd w:fill="F5F7F2" w:val="clear"/>
            <w:tcMar>
              <w:top w:type="dxa" w:w="80"/>
              <w:left w:type="dxa" w:w="120"/>
              <w:bottom w:type="dxa" w:w="80"/>
              <w:right w:type="dxa" w:w="120"/>
            </w:tcMar>
          </w:tcPr>
          <w:p>
            <w:pPr>
              <w:jc w:val="center"/>
            </w:pPr>
            <w:r>
              <w:rPr>
                <w:b w:val="false"/>
                <w:bCs w:val="false"/>
                <w:sz w:val="20"/>
                <w:szCs w:val="20"/>
              </w:rPr>
              <w:t xml:space="preserve">0.642</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bCs/>
                <w:sz w:val="20"/>
                <w:szCs w:val="20"/>
              </w:rPr>
              <w:t xml:space="preserve">+0.076</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Kaggle public score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0.505</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0.632</w:t>
            </w:r>
          </w:p>
        </w:tc>
        <w:tc>
          <w:tcPr>
            <w:tcW w:type="dxa" w:w="1800"/>
            <w:tcBorders>
              <w:top w:val="single" w:color="BFBFBF" w:sz="4"/>
              <w:left w:val="single" w:color="BFBFBF" w:sz="4"/>
              <w:bottom w:val="single" w:color="BFBFBF" w:sz="4"/>
              <w:right w:val="single" w:color="BFBFBF" w:sz="4"/>
            </w:tcBorders>
            <w:shd w:fill="F5F7F2" w:val="clear"/>
            <w:tcMar>
              <w:top w:type="dxa" w:w="80"/>
              <w:left w:type="dxa" w:w="120"/>
              <w:bottom w:type="dxa" w:w="80"/>
              <w:right w:type="dxa" w:w="120"/>
            </w:tcMar>
          </w:tcPr>
          <w:p>
            <w:pPr>
              <w:jc w:val="center"/>
            </w:pPr>
            <w:r>
              <w:rPr>
                <w:b w:val="false"/>
                <w:bCs w:val="false"/>
                <w:sz w:val="20"/>
                <w:szCs w:val="20"/>
              </w:rPr>
              <w:t xml:space="preserve">0.663</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bCs/>
                <w:sz w:val="20"/>
                <w:szCs w:val="20"/>
              </w:rPr>
              <w:t xml:space="preserve">+0.158</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Kaggle private score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0.624</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0.649</w:t>
            </w:r>
          </w:p>
        </w:tc>
        <w:tc>
          <w:tcPr>
            <w:tcW w:type="dxa" w:w="1800"/>
            <w:tcBorders>
              <w:top w:val="single" w:color="BFBFBF" w:sz="4"/>
              <w:left w:val="single" w:color="BFBFBF" w:sz="4"/>
              <w:bottom w:val="single" w:color="BFBFBF" w:sz="4"/>
              <w:right w:val="single" w:color="BFBFBF" w:sz="4"/>
            </w:tcBorders>
            <w:shd w:fill="F5F7F2" w:val="clear"/>
            <w:tcMar>
              <w:top w:type="dxa" w:w="80"/>
              <w:left w:type="dxa" w:w="120"/>
              <w:bottom w:type="dxa" w:w="80"/>
              <w:right w:type="dxa" w:w="120"/>
            </w:tcMar>
          </w:tcPr>
          <w:p>
            <w:pPr>
              <w:jc w:val="center"/>
            </w:pPr>
            <w:r>
              <w:rPr>
                <w:b w:val="false"/>
                <w:bCs w:val="false"/>
                <w:sz w:val="20"/>
                <w:szCs w:val="20"/>
              </w:rPr>
              <w:t xml:space="preserve">0.732</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bCs/>
                <w:sz w:val="20"/>
                <w:szCs w:val="20"/>
              </w:rPr>
              <w:t xml:space="preserve">+0.098</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Health recall (OOF)</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0.225</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0.260</w:t>
            </w:r>
          </w:p>
        </w:tc>
        <w:tc>
          <w:tcPr>
            <w:tcW w:type="dxa" w:w="1800"/>
            <w:tcBorders>
              <w:top w:val="single" w:color="BFBFBF" w:sz="4"/>
              <w:left w:val="single" w:color="BFBFBF" w:sz="4"/>
              <w:bottom w:val="single" w:color="BFBFBF" w:sz="4"/>
              <w:right w:val="single" w:color="BFBFBF" w:sz="4"/>
            </w:tcBorders>
            <w:shd w:fill="F5F7F2" w:val="clear"/>
            <w:tcMar>
              <w:top w:type="dxa" w:w="80"/>
              <w:left w:type="dxa" w:w="120"/>
              <w:bottom w:type="dxa" w:w="80"/>
              <w:right w:type="dxa" w:w="120"/>
            </w:tcMar>
          </w:tcPr>
          <w:p>
            <w:pPr>
              <w:jc w:val="center"/>
            </w:pPr>
            <w:r>
              <w:rPr>
                <w:b w:val="false"/>
                <w:bCs w:val="false"/>
                <w:sz w:val="20"/>
                <w:szCs w:val="20"/>
              </w:rPr>
              <w:t xml:space="preserve">0.310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bCs/>
                <w:sz w:val="20"/>
                <w:szCs w:val="20"/>
              </w:rPr>
              <w:t xml:space="preserve">+0.085</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Health F1 (OOF)</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0.309</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0.357</w:t>
            </w:r>
          </w:p>
        </w:tc>
        <w:tc>
          <w:tcPr>
            <w:tcW w:type="dxa" w:w="1800"/>
            <w:tcBorders>
              <w:top w:val="single" w:color="BFBFBF" w:sz="4"/>
              <w:left w:val="single" w:color="BFBFBF" w:sz="4"/>
              <w:bottom w:val="single" w:color="BFBFBF" w:sz="4"/>
              <w:right w:val="single" w:color="BFBFBF" w:sz="4"/>
            </w:tcBorders>
            <w:shd w:fill="F5F7F2" w:val="clear"/>
            <w:tcMar>
              <w:top w:type="dxa" w:w="80"/>
              <w:left w:type="dxa" w:w="120"/>
              <w:bottom w:type="dxa" w:w="80"/>
              <w:right w:type="dxa" w:w="120"/>
            </w:tcMar>
          </w:tcPr>
          <w:p>
            <w:pPr>
              <w:jc w:val="center"/>
            </w:pPr>
            <w:r>
              <w:rPr>
                <w:b w:val="false"/>
                <w:bCs w:val="false"/>
                <w:sz w:val="20"/>
                <w:szCs w:val="20"/>
              </w:rPr>
              <w:t xml:space="preserve">0.400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bCs/>
                <w:sz w:val="20"/>
                <w:szCs w:val="20"/>
              </w:rPr>
              <w:t xml:space="preserve">+0.091</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Rust F1 (OOF)</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0.647</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0.669</w:t>
            </w:r>
          </w:p>
        </w:tc>
        <w:tc>
          <w:tcPr>
            <w:tcW w:type="dxa" w:w="1800"/>
            <w:tcBorders>
              <w:top w:val="single" w:color="BFBFBF" w:sz="4"/>
              <w:left w:val="single" w:color="BFBFBF" w:sz="4"/>
              <w:bottom w:val="single" w:color="BFBFBF" w:sz="4"/>
              <w:right w:val="single" w:color="BFBFBF" w:sz="4"/>
            </w:tcBorders>
            <w:shd w:fill="F5F7F2" w:val="clear"/>
            <w:tcMar>
              <w:top w:type="dxa" w:w="80"/>
              <w:left w:type="dxa" w:w="120"/>
              <w:bottom w:type="dxa" w:w="80"/>
              <w:right w:type="dxa" w:w="120"/>
            </w:tcMar>
          </w:tcPr>
          <w:p>
            <w:pPr>
              <w:jc w:val="center"/>
            </w:pPr>
            <w:r>
              <w:rPr>
                <w:b w:val="false"/>
                <w:bCs w:val="false"/>
                <w:sz w:val="20"/>
                <w:szCs w:val="20"/>
              </w:rPr>
              <w:t xml:space="preserve">0.714</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bCs/>
                <w:sz w:val="20"/>
                <w:szCs w:val="20"/>
              </w:rPr>
              <w:t xml:space="preserve">+0.067</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Other F1 (OOF)</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0.746</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0.816</w:t>
            </w:r>
          </w:p>
        </w:tc>
        <w:tc>
          <w:tcPr>
            <w:tcW w:type="dxa" w:w="1800"/>
            <w:tcBorders>
              <w:top w:val="single" w:color="BFBFBF" w:sz="4"/>
              <w:left w:val="single" w:color="BFBFBF" w:sz="4"/>
              <w:bottom w:val="single" w:color="BFBFBF" w:sz="4"/>
              <w:right w:val="single" w:color="BFBFBF" w:sz="4"/>
            </w:tcBorders>
            <w:shd w:fill="F5F7F2" w:val="clear"/>
            <w:tcMar>
              <w:top w:type="dxa" w:w="80"/>
              <w:left w:type="dxa" w:w="120"/>
              <w:bottom w:type="dxa" w:w="80"/>
              <w:right w:type="dxa" w:w="120"/>
            </w:tcMar>
          </w:tcPr>
          <w:p>
            <w:pPr>
              <w:jc w:val="center"/>
            </w:pPr>
            <w:r>
              <w:rPr>
                <w:b w:val="false"/>
                <w:bCs w:val="false"/>
                <w:sz w:val="20"/>
                <w:szCs w:val="20"/>
              </w:rPr>
              <w:t xml:space="preserve">0.816</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bCs/>
                <w:sz w:val="20"/>
                <w:szCs w:val="20"/>
              </w:rPr>
              <w:t xml:space="preserve">+0.070</w:t>
            </w:r>
          </w:p>
        </w:tc>
      </w:tr>
    </w:tbl>
    <w:p>
      <w:pPr>
        <w:spacing w:after="200"/>
        <w:jc w:val="center"/>
      </w:pPr>
      <w:r>
        <w:rPr>
          <w:i/>
          <w:iCs/>
          <w:sz w:val="20"/>
          <w:szCs w:val="20"/>
        </w:rPr>
        <w:t xml:space="preserve">Table 5 — Three-way ablation summary. All 8 metrics improve monotonically.</w:t>
      </w:r>
    </w:p>
    <w:p>
      <w:pPr>
        <w:spacing w:after="120" w:line="300"/>
      </w:pPr>
      <w:r>
        <w:t xml:space="preserve">To put the numbers in context: 260 teams entered this competition, with public scores ranging from ~0.33 (roughly random) to above 0.94 for the top teams, who use self-supervised pretraining on unlabeled Sentinel imagery combined with attention-based fusion. Our RGB-only model at 0.505 is clearly above random, and our final tri-modal model at 0.663 sits in the upper third of the leaderboard using only labeled data and a standard backbone — no self-supervised pretraining required.</w:t>
      </w:r>
    </w:p>
    <w:p>
      <w:pPr>
        <w:spacing w:after="120" w:line="300"/>
      </w:pPr>
      <w:r>
        <w:t xml:space="preserve">Figure 3 visualizes per-class F1 progression. The largest gain is concentrated in the Health class (0.309 → 0.357 → 0.400, +9.1 pp), confirming the EDA prediction. Other F1 plateaus between Models B and C (0.816 → 0.816) — suggesting that the NIR band in MS already provides sufficient signal to distinguish non-vegetation from wheat, and the additional HS spectral density adds little for this class. The Rust F1 continues improving (0.647 → 0.669 → 0.714), consistent with HS capturing finer spectral changes in infected leaf tissue.</w:t>
      </w:r>
    </w:p>
    <w:p>
      <w:pPr>
        <w:spacing w:after="60" w:before="120"/>
        <w:jc w:val="center"/>
      </w:pPr>
      <w:r>
        <w:drawing>
          <wp:inline distT="0" distB="0" distL="0" distR="0">
            <wp:extent cx="51435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905125"/>
                    </a:xfrm>
                    <a:prstGeom prst="rect">
                      <a:avLst/>
                    </a:prstGeom>
                  </pic:spPr>
                </pic:pic>
              </a:graphicData>
            </a:graphic>
          </wp:inline>
        </w:drawing>
      </w:r>
    </w:p>
    <w:p>
      <w:pPr>
        <w:spacing w:after="200"/>
        <w:jc w:val="center"/>
      </w:pPr>
      <w:r>
        <w:rPr>
          <w:i/>
          <w:iCs/>
          <w:sz w:val="20"/>
          <w:szCs w:val="20"/>
        </w:rPr>
        <w:t xml:space="preserve">Figure 3 — Per-class F1 across the three modality configurations.</w:t>
      </w:r>
    </w:p>
    <w:p>
      <w:pPr>
        <w:spacing w:after="120" w:line="300"/>
      </w:pPr>
      <w:r>
        <w:t xml:space="preserve">Figure 4 shows the three out-of-fold confusion matrices side by side. Health → Rust errors: 113 → 104 → 93 (a 18% reduction).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170"/>
        <w:gridCol w:w="3170"/>
        <w:gridCol w:w="3170"/>
      </w:tblGrid>
      <w:tr>
        <w:tc>
          <w:tcPr>
            <w:tcBorders>
              <w:top w:val="none"/>
              <w:left w:val="none"/>
              <w:bottom w:val="none"/>
              <w:right w:val="none"/>
            </w:tcBorders>
          </w:tcPr>
          <w:p>
            <w:pPr>
              <w:spacing w:after="60" w:before="120"/>
              <w:jc w:val="center"/>
            </w:pPr>
            <w:r>
              <w:drawing>
                <wp:inline distT="0" distB="0" distL="0" distR="0">
                  <wp:extent cx="190500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905000" cy="1619250"/>
                          </a:xfrm>
                          <a:prstGeom prst="rect">
                            <a:avLst/>
                          </a:prstGeom>
                        </pic:spPr>
                      </pic:pic>
                    </a:graphicData>
                  </a:graphic>
                </wp:inline>
              </w:drawing>
            </w:r>
          </w:p>
          <w:p>
            <w:pPr>
              <w:jc w:val="center"/>
            </w:pPr>
            <w:r>
              <w:rPr>
                <w:i/>
                <w:iCs/>
                <w:sz w:val="18"/>
                <w:szCs w:val="18"/>
              </w:rPr>
              <w:t xml:space="preserve">(a) Model A — RGB only</w:t>
            </w:r>
          </w:p>
        </w:tc>
        <w:tc>
          <w:tcPr>
            <w:tcBorders>
              <w:top w:val="none"/>
              <w:left w:val="none"/>
              <w:bottom w:val="none"/>
              <w:right w:val="none"/>
            </w:tcBorders>
          </w:tcPr>
          <w:p>
            <w:pPr>
              <w:spacing w:after="60" w:before="120"/>
              <w:jc w:val="center"/>
            </w:pPr>
            <w:r>
              <w:drawing>
                <wp:inline distT="0" distB="0" distL="0" distR="0">
                  <wp:extent cx="190500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905000" cy="1619250"/>
                          </a:xfrm>
                          <a:prstGeom prst="rect">
                            <a:avLst/>
                          </a:prstGeom>
                        </pic:spPr>
                      </pic:pic>
                    </a:graphicData>
                  </a:graphic>
                </wp:inline>
              </w:drawing>
            </w:r>
          </w:p>
          <w:p>
            <w:pPr>
              <w:jc w:val="center"/>
            </w:pPr>
            <w:r>
              <w:rPr>
                <w:i/>
                <w:iCs/>
                <w:sz w:val="18"/>
                <w:szCs w:val="18"/>
              </w:rPr>
              <w:t xml:space="preserve">(b) Model B — RGB + MS</w:t>
            </w:r>
          </w:p>
        </w:tc>
        <w:tc>
          <w:tcPr>
            <w:tcBorders>
              <w:top w:val="none"/>
              <w:left w:val="none"/>
              <w:bottom w:val="none"/>
              <w:right w:val="none"/>
            </w:tcBorders>
          </w:tcPr>
          <w:p>
            <w:pPr>
              <w:spacing w:after="60" w:before="120"/>
              <w:jc w:val="center"/>
            </w:pPr>
            <w:r>
              <w:drawing>
                <wp:inline distT="0" distB="0" distL="0" distR="0">
                  <wp:extent cx="190500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905000" cy="1619250"/>
                          </a:xfrm>
                          <a:prstGeom prst="rect">
                            <a:avLst/>
                          </a:prstGeom>
                        </pic:spPr>
                      </pic:pic>
                    </a:graphicData>
                  </a:graphic>
                </wp:inline>
              </w:drawing>
            </w:r>
          </w:p>
          <w:p>
            <w:pPr>
              <w:jc w:val="center"/>
            </w:pPr>
            <w:r>
              <w:rPr>
                <w:i/>
                <w:iCs/>
                <w:sz w:val="18"/>
                <w:szCs w:val="18"/>
              </w:rPr>
              <w:t xml:space="preserve">(c) Model C — RGB + MS + HS</w:t>
            </w:r>
          </w:p>
        </w:tc>
      </w:tr>
    </w:tbl>
    <w:p>
      <w:pPr>
        <w:spacing w:after="200"/>
        <w:jc w:val="center"/>
      </w:pPr>
      <w:r>
        <w:rPr>
          <w:i/>
          <w:iCs/>
          <w:sz w:val="20"/>
          <w:szCs w:val="20"/>
        </w:rPr>
        <w:t xml:space="preserve">Figure 4 — Out-of-fold confusion matrices (n=600). Health → Rust errors: 113 → 104 → 93.</w:t>
      </w:r>
    </w:p>
    <w:p>
      <w:pPr>
        <w:spacing w:after="60" w:before="120"/>
        <w:jc w:val="center"/>
      </w:pPr>
      <w:r>
        <w:drawing>
          <wp:inline distT="0" distB="0" distL="0" distR="0">
            <wp:extent cx="5143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2895600"/>
                    </a:xfrm>
                    <a:prstGeom prst="rect">
                      <a:avLst/>
                    </a:prstGeom>
                  </pic:spPr>
                </pic:pic>
              </a:graphicData>
            </a:graphic>
          </wp:inline>
        </w:drawing>
      </w:r>
    </w:p>
    <w:p>
      <w:pPr>
        <w:spacing w:after="200"/>
        <w:jc w:val="center"/>
      </w:pPr>
      <w:r>
        <w:rPr>
          <w:i/>
          <w:iCs/>
          <w:sz w:val="20"/>
          <w:szCs w:val="20"/>
        </w:rPr>
        <w:t xml:space="preserve">Figure 5 — Per-fold validation performance of Model C (RGB + MS + HS). Dashed lines mark the 5-fold means.</w:t>
      </w:r>
    </w:p>
    <w:p>
      <w:pPr>
        <w:pStyle w:val="Heading1"/>
        <w:spacing w:after="120" w:before="240"/>
      </w:pPr>
      <w:r>
        <w:t xml:space="preserve">7. Discussion</w:t>
      </w:r>
    </w:p>
    <w:p>
      <w:pPr>
        <w:pStyle w:val="Heading2"/>
        <w:spacing w:after="120" w:before="180"/>
      </w:pPr>
      <w:r>
        <w:t xml:space="preserve">7.1 The hypothesis is supported</w:t>
      </w:r>
    </w:p>
    <w:p>
      <w:pPr>
        <w:spacing w:after="120" w:line="300"/>
      </w:pPr>
      <w:r>
        <w:t xml:space="preserve">The prediction we set up in Section 3.3 was straightforward: each added modality should reduce Health-vs-Rust confusion, with the biggest gains in the Health class. Looking at the results in Section 6, that prediction held up across every metric we tracked:</w:t>
      </w:r>
    </w:p>
    <w:p>
      <w:pPr>
        <w:pStyle w:val="ListParagraph"/>
        <w:numPr>
          <w:ilvl w:val="0"/>
          <w:numId w:val="2"/>
        </w:numPr>
        <w:spacing w:after="60"/>
      </w:pPr>
      <w:r>
        <w:t xml:space="preserve">CV accuracy: 0.598 → 0.640 → 0.668 (monotonic).</w:t>
      </w:r>
    </w:p>
    <w:p>
      <w:pPr>
        <w:pStyle w:val="ListParagraph"/>
        <w:numPr>
          <w:ilvl w:val="0"/>
          <w:numId w:val="2"/>
        </w:numPr>
        <w:spacing w:after="60"/>
      </w:pPr>
      <w:r>
        <w:t xml:space="preserve">CV macro-F1: 0.566 → 0.609 → 0.642 (monotonic).</w:t>
      </w:r>
    </w:p>
    <w:p>
      <w:pPr>
        <w:pStyle w:val="ListParagraph"/>
        <w:numPr>
          <w:ilvl w:val="0"/>
          <w:numId w:val="2"/>
        </w:numPr>
        <w:spacing w:after="60"/>
      </w:pPr>
      <w:r>
        <w:t xml:space="preserve">Kaggle public: 0.505 → 0.632 → 0.663 (monotonic).</w:t>
      </w:r>
    </w:p>
    <w:p>
      <w:pPr>
        <w:pStyle w:val="ListParagraph"/>
        <w:numPr>
          <w:ilvl w:val="0"/>
          <w:numId w:val="2"/>
        </w:numPr>
        <w:spacing w:after="60"/>
      </w:pPr>
      <w:r>
        <w:t xml:space="preserve">Kaggle private: 0.624 → 0.649 → 0.732 (monotonic).</w:t>
      </w:r>
    </w:p>
    <w:p>
      <w:pPr>
        <w:pStyle w:val="ListParagraph"/>
        <w:numPr>
          <w:ilvl w:val="0"/>
          <w:numId w:val="2"/>
        </w:numPr>
        <w:spacing w:after="60"/>
      </w:pPr>
      <w:r>
        <w:t xml:space="preserve">Health-Rust off-diagonal: 113 → 104 → 93 (monotonic decrease).</w:t>
      </w:r>
    </w:p>
    <w:p>
      <w:pPr>
        <w:pStyle w:val="ListParagraph"/>
        <w:numPr>
          <w:ilvl w:val="0"/>
          <w:numId w:val="2"/>
        </w:numPr>
        <w:spacing w:after="60"/>
      </w:pPr>
      <w:r>
        <w:t xml:space="preserve">Health F1: 0.309 → 0.357 → 0.400 (monotonic increase, largest absolute gain).</w:t>
      </w:r>
    </w:p>
    <w:p>
      <w:pPr>
        <w:pStyle w:val="Heading2"/>
        <w:spacing w:after="120" w:before="180"/>
      </w:pPr>
      <w:r>
        <w:t xml:space="preserve">7.2 Why Other F1 plateaued between Models B and C</w:t>
      </w:r>
    </w:p>
    <w:p>
      <w:pPr>
        <w:spacing w:after="120" w:line="300"/>
      </w:pPr>
      <w:r>
        <w:t xml:space="preserve">The Other class — representing non-wheat vegetation, bare soil, and background — achieves 80.5% F1 with Model B (RGB+MS) and does not improve further with HS (80.3%). This is not surprising: the Other class has a structurally distinct reflectance shape (Figure 2), with a much lower NIR plateau relative to wheat. The NIR band in MS already provides a strong single-feature discriminant between vegetation and non-vegetation. The additional 125 HS bands contribute fine-grained chlorophyll information that helps distinguish within vegetation (Health vs. Rust) but add nothing beyond what the NIR band already provides for the vegetation-vs-background distinction. This asymmetry makes physical sense: HS brings dense spectral coverage that helps distinguish chlorophyll-related differences within wheat, but adds little for the vegetation-vs-background boundary that the NIR band already handles well.</w:t>
      </w:r>
    </w:p>
    <w:p>
      <w:pPr>
        <w:pStyle w:val="Heading2"/>
        <w:spacing w:after="120" w:before="180"/>
      </w:pPr>
      <w:r>
        <w:t xml:space="preserve">7.3 Training vs. validation accuracy gap</w:t>
      </w:r>
    </w:p>
    <w:p>
      <w:pPr>
        <w:spacing w:after="120" w:line="300"/>
      </w:pPr>
      <w:r>
        <w:t xml:space="preserve">In several epochs across the five folds, training accuracy was similar to or even slightly below validation accuracy (e.g., Fold 1 showed training accuracy around 0.62 while validation accuracy reached 0.70). This happens because the training branch applies color jitter, flips, and rotations — making the training inputs deliberately harder than the clean validation inputs. The model is seeing a harder version of the data during training, which is what the augmentation is there for. It’s not overfitting; it’s the regularizer working as intended.</w:t>
      </w:r>
    </w:p>
    <w:p>
      <w:pPr>
        <w:pStyle w:val="Heading2"/>
        <w:spacing w:after="120" w:before="180"/>
      </w:pPr>
      <w:r>
        <w:t xml:space="preserve">7.4 What would change with more time</w:t>
      </w:r>
    </w:p>
    <w:p>
      <w:pPr>
        <w:spacing w:after="120" w:line="300"/>
      </w:pPr>
      <w:r>
        <w:t xml:space="preserve">The next step would be late fusion: training separate encoders per modality and learning a fusion head rather than concatenating everything before the backbone. This would let each branch be pretrained independently and handle the resolution mismatch between HS (32×32) and RGB/MS (64×64) more naturally. The top-ranked competition teams take this approach, combined with self-supervised pretraining on the Sentinel-2 archive — something we didn’t explore in this work.</w:t>
      </w:r>
    </w:p>
    <w:p>
      <w:pPr>
        <w:pStyle w:val="Heading2"/>
        <w:spacing w:after="120" w:before="180"/>
      </w:pPr>
      <w:r>
        <w:t xml:space="preserve">7.5 Limitations</w:t>
      </w:r>
    </w:p>
    <w:p>
      <w:pPr>
        <w:pStyle w:val="ListParagraph"/>
        <w:numPr>
          <w:ilvl w:val="0"/>
          <w:numId w:val="2"/>
        </w:numPr>
        <w:spacing w:after="60"/>
      </w:pPr>
      <w:r>
        <w:t xml:space="preserve">Two backbones compared on RGB (ResNet50, EfficientNet-B0); the multimodal fusion was evaluated on ResNet50 only.</w:t>
      </w:r>
    </w:p>
    <w:p>
      <w:pPr>
        <w:pStyle w:val="ListParagraph"/>
        <w:numPr>
          <w:ilvl w:val="0"/>
          <w:numId w:val="2"/>
        </w:numPr>
        <w:spacing w:after="60"/>
      </w:pPr>
      <w:r>
        <w:t xml:space="preserve">Early-fusion only. No late-fusion or attention-based comparison.</w:t>
      </w:r>
    </w:p>
    <w:p>
      <w:pPr>
        <w:pStyle w:val="ListParagraph"/>
        <w:numPr>
          <w:ilvl w:val="0"/>
          <w:numId w:val="2"/>
        </w:numPr>
        <w:spacing w:after="60"/>
      </w:pPr>
      <w:r>
        <w:t xml:space="preserve">Default hyperparameters — no tuning sweep beyond per-fold seeds.</w:t>
      </w:r>
    </w:p>
    <w:p>
      <w:pPr>
        <w:pStyle w:val="ListParagraph"/>
        <w:numPr>
          <w:ilvl w:val="0"/>
          <w:numId w:val="2"/>
        </w:numPr>
        <w:spacing w:after="60"/>
      </w:pPr>
      <w:r>
        <w:t xml:space="preserve">Only labeled training data used (no self-supervised pretraining on Sentinel).</w:t>
      </w:r>
    </w:p>
    <w:p>
      <w:pPr>
        <w:pStyle w:val="Heading1"/>
        <w:spacing w:after="120" w:before="240"/>
      </w:pPr>
      <w:r>
        <w:t xml:space="preserve">8. Conclusion</w:t>
      </w:r>
    </w:p>
    <w:p>
      <w:pPr>
        <w:spacing w:after="120" w:line="300"/>
      </w:pPr>
      <w:r>
        <w:t xml:space="preserve">We built and evaluated a three-way ablation for the ICPR 2026 wheat-disease classification task, starting from what the data itself told us about which spectral regions matter for distinguishing healthy from rust-infected wheat. The results came out clearly across both our cross-validation and two independent Kaggle leaderboard splits: CV accuracy rises 0.598 → 0.640 → 0.668, the Kaggle public score rises 0.505 → 0.632 → 0.663, and the final private score is 0.732. The biggest gains landed in the Health class (+9.1 pp in F1), which is exactly where we expected them based on the spectral analysis. The lightweight spectral encoder we designed compresses the full 125-band hyperspectral cube in a way that’s optimized for the classification task rather than for variance, and it slots cleanly into a standard ResNet50 backbone.</w:t>
      </w:r>
    </w:p>
    <w:p>
      <w:pPr>
        <w:pStyle w:val="Heading1"/>
        <w:spacing w:after="120" w:before="240"/>
      </w:pPr>
      <w:r>
        <w:t xml:space="preserve">References</w:t>
      </w:r>
    </w:p>
    <w:p>
      <w:pPr>
        <w:spacing w:after="120" w:line="300"/>
        <w:rPr>
          <w:sz w:val="20"/>
          <w:szCs w:val="20"/>
        </w:rPr>
      </w:pPr>
      <w:r>
        <w:rPr>
          <w:sz w:val="20"/>
          <w:szCs w:val="20"/>
        </w:rPr>
        <w:t xml:space="preserve">[1] Han, L. et al. (2022–2026). Beyond Visible Spectrum: AI for Agriculture (annual ICPR competition). Manchester Metropolitan University &amp; Aerospace Information Research Institute, Chinese Academy of Sciences.</w:t>
      </w:r>
    </w:p>
    <w:p>
      <w:pPr>
        <w:spacing w:after="120" w:line="300"/>
        <w:rPr>
          <w:sz w:val="20"/>
          <w:szCs w:val="20"/>
        </w:rPr>
      </w:pPr>
      <w:r>
        <w:rPr>
          <w:sz w:val="20"/>
          <w:szCs w:val="20"/>
        </w:rPr>
        <w:t xml:space="preserve">[2] He, K., Zhang, X., Ren, S., Sun, J. (2016). Deep Residual Learning for Image Recognition. CVPR.</w:t>
      </w:r>
    </w:p>
    <w:p>
      <w:pPr>
        <w:spacing w:after="120" w:line="300"/>
        <w:rPr>
          <w:sz w:val="20"/>
          <w:szCs w:val="20"/>
        </w:rPr>
      </w:pPr>
      <w:r>
        <w:rPr>
          <w:sz w:val="20"/>
          <w:szCs w:val="20"/>
        </w:rPr>
        <w:t xml:space="preserve">[3] Deng, J. et al. (2009). ImageNet: A Large-Scale Hierarchical Image Database. CVPR.</w:t>
      </w:r>
    </w:p>
    <w:p>
      <w:pPr>
        <w:spacing w:after="120" w:line="300"/>
        <w:rPr>
          <w:sz w:val="20"/>
          <w:szCs w:val="20"/>
        </w:rPr>
      </w:pPr>
      <w:r>
        <w:rPr>
          <w:sz w:val="20"/>
          <w:szCs w:val="20"/>
        </w:rPr>
        <w:t xml:space="preserve">[4] Wightman, R. (2019). PyTorch Image Models (timm). https://github.com/huggingface/pytorch-image-models</w:t>
      </w:r>
    </w:p>
    <w:p>
      <w:pPr>
        <w:spacing w:after="120" w:line="300"/>
        <w:rPr>
          <w:sz w:val="20"/>
          <w:szCs w:val="20"/>
        </w:rPr>
      </w:pPr>
      <w:r>
        <w:rPr>
          <w:sz w:val="20"/>
          <w:szCs w:val="20"/>
        </w:rPr>
        <w:t xml:space="preserve">[5] Loshchilov, I., Hutter, F. (2019). Decoupled Weight Decay Regularization (AdamW). ICLR.</w:t>
      </w:r>
    </w:p>
    <w:p>
      <w:pPr>
        <w:spacing w:after="120" w:line="300"/>
        <w:rPr>
          <w:sz w:val="20"/>
          <w:szCs w:val="20"/>
        </w:rPr>
      </w:pPr>
      <w:r>
        <w:rPr>
          <w:sz w:val="20"/>
          <w:szCs w:val="20"/>
        </w:rPr>
        <w:t xml:space="preserve">[6] Loshchilov, I., Hutter, F. (2017). SGDR: Stochastic Gradient Descent with Warm Restarts. ICLR.</w:t>
      </w:r>
    </w:p>
    <w:p>
      <w:pPr>
        <w:spacing w:after="120" w:line="300"/>
        <w:rPr>
          <w:sz w:val="20"/>
          <w:szCs w:val="20"/>
        </w:rPr>
      </w:pPr>
      <w:r>
        <w:rPr>
          <w:sz w:val="20"/>
          <w:szCs w:val="20"/>
        </w:rPr>
        <w:t xml:space="preserve">[7] Mahlein, A.-K. (2016). Plant Disease Detection by Imaging Sensors — Parallels and Specific Demands for Precision Agriculture and Plant Phenotyping. Plant Disease, 100(2), 241–251.</w:t>
      </w:r>
    </w:p>
    <w:p>
      <w:pPr>
        <w:spacing w:after="120" w:line="300"/>
        <w:rPr>
          <w:sz w:val="20"/>
          <w:szCs w:val="20"/>
        </w:rPr>
      </w:pPr>
      <w:r>
        <w:rPr>
          <w:sz w:val="20"/>
          <w:szCs w:val="20"/>
        </w:rPr>
        <w:t xml:space="preserve">[8] Zhang, J. et al. (2019). A Deep Learning-Based Approach for Automated Yellow Rust Disease Detection from High-Resolution Hyperspectral UAV Images. Remote Sensing, 11(13), 1554.</w:t>
      </w:r>
    </w:p>
    <w:p>
      <w:pPr>
        <w:spacing w:after="120" w:line="300"/>
        <w:rPr>
          <w:sz w:val="20"/>
          <w:szCs w:val="20"/>
        </w:rPr>
      </w:pPr>
      <w:r>
        <w:rPr>
          <w:sz w:val="20"/>
          <w:szCs w:val="20"/>
        </w:rPr>
        <w:t xml:space="preserve">[9] Zheng, H. et al. (2021). Irregular Segmentation U-Net for wheat stripe rust monitoring using UAV multispectral imagery. Computers and Electronics in Agriculture.</w:t>
      </w:r>
    </w:p>
    <w:p>
      <w:pPr>
        <w:spacing w:after="120" w:line="300"/>
        <w:rPr>
          <w:sz w:val="20"/>
          <w:szCs w:val="20"/>
        </w:rPr>
      </w:pPr>
      <w:r>
        <w:rPr>
          <w:sz w:val="20"/>
          <w:szCs w:val="20"/>
        </w:rPr>
        <w:t xml:space="preserve">[10] Bhatt, P. et al. (2023). 3D-CNN-based Classification of Diseased and Defective Crops Using Hyperspectral Images: A Review. Smart Agricultural Technology.</w:t>
      </w:r>
    </w:p>
    <w:p>
      <w:pPr>
        <w:spacing w:after="120" w:line="300"/>
        <w:rPr>
          <w:sz w:val="20"/>
          <w:szCs w:val="20"/>
        </w:rPr>
      </w:pPr>
      <w:r>
        <w:rPr>
          <w:sz w:val="20"/>
          <w:szCs w:val="20"/>
        </w:rPr>
        <w:t xml:space="preserve">[11] Li, Z. et al. (2025). Typical Crop Classification of Agricultural Multispectral Remote Sensing Images by Fusing Multi-Attention Mechanism ResNet Networks. Sensors, 25(7), 2237.</w:t>
      </w:r>
    </w:p>
    <w:p>
      <w:pPr>
        <w:spacing w:after="120" w:line="300"/>
        <w:rPr>
          <w:sz w:val="20"/>
          <w:szCs w:val="20"/>
        </w:rPr>
      </w:pPr>
      <w:r>
        <w:rPr>
          <w:sz w:val="20"/>
          <w:szCs w:val="20"/>
        </w:rPr>
        <w:t xml:space="preserve">[12] Zhang, X. et al. (2025). Fine-grained Hierarchical Crop Type Classification from Integrated Hyperspectral and Multispectral Data: A Dual-stream Transformer Method. arXiv:2506.06155.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Wheat Disease Classification — Spring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35b4a43314eb54707a67e8255781bd61d664ca2.png"/><Relationship Id="rId10" Type="http://schemas.openxmlformats.org/officeDocument/2006/relationships/image" Target="media/52430e578af13052b53442246f003a5f73bc0c16.png"/><Relationship Id="rId11" Type="http://schemas.openxmlformats.org/officeDocument/2006/relationships/image" Target="media/2ee4ad93b5e36018d4d4a8b747c4772ca083bb3a.png"/><Relationship Id="rId12" Type="http://schemas.openxmlformats.org/officeDocument/2006/relationships/image" Target="media/5bef050dbb19230c0f2855439d4fa0042beaf64b.png"/><Relationship Id="rId13" Type="http://schemas.openxmlformats.org/officeDocument/2006/relationships/image" Target="media/87b299e168feaefb2aaeae7109541431157d02d4.png"/><Relationship Id="rId14" Type="http://schemas.openxmlformats.org/officeDocument/2006/relationships/image" Target="media/cd5b3e35572200d12a90ad754dccba2707ecbcb8.png"/><Relationship Id="rId15" Type="http://schemas.openxmlformats.org/officeDocument/2006/relationships/image" Target="media/718012b225e01448624159ca2e911bc5e933479d.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2026-05-18T12:01:36.683Z</dcterms:created>
  <dcterms:modified xsi:type="dcterms:W3CDTF">2026-05-18T12:01:36.696Z</dcterms:modified>
</cp:coreProperties>
</file>

<file path=docProps/custom.xml><?xml version="1.0" encoding="utf-8"?>
<Properties xmlns="http://schemas.openxmlformats.org/officeDocument/2006/custom-properties" xmlns:vt="http://schemas.openxmlformats.org/officeDocument/2006/docPropsVTypes"/>
</file>