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36F5" w14:textId="19B71910" w:rsidR="004F5FBB" w:rsidRPr="004F5FBB" w:rsidRDefault="004F5FBB" w:rsidP="004F5FB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4F5FBB">
        <w:rPr>
          <w:rFonts w:ascii="Times New Roman" w:eastAsia="Times New Roman" w:hAnsi="Times New Roman" w:cs="Times New Roman"/>
          <w:b/>
          <w:bCs/>
          <w:sz w:val="24"/>
          <w:szCs w:val="24"/>
        </w:rPr>
        <w:t>rofil</w:t>
      </w:r>
      <w:proofErr w:type="spellEnd"/>
      <w:r w:rsidRPr="004F5F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b/>
          <w:bCs/>
          <w:sz w:val="24"/>
          <w:szCs w:val="24"/>
        </w:rPr>
        <w:t>Desa</w:t>
      </w:r>
      <w:proofErr w:type="spellEnd"/>
    </w:p>
    <w:p w14:paraId="5C644EC3" w14:textId="77777777" w:rsidR="004F5FBB" w:rsidRPr="004F5FBB" w:rsidRDefault="004F5FBB" w:rsidP="004F5F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E6F20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</w:p>
    <w:p w14:paraId="0369E1C4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Baleendah</w:t>
      </w:r>
      <w:proofErr w:type="spellEnd"/>
    </w:p>
    <w:p w14:paraId="1006C617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Kota :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Bandung</w:t>
      </w:r>
    </w:p>
    <w:p w14:paraId="6EEA286F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Barat</w:t>
      </w:r>
    </w:p>
    <w:p w14:paraId="281E207D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6D1201F" w14:textId="77777777" w:rsidR="004F5FBB" w:rsidRPr="004F5FBB" w:rsidRDefault="004F5FBB" w:rsidP="004F5FBB">
      <w:pPr>
        <w:spacing w:after="0" w:line="304" w:lineRule="atLeast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A.      POTENSI UMUM</w:t>
      </w:r>
    </w:p>
    <w:p w14:paraId="3FCA0E64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a. Batas Wilayah</w:t>
      </w:r>
    </w:p>
    <w:p w14:paraId="4596F6F5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utara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berbatasan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Cangkuang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Kulon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Dayeuhkolot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berbatasan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Rancamulya,kecamatan</w:t>
      </w:r>
      <w:proofErr w:type="spellEnd"/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Pameungpeuk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berbatasan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Bojong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Malaka,kecamatan</w:t>
      </w:r>
      <w:proofErr w:type="spellEnd"/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Baleendah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Sebelah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barat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berbatasan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Sukamukti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Katapang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CECAB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352,450 ha/m</w:t>
      </w:r>
      <w:r w:rsidRPr="004F5FBB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4F5FBB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².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pemakaman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pasar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6049E3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2000 Mm,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kelembapan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90,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derajat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celcius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F8DA4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Orbitrasi</w:t>
      </w:r>
      <w:proofErr w:type="spellEnd"/>
    </w:p>
    <w:p w14:paraId="06E98FF1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Jarak 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ibukota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5 km,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1,5 jam.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ibukota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 km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delama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 jam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2,2 </w:t>
      </w: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km,dapat</w:t>
      </w:r>
      <w:proofErr w:type="spellEnd"/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1,5 jam.</w:t>
      </w:r>
    </w:p>
    <w:p w14:paraId="4943CF57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</w:p>
    <w:p w14:paraId="49761EB0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28.137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14.911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14.226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Kepadatan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0,012 per km,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8778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416DC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d. Mata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Pencaharian</w:t>
      </w:r>
      <w:proofErr w:type="spellEnd"/>
    </w:p>
    <w:p w14:paraId="0D6DD65C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Mata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pencaharian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beraneka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ragam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swasta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9987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pengusaha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635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pengrajin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industry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480 </w:t>
      </w: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jiwa,petani</w:t>
      </w:r>
      <w:proofErr w:type="spellEnd"/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225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268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pencaharian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keliling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pembantu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TNI dan lain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C53221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e. Agama/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</w:p>
    <w:p w14:paraId="2D210A5C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menganut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agama Islam,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penganut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28211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agama Kristen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625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Katholik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225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Hindu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sepuluh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penganut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Budha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973440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Kewarganegaraan</w:t>
      </w:r>
      <w:proofErr w:type="spellEnd"/>
    </w:p>
    <w:p w14:paraId="2EBC6A5F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14911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14226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berkewarganegaraan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14:paraId="0D49804D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Etnis</w:t>
      </w:r>
      <w:proofErr w:type="spellEnd"/>
    </w:p>
    <w:p w14:paraId="57CBCFE1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lastRenderedPageBreak/>
        <w:t>Mayoritas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Etnis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Sunda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25897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2287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Batak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722, dan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etnis-etnis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Aceh,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Melayu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Minang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Madura, Bali,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Makasar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etnis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Cina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2D6A3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Mental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</w:p>
    <w:p w14:paraId="3F20F445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tuna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rungu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tuna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wicara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tuna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netra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lumpuh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sumbing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tuna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daksa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cacat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mental,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idiot,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kejiwaan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stress,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autis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7D8B9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Tenaga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14:paraId="5552335B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20428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18 – 56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14109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18 – 56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6319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3546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0 – 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3956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7 – 18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1207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56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keatas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10463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14226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angkatan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perempuan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91787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j.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Angkatan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14:paraId="1F587E58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Angkatan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571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18 – 56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tamat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SD, 10075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18 – 56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tamat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SD, 5544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18 – 56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tamat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SMP, 4427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18 – 56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tamat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SMA, dan 788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18 – 56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tamat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Tinggi.</w:t>
      </w:r>
    </w:p>
    <w:p w14:paraId="20F3C9D1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3921438" w14:textId="77777777" w:rsidR="004F5FBB" w:rsidRPr="004F5FBB" w:rsidRDefault="004F5FBB" w:rsidP="004F5FBB">
      <w:pPr>
        <w:spacing w:after="0" w:line="304" w:lineRule="atLeast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B.      POTENSI KELEMBAGAAN</w:t>
      </w:r>
    </w:p>
    <w:p w14:paraId="561E7226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a.    Lembaga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</w:p>
    <w:p w14:paraId="690DF26B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15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aparat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terisi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 Tingkat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aparat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SMA 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SMP  dan SI. 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Permusyawaratan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BPD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sembilan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orang. Tingkat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BPD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SMA.</w:t>
      </w:r>
    </w:p>
    <w:p w14:paraId="5719F22C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b.    Lembaga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</w:p>
    <w:p w14:paraId="196C7321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kemsyarakatan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LPMD/ LPMK, PKK, RUKUN WARGA/ RW, RUKUN TETANGGA / RT, KARANG TARUNA, KELOMPOK TANI/ NELAYAN, BUMD/ Badan Usaha Milik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pemuda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9771A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LPMD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ruanglingkup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pembinaan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no 12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2007. PKK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Mendagri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Otda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no 53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21 orang.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Rukun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/ RW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20 unit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pembentukan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no 12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2007.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260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ruanglingkup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kemsyarakatan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Rukun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Tetangga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/ RT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no 12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2007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528 orang. Ruang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pembinaan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Karang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Taruna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berlandaskan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Mensos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no 831 HUKT 2005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10 orang. </w:t>
      </w:r>
      <w:r w:rsidRPr="004F5F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kesejahteraan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social. 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Nelayan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no 12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2007,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15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  BUMD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Perda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no 12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2007.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B1089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c.     Lembaga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</w:p>
    <w:p w14:paraId="11A64DC9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partai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Golkar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PDIP, DEMOKRAT dan PKS. Masing – masing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partai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politik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2CEB8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d.    Lembaga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</w:p>
    <w:p w14:paraId="6AC1333F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bumdes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pegadaian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14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12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kerajinan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10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12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7DFE4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196 unit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65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3 unit pasar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swalayan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120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kelontong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menyerap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845 orang.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165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kayu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173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batu, 30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jahit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cukur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sepuluh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servis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67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30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gali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sumur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15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tukang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pijat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 Usaha-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menyerap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415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12 orang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berprofesi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pengacara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315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kontrakan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B4E5CD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e.    Lembaga Pendidikan</w:t>
      </w:r>
    </w:p>
    <w:p w14:paraId="6AE0B73F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playgrup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, TK, SD, dan SMP.</w:t>
      </w:r>
    </w:p>
    <w:p w14:paraId="49E2DA8E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Playgrup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kepemilikan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swasta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playgrup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92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playgrup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12 orang.</w:t>
      </w:r>
    </w:p>
    <w:p w14:paraId="1EE75E5E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TK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13 unit.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Sekolah-sekolah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swasta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TK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763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guru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TK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45 orang.</w:t>
      </w:r>
    </w:p>
    <w:p w14:paraId="2D1BFB64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lima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negeri.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3237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guru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SD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89 guru.</w:t>
      </w:r>
    </w:p>
    <w:p w14:paraId="2587EA7F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SMP Negeri,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SMP Negeri 3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Baleendah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657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guru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29 guru. </w:t>
      </w:r>
    </w:p>
    <w:p w14:paraId="6A3BC255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f.     Lembaga Adat</w:t>
      </w:r>
    </w:p>
    <w:p w14:paraId="119B1990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pernikahan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kelahiran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bercocok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upacara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06542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g.    Lembaga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</w:p>
    <w:p w14:paraId="09A95472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hansip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 orang.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linmas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10 orang.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  15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satpam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swakarsa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Pos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Kamling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Siskamling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19471F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4CA4276" w14:textId="77777777" w:rsidR="004F5FBB" w:rsidRPr="004F5FBB" w:rsidRDefault="004F5FBB" w:rsidP="004F5FBB">
      <w:pPr>
        <w:spacing w:after="0" w:line="304" w:lineRule="atLeast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C.      POTENSI PRASARANA DAN SARANA</w:t>
      </w:r>
    </w:p>
    <w:p w14:paraId="7E64664E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a.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Sarana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</w:p>
    <w:p w14:paraId="6CB5BC70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Panjang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15,5 km. 10 km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0,5 km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5 km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10,5 km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rusak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Sarana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truk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per-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ojek,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becak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B0981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b.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</w:p>
    <w:p w14:paraId="2978543C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wartel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warnet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masing-masing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20 dan 22 unit.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Telkom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425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10130. Media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kabar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majalah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papn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iklan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reklame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pepen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pengumuman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44862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c. 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Sanitasi</w:t>
      </w:r>
      <w:proofErr w:type="spellEnd"/>
    </w:p>
    <w:p w14:paraId="3E998F20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sumur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pompa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sumur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gali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sumur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pompa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digunaka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7565 unit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sumur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gali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127 unit.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sanitasi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jamban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7629 unit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MCK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10 unit.</w:t>
      </w:r>
    </w:p>
    <w:p w14:paraId="241488F5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d.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Irigasi</w:t>
      </w:r>
      <w:proofErr w:type="spellEnd"/>
    </w:p>
    <w:p w14:paraId="42D6D9AC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sawah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irigasi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Panjang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irigasi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tersier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5 km.</w:t>
      </w:r>
    </w:p>
    <w:p w14:paraId="47697DF1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e.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Sarana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</w:p>
    <w:p w14:paraId="351153F4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dilengkap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balai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bulutangkis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Gedung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air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saluran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Alat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inventaris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aparat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tik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sepuluh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kursi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50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fax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dicatat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Permusyawaratan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E8377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f. 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Sarana Lembaga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</w:p>
    <w:p w14:paraId="3196658A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Sarana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Lembaga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kemasyarakatan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LKMD, PKK,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Karang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Taruna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RT, RW,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Bumdes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23BF7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g.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Peribadatan</w:t>
      </w:r>
      <w:proofErr w:type="spellEnd"/>
    </w:p>
    <w:p w14:paraId="438374F5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32 unit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Masjid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sepuluh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Mushola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peribadatan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umat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Muslim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2AA928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h.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Olah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Raga</w:t>
      </w:r>
    </w:p>
    <w:p w14:paraId="70A82850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lastRenderedPageBreak/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olah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raga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bola,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bulu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tangkis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sepuluh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meja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pingpong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lima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voli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F7B85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  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Sarana Kesehatan</w:t>
      </w:r>
    </w:p>
    <w:p w14:paraId="18D2A444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F5FBB">
        <w:rPr>
          <w:rFonts w:ascii="Times New Roman" w:eastAsia="Times New Roman" w:hAnsi="Times New Roman" w:cs="Times New Roman"/>
          <w:sz w:val="24"/>
          <w:szCs w:val="24"/>
        </w:rPr>
        <w:t>20 unit</w:t>
      </w:r>
      <w:proofErr w:type="gram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2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apotek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enam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gigi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15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paramedis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lima orang dukun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bersalin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terlatih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bidan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perawat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47D6C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j.  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Sarana Pendidikan</w:t>
      </w:r>
    </w:p>
    <w:p w14:paraId="357C8555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SMP, lima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SD, dan 15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gedung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TK.</w:t>
      </w:r>
    </w:p>
    <w:p w14:paraId="0513D357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k.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Penerangan</w:t>
      </w:r>
      <w:proofErr w:type="spellEnd"/>
    </w:p>
    <w:p w14:paraId="649F72B1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gardu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PLN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energi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FD215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82B4B0B" w14:textId="77777777" w:rsidR="004F5FBB" w:rsidRPr="004F5FBB" w:rsidRDefault="004F5FBB" w:rsidP="004F5FBB">
      <w:pPr>
        <w:spacing w:after="0" w:line="304" w:lineRule="atLeast"/>
        <w:ind w:hanging="283"/>
        <w:rPr>
          <w:rFonts w:ascii="Times New Roman" w:eastAsia="Times New Roman" w:hAnsi="Times New Roman" w:cs="Times New Roman"/>
          <w:sz w:val="24"/>
          <w:szCs w:val="24"/>
        </w:rPr>
      </w:pPr>
      <w:r w:rsidRPr="004F5FBB">
        <w:rPr>
          <w:rFonts w:ascii="Times New Roman" w:eastAsia="Times New Roman" w:hAnsi="Times New Roman" w:cs="Times New Roman"/>
          <w:sz w:val="24"/>
          <w:szCs w:val="24"/>
        </w:rPr>
        <w:t>l.      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dan Sarana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</w:p>
    <w:p w14:paraId="4FEAAF8D" w14:textId="77777777" w:rsidR="004F5FBB" w:rsidRPr="004F5FBB" w:rsidRDefault="004F5FBB" w:rsidP="004F5FBB">
      <w:pPr>
        <w:spacing w:after="0" w:line="304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Pembuangan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(TPS)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Rancamanyar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lima unit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gerobak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60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tong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5FBB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4F5F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D83CB" w14:textId="77777777" w:rsidR="006C4DCA" w:rsidRPr="004F5FBB" w:rsidRDefault="004F5FBB" w:rsidP="004F5FBB">
      <w:pPr>
        <w:rPr>
          <w:rFonts w:ascii="Times New Roman" w:hAnsi="Times New Roman" w:cs="Times New Roman"/>
          <w:sz w:val="24"/>
          <w:szCs w:val="24"/>
        </w:rPr>
      </w:pPr>
    </w:p>
    <w:sectPr w:rsidR="006C4DCA" w:rsidRPr="004F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BB"/>
    <w:rsid w:val="002C10AE"/>
    <w:rsid w:val="004F5FBB"/>
    <w:rsid w:val="00F9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73C6"/>
  <w15:chartTrackingRefBased/>
  <w15:docId w15:val="{F867AD25-715E-400F-9D24-A88B341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5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F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08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70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457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973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80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355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24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537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7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934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63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57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74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06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66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165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867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88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052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23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89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33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43">
              <w:marLeft w:val="9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033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4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111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29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906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55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5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57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79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25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32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3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053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80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1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1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45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623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09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23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33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15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44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86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61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91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41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55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60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386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583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75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026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465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802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55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61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95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493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4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850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23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49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99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77">
              <w:marLeft w:val="11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1851</Words>
  <Characters>10556</Characters>
  <Application>Microsoft Office Word</Application>
  <DocSecurity>0</DocSecurity>
  <Lines>87</Lines>
  <Paragraphs>24</Paragraphs>
  <ScaleCrop>false</ScaleCrop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2021-08-31T12:51:00Z</dcterms:created>
  <dcterms:modified xsi:type="dcterms:W3CDTF">2021-08-31T12:57:00Z</dcterms:modified>
</cp:coreProperties>
</file>