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Clinician AI: Brand Feedback &amp; Process Gaps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17D7E"/>
          <w:sz w:val="26"/>
          <w:szCs w:val="26"/>
        </w:rPr>
        <w:t xml:space="preserve">A case for direct brand-to-cai-ops engagement</w:t>
      </w:r>
    </w:p>
    <w:p>
      <w:pPr>
        <w:pBdr>
          <w:bottom w:val="single" w:color="2E86C1" w:sz="8" w:space="8"/>
        </w:pBdr>
        <w:spacing w:after="240" w:before="0"/>
      </w:pPr>
      <w:r>
        <w:rPr>
          <w:rFonts w:ascii="Arial" w:cs="Arial" w:eastAsia="Arial" w:hAnsi="Arial"/>
          <w:color w:val="717D7E"/>
          <w:sz w:val="20"/>
          <w:szCs w:val="20"/>
        </w:rPr>
        <w:t xml:space="preserve">Prepared by the SE Team  |  June 2026</w:t>
      </w:r>
    </w:p>
    <w:p>
      <w:pPr>
        <w:pStyle w:val="Heading2"/>
        <w:pBdr>
          <w:bottom w:val="single" w:color="BDC3C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Executive Summary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Between March and June 2026, 8 brands raised documented concerns about Clinician AI (CAI) outputs. These ranged from factual inaccuracies and overly conservative language to fundamental mismatches between brand-supplied clinical evidence and AI responses.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 every case, the feedback was routed through an SE before reaching the cai-ops team. This creates unnecessary delay, dilutes context, and places SEs in an inappropriate role — triaging and translating clinical feedback they are not equipped to resolve.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Core Recommendation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Brands should have a direct, structured channel to submit CAI feedback to cai-ops. SEs should not be the intermediary for clinical AI quality issues.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DC3C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The Problem: SEs as CAI Middlemen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current process looks like this: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Brand notices a CAI issue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Brand contacts their 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attempts to understand and document the issue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escalates to cai-ops (often losing nuance in translation)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cai-ops investigates and resolves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model has several structural problems: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loss:</w:t>
      </w:r>
      <w:r>
        <w:rPr>
          <w:rFonts w:ascii="Arial" w:cs="Arial" w:eastAsia="Arial" w:hAnsi="Arial"/>
          <w:sz w:val="22"/>
          <w:szCs w:val="22"/>
        </w:rPr>
        <w:t xml:space="preserve"> Brands have specific clinical knowledge about their products. SEs relay the issue second-hand, often without the technical background to accurately describe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Slower resolution:</w:t>
      </w:r>
      <w:r>
        <w:rPr>
          <w:rFonts w:ascii="Arial" w:cs="Arial" w:eastAsia="Arial" w:hAnsi="Arial"/>
          <w:sz w:val="22"/>
          <w:szCs w:val="22"/>
        </w:rPr>
        <w:t xml:space="preserve"> Every relay adds a round-trip. Brands wait for an SE response; the SE waits for cai-ops. Resolution takes days or weeks.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role:</w:t>
      </w:r>
      <w:r>
        <w:rPr>
          <w:rFonts w:ascii="Arial" w:cs="Arial" w:eastAsia="Arial" w:hAnsi="Arial"/>
          <w:sz w:val="22"/>
          <w:szCs w:val="22"/>
        </w:rPr>
        <w:t xml:space="preserve"> SEs are onboarding and relationship specialists, not clinical AI reviewers. Being the primary contact for CAI quality issues is outside their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frustration:</w:t>
      </w:r>
      <w:r>
        <w:rPr>
          <w:rFonts w:ascii="Arial" w:cs="Arial" w:eastAsia="Arial" w:hAnsi="Arial"/>
          <w:sz w:val="22"/>
          <w:szCs w:val="22"/>
        </w:rPr>
        <w:t xml:space="preserve"> Brands expect their concerns to be heard by the people who can actually fix them. Being passed through an intermediary feels dismissive.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DC3C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Documented Brand Feedback (March–June 2026)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Mar 31 / Apr 14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Overly conservative language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 framed supplement use cases as potential contraindications, creating misleading safety warnings for patients.</w:t>
            </w:r>
          </w:p>
          <w:p>
            <w:pPr>
              <w:spacing w:after="0" w:before="40"/>
            </w:pPr>
            <w:hyperlink w:history="1" r:id="rIdzspyvw9o2tqfwqxepxyq-">
              <w:r>
                <w:rPr>
                  <w:rFonts w:ascii="Arial" w:cs="Arial" w:eastAsia="Arial" w:hAnsi="Arial"/>
                  <w:color w:val="2E86C1"/>
                  <w:sz w:val="18"/>
                  <w:szCs w:val="18"/>
                  <w:u w:val="single"/>
                </w:rPr>
                <w:t xml:space="preserve">View thread</w:t>
              </w:r>
            </w:hyperlink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JSHealth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May 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Overly conservative language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flagged brand concern that CAI was “too conservative many times” in its responses.</w:t>
            </w:r>
          </w:p>
          <w:p>
            <w:pPr>
              <w:spacing w:after="0" w:before="40"/>
            </w:pPr>
            <w:hyperlink w:history="1" r:id="rIdzmnzjm5iiat5osgoqisti">
              <w:r>
                <w:rPr>
                  <w:rFonts w:ascii="Arial" w:cs="Arial" w:eastAsia="Arial" w:hAnsi="Arial"/>
                  <w:color w:val="2E86C1"/>
                  <w:sz w:val="18"/>
                  <w:szCs w:val="18"/>
                  <w:u w:val="single"/>
                </w:rPr>
                <w:t xml:space="preserve">View thread</w:t>
              </w:r>
            </w:hyperlink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Flourish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Jun 16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Inaccurate outputs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 incorrectly categorised product as a magnesium supplement and stated effects lessen when stopped. Brand described issues as “catastrophic.”</w:t>
            </w:r>
          </w:p>
          <w:p>
            <w:pPr>
              <w:spacing w:after="0" w:before="40"/>
            </w:pPr>
            <w:hyperlink w:history="1" r:id="rIdinp3s0pwj6122t-jq5lim">
              <w:r>
                <w:rPr>
                  <w:rFonts w:ascii="Arial" w:cs="Arial" w:eastAsia="Arial" w:hAnsi="Arial"/>
                  <w:color w:val="2E86C1"/>
                  <w:sz w:val="18"/>
                  <w:szCs w:val="18"/>
                  <w:u w:val="single"/>
                </w:rPr>
                <w:t xml:space="preserve">View thread</w:t>
              </w:r>
            </w:hyperlink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Mida Health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May 13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Inaccurate outputs + evidence gap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Responses attributed ginseng’s benefits to energy/fatigue rather than mental performance (contrary to brand’s research). 48 added references not reflected in CAI.</w:t>
            </w:r>
          </w:p>
          <w:p>
            <w:pPr>
              <w:spacing w:after="0" w:before="40"/>
            </w:pPr>
            <w:hyperlink w:history="1" r:id="rIdowhbsggtchmpcypxljyvq">
              <w:r>
                <w:rPr>
                  <w:rFonts w:ascii="Arial" w:cs="Arial" w:eastAsia="Arial" w:hAnsi="Arial"/>
                  <w:color w:val="2E86C1"/>
                  <w:sz w:val="18"/>
                  <w:szCs w:val="18"/>
                  <w:u w:val="single"/>
                </w:rPr>
                <w:t xml:space="preserve">View thread</w:t>
              </w:r>
            </w:hyperlink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Alubri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Jun 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Evidence not reflected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Studies conducted on finished formulas, not individual ingredients. CAI answered at ingredient level, not formula level. Flagged as a systemic limitation.</w:t>
            </w:r>
          </w:p>
          <w:p>
            <w:pPr>
              <w:spacing w:after="0" w:before="40"/>
            </w:pPr>
            <w:hyperlink w:history="1" r:id="rId9_et_dgs7hcnh7qagxhfj">
              <w:r>
                <w:rPr>
                  <w:rFonts w:ascii="Arial" w:cs="Arial" w:eastAsia="Arial" w:hAnsi="Arial"/>
                  <w:color w:val="2E86C1"/>
                  <w:sz w:val="18"/>
                  <w:szCs w:val="18"/>
                  <w:u w:val="single"/>
                </w:rPr>
                <w:t xml:space="preserve">View thread</w:t>
              </w:r>
            </w:hyperlink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May 13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Inappropriate default questions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CAI question “Any Risks or Side Effects?” surfaced for a sports bra. Appropriate for supplements; inappropriate for apparel/devices.</w:t>
            </w:r>
          </w:p>
          <w:p>
            <w:pPr>
              <w:spacing w:after="0" w:before="40"/>
            </w:pPr>
            <w:hyperlink w:history="1" r:id="rId9v2hqwjq0xpk-yohhbqpw">
              <w:r>
                <w:rPr>
                  <w:rFonts w:ascii="Arial" w:cs="Arial" w:eastAsia="Arial" w:hAnsi="Arial"/>
                  <w:color w:val="2E86C1"/>
                  <w:sz w:val="18"/>
                  <w:szCs w:val="18"/>
                  <w:u w:val="single"/>
                </w:rPr>
                <w:t xml:space="preserve">View thread</w:t>
              </w:r>
            </w:hyperlink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Lunher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May 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Missing medical topic coverage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 failed to answer SSRI interaction questions for a bundle product. Resolved manually by adding info to the PA.</w:t>
            </w:r>
          </w:p>
          <w:p>
            <w:pPr>
              <w:spacing w:after="0" w:before="40"/>
            </w:pPr>
            <w:hyperlink w:history="1" r:id="rId-cgtrspwkev63vodwxeqe">
              <w:r>
                <w:rPr>
                  <w:rFonts w:ascii="Arial" w:cs="Arial" w:eastAsia="Arial" w:hAnsi="Arial"/>
                  <w:color w:val="2E86C1"/>
                  <w:sz w:val="18"/>
                  <w:szCs w:val="18"/>
                  <w:u w:val="single"/>
                </w:rPr>
                <w:t xml:space="preserve">View thread</w:t>
              </w:r>
            </w:hyperlink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Haka Life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Apr 23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Missing medical topic coverage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requested CAI advise against use for shellfish allergy and blood thinner users. Required manual safety language update.</w:t>
            </w:r>
          </w:p>
          <w:p>
            <w:pPr>
              <w:spacing w:after="0" w:before="40"/>
            </w:pPr>
            <w:hyperlink w:history="1" r:id="rIdjyhriuzcu6tywknlshlnm">
              <w:r>
                <w:rPr>
                  <w:rFonts w:ascii="Arial" w:cs="Arial" w:eastAsia="Arial" w:hAnsi="Arial"/>
                  <w:color w:val="2E86C1"/>
                  <w:sz w:val="18"/>
                  <w:szCs w:val="18"/>
                  <w:u w:val="single"/>
                </w:rPr>
                <w:t xml:space="preserve">View thread</w:t>
              </w:r>
            </w:hyperlink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17D7E"/>
          <w:sz w:val="20"/>
          <w:szCs w:val="20"/>
        </w:rPr>
        <w:t xml:space="preserve">Note: Two additional scope requests (Freestyle, Pulse) were excluded as they reflect product limitations rather than CAI quality issues.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DC3C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Why This Matters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CAI is a core part of the brand value proposition. When it produces inaccurate or misleading content, brands notice — and escalate. The feedback above spans 8 brands across 3 months, representing a consistent, structural gap rather than one-off edge cases.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most serious issues — Flourish (“catastrophic”), Mida Health (48 unused references), Alubri (formula vs ingredient logic) — required direct cai-ops intervention regardless. Routing them through an SE added time and introduced risk of miscommunication.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DC3C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Proposed: Direct Brand–cai-ops Channel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 recommend establishing a structured intake process that routes CAI feedback directly from brands to cai-ops, with SEs copied but not as the primary contact.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this could look like: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Dedicated submission form or email:</w:t>
      </w:r>
      <w:r>
        <w:rPr>
          <w:rFonts w:ascii="Arial" w:cs="Arial" w:eastAsia="Arial" w:hAnsi="Arial"/>
          <w:sz w:val="22"/>
          <w:szCs w:val="22"/>
        </w:rPr>
        <w:t xml:space="preserve"> Brands report CAI issues via a structured form (brand name, product, issue type, example query/response) that lands directly with cai-ops.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visibility:</w:t>
      </w:r>
      <w:r>
        <w:rPr>
          <w:rFonts w:ascii="Arial" w:cs="Arial" w:eastAsia="Arial" w:hAnsi="Arial"/>
          <w:sz w:val="22"/>
          <w:szCs w:val="22"/>
        </w:rPr>
        <w:t xml:space="preserve"> SEs are CC’d on submissions so they maintain context, but are not the first point of contact.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 for response:</w:t>
      </w:r>
      <w:r>
        <w:rPr>
          <w:rFonts w:ascii="Arial" w:cs="Arial" w:eastAsia="Arial" w:hAnsi="Arial"/>
          <w:sz w:val="22"/>
          <w:szCs w:val="22"/>
        </w:rPr>
        <w:t xml:space="preserve"> cai-ops acknowledges within 1 business day, resolves within a defined window based on severity.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loop to brand:</w:t>
      </w:r>
      <w:r>
        <w:rPr>
          <w:rFonts w:ascii="Arial" w:cs="Arial" w:eastAsia="Arial" w:hAnsi="Arial"/>
          <w:sz w:val="22"/>
          <w:szCs w:val="22"/>
        </w:rPr>
        <w:t xml:space="preserve"> Brands receive a direct update from cai-ops when their issue is resolved — closing the loop without SE involvement.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Expected Outcome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Faster resolution. Less context lost in translation. SEs freed to focus on onboarding and relationship management. Brands feel heard by the right people.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BDC3C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Suggested Next Steps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Align leadership on the problem statement and recommendation.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cai-ops and SE leads co-design the intake process (form fields, routing, SLA).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Pilot with 2–3 brands currently in the Just Signed or Pending MAB Review stage.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and share process with all SEs and account managers.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17D7E"/>
        <w:sz w:val="18"/>
        <w:szCs w:val="18"/>
      </w:rPr>
      <w:t xml:space="preserve">Frontrow Health  |  CAI Brand Feedback  |  Page </w:t>
    </w:r>
    <w:r>
      <w:rPr>
        <w:rFonts w:ascii="Arial" w:cs="Arial" w:eastAsia="Arial" w:hAnsi="Arial"/>
        <w:color w:val="717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4"/>
      </w:pBdr>
    </w:pPr>
    <w:r>
      <w:rPr>
        <w:rFonts w:ascii="Arial" w:cs="Arial" w:eastAsia="Arial" w:hAnsi="Arial"/>
        <w:color w:val="717D7E"/>
        <w:sz w:val="18"/>
        <w:szCs w:val="18"/>
      </w:rPr>
      <w:t xml:space="preserve">CONFIDENTIAL — Internal Leadership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spyvw9o2tqfwqxepxyq-" Type="http://schemas.openxmlformats.org/officeDocument/2006/relationships/hyperlink" Target="https://thefrontrowhealth.slack.com/archives/C0AGY72Q19R/p1774998813053769" TargetMode="External"/><Relationship Id="rIdzmnzjm5iiat5osgoqisti" Type="http://schemas.openxmlformats.org/officeDocument/2006/relationships/hyperlink" Target="https://thefrontrowhealth.slack.com/archives/C0AGY72Q19R/p1777675050206979" TargetMode="External"/><Relationship Id="rIdinp3s0pwj6122t-jq5lim" Type="http://schemas.openxmlformats.org/officeDocument/2006/relationships/hyperlink" Target="https://thefrontrowhealth.slack.com/archives/C0AGY72Q19R/p1781668711425579" TargetMode="External"/><Relationship Id="rIdowhbsggtchmpcypxljyvq" Type="http://schemas.openxmlformats.org/officeDocument/2006/relationships/hyperlink" Target="https://thefrontrowhealth.slack.com/archives/C09RBNY1WQ0/p1778714933301049" TargetMode="External"/><Relationship Id="rId9_et_dgs7hcnh7qagxhfj" Type="http://schemas.openxmlformats.org/officeDocument/2006/relationships/hyperlink" Target="https://thefrontrowhealth.slack.com/archives/C09RBNY1WQ0/p1781132381662349" TargetMode="External"/><Relationship Id="rId9v2hqwjq0xpk-yohhbqpw" Type="http://schemas.openxmlformats.org/officeDocument/2006/relationships/hyperlink" Target="https://thefrontrowhealth.slack.com/archives/C0AGY72Q19R/p1778696296511849" TargetMode="External"/><Relationship Id="rId-cgtrspwkev63vodwxeqe" Type="http://schemas.openxmlformats.org/officeDocument/2006/relationships/hyperlink" Target="https://thefrontrowhealth.slack.com/archives/C0AGY72Q19R/p1777911376202159" TargetMode="External"/><Relationship Id="rIdjyhriuzcu6tywknlshlnm" Type="http://schemas.openxmlformats.org/officeDocument/2006/relationships/hyperlink" Target="https://thefrontrowhealth.slack.com/archives/C09RBNY1WQ0/p1776957464265179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2026-06-22T14:30:03.016Z</dcterms:created>
  <dcterms:modified xsi:type="dcterms:W3CDTF">2026-06-22T14:30:03.016Z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