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Calibri" w:cs="Calibri" w:eastAsia="Calibri" w:hAnsi="Calibri"/>
          <w:b/>
          <w:bCs/>
          <w:color w:val="1B4F72"/>
          <w:sz w:val="44"/>
          <w:szCs w:val="44"/>
        </w:rPr>
        <w:t xml:space="preserve">CAPSTONE GRADER FEEDBACK ANALYSIS</w:t>
      </w:r>
    </w:p>
    <w:p>
      <w:pPr>
        <w:spacing w:after="40" w:before="0"/>
        <w:jc w:val="center"/>
      </w:pPr>
      <w:r>
        <w:rPr>
          <w:rFonts w:ascii="Calibri" w:cs="Calibri" w:eastAsia="Calibri" w:hAnsi="Calibri"/>
          <w:i/>
          <w:iCs/>
          <w:color w:val="5D6D7E"/>
          <w:sz w:val="26"/>
          <w:szCs w:val="26"/>
        </w:rPr>
        <w:t xml:space="preserve">ToggleTails — AI and Human Narration in Child-Centered Storytelling Applications</w:t>
      </w:r>
    </w:p>
    <w:p>
      <w:pPr>
        <w:spacing w:after="240" w:before="0"/>
        <w:jc w:val="center"/>
      </w:pPr>
      <w:r>
        <w:rPr>
          <w:rFonts w:ascii="Calibri" w:cs="Calibri" w:eastAsia="Calibri" w:hAnsi="Calibri"/>
          <w:color w:val="5D6D7E"/>
          <w:sz w:val="20"/>
          <w:szCs w:val="20"/>
        </w:rPr>
        <w:t xml:space="preserve">Cross-referenced against Spring 2026 CEC Capstone Guidelines  |  Report + Codebase Discrepancy Analysis  |  Strategic Framing Options</w:t>
      </w:r>
    </w:p>
    <w:p>
      <w:pPr>
        <w:spacing w:after="80" w:before="0"/>
      </w:pPr>
      <w:r>
        <w:rPr>
          <w:rFonts w:ascii="Calibri" w:cs="Calibri" w:eastAsia="Calibri" w:hAnsi="Calibri"/>
          <w:b/>
          <w:bCs/>
          <w:color w:val="1A1A1A"/>
          <w:sz w:val="20"/>
          <w:szCs w:val="20"/>
        </w:rPr>
        <w:t xml:space="preserve">Severity Key:  </w:t>
      </w:r>
      <w:r>
        <w:rPr>
          <w:rFonts w:ascii="Calibri" w:cs="Calibri" w:eastAsia="Calibri" w:hAnsi="Calibri"/>
          <w:b/>
          <w:bCs/>
          <w:color w:val="C0392B"/>
          <w:sz w:val="20"/>
          <w:szCs w:val="20"/>
        </w:rPr>
        <w:t xml:space="preserve">  CRITICAL  </w:t>
      </w:r>
      <w:r>
        <w:rPr>
          <w:rFonts w:ascii="Calibri" w:cs="Calibri" w:eastAsia="Calibri" w:hAnsi="Calibri"/>
          <w:color w:val="1A1A1A"/>
          <w:sz w:val="20"/>
          <w:szCs w:val="20"/>
        </w:rPr>
        <w:t xml:space="preserve">  Grade-zero risk or major structural violation    </w:t>
      </w:r>
      <w:r>
        <w:rPr>
          <w:rFonts w:ascii="Calibri" w:cs="Calibri" w:eastAsia="Calibri" w:hAnsi="Calibri"/>
          <w:b/>
          <w:bCs/>
          <w:color w:val="E67E22"/>
          <w:sz w:val="20"/>
          <w:szCs w:val="20"/>
        </w:rPr>
        <w:t xml:space="preserve"> HIGH </w:t>
      </w:r>
      <w:r>
        <w:rPr>
          <w:rFonts w:ascii="Calibri" w:cs="Calibri" w:eastAsia="Calibri" w:hAnsi="Calibri"/>
          <w:color w:val="1A1A1A"/>
          <w:sz w:val="20"/>
          <w:szCs w:val="20"/>
        </w:rPr>
        <w:t xml:space="preserve">  Direct deduction on rubric criteria    </w:t>
      </w:r>
      <w:r>
        <w:rPr>
          <w:rFonts w:ascii="Calibri" w:cs="Calibri" w:eastAsia="Calibri" w:hAnsi="Calibri"/>
          <w:b/>
          <w:bCs/>
          <w:color w:val="7D6608"/>
          <w:sz w:val="20"/>
          <w:szCs w:val="20"/>
        </w:rPr>
        <w:t xml:space="preserve"> MEDIUM </w:t>
      </w:r>
      <w:r>
        <w:rPr>
          <w:rFonts w:ascii="Calibri" w:cs="Calibri" w:eastAsia="Calibri" w:hAnsi="Calibri"/>
          <w:color w:val="1A1A1A"/>
          <w:sz w:val="20"/>
          <w:szCs w:val="20"/>
        </w:rPr>
        <w:t xml:space="preserve">  Noticeable quality gap    </w:t>
      </w:r>
      <w:r>
        <w:rPr>
          <w:rFonts w:ascii="Calibri" w:cs="Calibri" w:eastAsia="Calibri" w:hAnsi="Calibri"/>
          <w:b/>
          <w:bCs/>
          <w:color w:val="1B4F72"/>
          <w:sz w:val="20"/>
          <w:szCs w:val="20"/>
        </w:rPr>
        <w:t xml:space="preserve"> LOW </w:t>
      </w:r>
      <w:r>
        <w:rPr>
          <w:rFonts w:ascii="Calibri" w:cs="Calibri" w:eastAsia="Calibri" w:hAnsi="Calibri"/>
          <w:color w:val="1A1A1A"/>
          <w:sz w:val="20"/>
          <w:szCs w:val="20"/>
        </w:rPr>
        <w:t xml:space="preserve">  Polish / best-practice issue</w:t>
      </w:r>
    </w:p>
    <w:p>
      <w:pPr>
        <w:spacing w:after="160" w:before="120"/>
      </w:pPr>
      <w:r>
        <w:rPr>
          <w:rFonts w:ascii="Calibri" w:cs="Calibri" w:eastAsia="Calibri" w:hAnsi="Calibri"/>
          <w:b/>
          <w:bCs/>
          <w:color w:val="C0392B"/>
          <w:sz w:val="22"/>
          <w:szCs w:val="22"/>
        </w:rPr>
        <w:t xml:space="preserve">⚡  Total Issues Found: </w:t>
      </w:r>
      <w:r>
        <w:rPr>
          <w:rFonts w:ascii="Calibri" w:cs="Calibri" w:eastAsia="Calibri" w:hAnsi="Calibri"/>
          <w:color w:val="1A1A1A"/>
          <w:sz w:val="22"/>
          <w:szCs w:val="22"/>
        </w:rPr>
        <w:t xml:space="preserve">3 Critical  •  5 High  •  7 Medium  •  4 Low  =  19 issues across guidelines compliance, internal discrepancies, and codebase mismatches.</w:t>
      </w:r>
    </w:p>
    <w:p>
      <w:pPr>
        <w:pStyle w:val="Heading1"/>
        <w:spacing w:after="160" w:before="320"/>
      </w:pPr>
      <w:r>
        <w:rPr>
          <w:rFonts w:ascii="Calibri" w:cs="Calibri" w:eastAsia="Calibri" w:hAnsi="Calibri"/>
          <w:b/>
          <w:bCs/>
          <w:color w:val="1B4F72"/>
          <w:sz w:val="28"/>
          <w:szCs w:val="28"/>
        </w:rPr>
        <w:t xml:space="preserve">SECTION 1: GRADER FEEDBACK TABLE</w:t>
      </w:r>
    </w:p>
    <w:p>
      <w:pPr>
        <w:spacing w:after="80" w:before="80"/>
      </w:pPr>
      <w:r>
        <w:rPr>
          <w:rFonts w:ascii="Calibri" w:cs="Calibri" w:eastAsia="Calibri" w:hAnsi="Calibri"/>
          <w:sz w:val="22"/>
          <w:szCs w:val="22"/>
        </w:rPr>
        <w:t xml:space="preserve">Each row below maps a specific guideline requirement against your report's actual content, cites the exact discrepancy (including page/section references), states the grade impact, and provides the prime solution. Read every CRITICAL and HIGH row before touching anything else.</w:t>
      </w:r>
    </w:p>
    <w:p>
      <w:pPr>
        <w:spacing w:after="0" w:before="160"/>
      </w:pPr>
    </w:p>
    <w:tbl>
      <w:tblPr>
        <w:tblW w:type="dxa" w:w="234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900"/>
        <w:gridCol w:w="2100"/>
        <w:gridCol w:w="2100"/>
        <w:gridCol w:w="1300"/>
        <w:gridCol w:w="1660"/>
      </w:tblGrid>
      <w:tr>
        <w:trPr>
          <w:tblHeader/>
        </w:trPr>
        <w:tc>
          <w:tcPr>
            <w:tcW w:type="dxa" w:w="400"/>
            <w:tcBorders>
              <w:top w:val="single" w:color="AEB6BF" w:sz="4"/>
              <w:left w:val="single" w:color="AEB6BF" w:sz="4"/>
              <w:bottom w:val="single" w:color="AEB6BF" w:sz="4"/>
              <w:right w:val="single" w:color="AEB6BF" w:sz="4"/>
            </w:tcBorders>
            <w:shd w:fill="1B4F72"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w:t>
            </w:r>
          </w:p>
        </w:tc>
        <w:tc>
          <w:tcPr>
            <w:tcW w:type="dxa" w:w="2000"/>
            <w:tcBorders>
              <w:top w:val="single" w:color="AEB6BF" w:sz="4"/>
              <w:left w:val="single" w:color="AEB6BF" w:sz="4"/>
              <w:bottom w:val="single" w:color="AEB6BF" w:sz="4"/>
              <w:right w:val="single" w:color="AEB6BF" w:sz="4"/>
            </w:tcBorders>
            <w:shd w:fill="1B4F72"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Area / Criterion</w:t>
            </w:r>
          </w:p>
        </w:tc>
        <w:tc>
          <w:tcPr>
            <w:tcW w:type="dxa" w:w="900"/>
            <w:tcBorders>
              <w:top w:val="single" w:color="AEB6BF" w:sz="4"/>
              <w:left w:val="single" w:color="AEB6BF" w:sz="4"/>
              <w:bottom w:val="single" w:color="AEB6BF" w:sz="4"/>
              <w:right w:val="single" w:color="AEB6BF" w:sz="4"/>
            </w:tcBorders>
            <w:shd w:fill="1B4F72"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Severity</w:t>
            </w:r>
          </w:p>
        </w:tc>
        <w:tc>
          <w:tcPr>
            <w:tcW w:type="dxa" w:w="2100"/>
            <w:tcBorders>
              <w:top w:val="single" w:color="AEB6BF" w:sz="4"/>
              <w:left w:val="single" w:color="AEB6BF" w:sz="4"/>
              <w:bottom w:val="single" w:color="AEB6BF" w:sz="4"/>
              <w:right w:val="single" w:color="AEB6BF" w:sz="4"/>
            </w:tcBorders>
            <w:shd w:fill="1B4F72"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What the Guideline Requires</w:t>
            </w:r>
          </w:p>
        </w:tc>
        <w:tc>
          <w:tcPr>
            <w:tcW w:type="dxa" w:w="2100"/>
            <w:tcBorders>
              <w:top w:val="single" w:color="AEB6BF" w:sz="4"/>
              <w:left w:val="single" w:color="AEB6BF" w:sz="4"/>
              <w:bottom w:val="single" w:color="AEB6BF" w:sz="4"/>
              <w:right w:val="single" w:color="AEB6BF" w:sz="4"/>
            </w:tcBorders>
            <w:shd w:fill="1B4F72"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What Your Report Does</w:t>
            </w:r>
          </w:p>
        </w:tc>
        <w:tc>
          <w:tcPr>
            <w:tcW w:type="dxa" w:w="1300"/>
            <w:tcBorders>
              <w:top w:val="single" w:color="AEB6BF" w:sz="4"/>
              <w:left w:val="single" w:color="AEB6BF" w:sz="4"/>
              <w:bottom w:val="single" w:color="AEB6BF" w:sz="4"/>
              <w:right w:val="single" w:color="AEB6BF" w:sz="4"/>
            </w:tcBorders>
            <w:shd w:fill="1B4F72"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Grade Impact</w:t>
            </w:r>
          </w:p>
        </w:tc>
        <w:tc>
          <w:tcPr>
            <w:tcW w:type="dxa" w:w="1660"/>
            <w:tcBorders>
              <w:top w:val="single" w:color="AEB6BF" w:sz="4"/>
              <w:left w:val="single" w:color="AEB6BF" w:sz="4"/>
              <w:bottom w:val="single" w:color="AEB6BF" w:sz="4"/>
              <w:right w:val="single" w:color="AEB6BF" w:sz="4"/>
            </w:tcBorders>
            <w:shd w:fill="1B4F72"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Prime Solution</w:t>
            </w:r>
          </w:p>
        </w:tc>
      </w:tr>
      <w:tr>
        <w:tc>
          <w:tcPr>
            <w:tcW w:type="dxa" w:w="400"/>
            <w:tcBorders>
              <w:top w:val="single" w:color="AEB6BF" w:sz="4"/>
              <w:left w:val="single" w:color="AEB6BF" w:sz="4"/>
              <w:bottom w:val="single" w:color="AEB6BF" w:sz="4"/>
              <w:right w:val="single" w:color="AEB6BF" w:sz="4"/>
            </w:tcBorders>
            <w:shd w:fill="FADBD8" w:val="clear"/>
            <w:tcMar>
              <w:top w:type="dxa" w:w="100"/>
              <w:left w:type="dxa" w:w="140"/>
              <w:bottom w:type="dxa" w:w="100"/>
              <w:right w:type="dxa" w:w="140"/>
            </w:tcMar>
            <w:vAlign w:val="top"/>
          </w:tcPr>
          <w:p>
            <w:pPr>
              <w:spacing w:after="40" w:before="40"/>
            </w:pPr>
            <w:r>
              <w:rPr>
                <w:rFonts w:ascii="Calibri" w:cs="Calibri" w:eastAsia="Calibri" w:hAnsi="Calibri"/>
                <w:b/>
                <w:bCs/>
                <w:color w:val="1A1A1A"/>
                <w:sz w:val="20"/>
                <w:szCs w:val="20"/>
              </w:rPr>
              <w:t xml:space="preserve">1</w:t>
            </w:r>
          </w:p>
        </w:tc>
        <w:tc>
          <w:tcPr>
            <w:tcW w:type="dxa" w:w="2000"/>
            <w:tcBorders>
              <w:top w:val="single" w:color="AEB6BF" w:sz="4"/>
              <w:left w:val="single" w:color="AEB6BF" w:sz="4"/>
              <w:bottom w:val="single" w:color="AEB6BF" w:sz="4"/>
              <w:right w:val="single" w:color="AEB6BF" w:sz="4"/>
            </w:tcBorders>
            <w:shd w:fill="FADBD8" w:val="clear"/>
            <w:tcMar>
              <w:top w:type="dxa" w:w="100"/>
              <w:left w:type="dxa" w:w="140"/>
              <w:bottom w:type="dxa" w:w="100"/>
              <w:right w:type="dxa" w:w="140"/>
            </w:tcMar>
            <w:vAlign w:val="top"/>
          </w:tcPr>
          <w:p>
            <w:pPr>
              <w:spacing w:after="40" w:before="40"/>
            </w:pPr>
            <w:r>
              <w:rPr>
                <w:rFonts w:ascii="Calibri" w:cs="Calibri" w:eastAsia="Calibri" w:hAnsi="Calibri"/>
                <w:b/>
                <w:bCs/>
                <w:color w:val="1A1A1A"/>
                <w:sz w:val="19"/>
                <w:szCs w:val="19"/>
              </w:rPr>
              <w:t xml:space="preserve">⚠ ETHICS APPROVAL (CHILD PARTICIPANTS)</w:t>
            </w:r>
          </w:p>
        </w:tc>
        <w:tc>
          <w:tcPr>
            <w:tcW w:type="dxa" w:w="900"/>
            <w:tcBorders>
              <w:top w:val="single" w:color="AEB6BF" w:sz="4"/>
              <w:left w:val="single" w:color="AEB6BF" w:sz="4"/>
              <w:bottom w:val="single" w:color="AEB6BF" w:sz="4"/>
              <w:right w:val="single" w:color="AEB6BF" w:sz="4"/>
            </w:tcBorders>
            <w:shd w:fill="FADBD8" w:val="clear"/>
            <w:tcMar>
              <w:top w:type="dxa" w:w="100"/>
              <w:left w:type="dxa" w:w="140"/>
              <w:bottom w:type="dxa" w:w="100"/>
              <w:right w:type="dxa" w:w="140"/>
            </w:tcMar>
            <w:vAlign w:val="top"/>
          </w:tcPr>
          <w:p>
            <w:pPr>
              <w:spacing w:after="40" w:before="40"/>
            </w:pPr>
            <w:r>
              <w:rPr>
                <w:rFonts w:ascii="Calibri" w:cs="Calibri" w:eastAsia="Calibri" w:hAnsi="Calibri"/>
                <w:b/>
                <w:bCs/>
                <w:color w:val="C0392B"/>
                <w:sz w:val="18"/>
                <w:szCs w:val="18"/>
              </w:rPr>
              <w:t xml:space="preserve">CRITICAL</w:t>
            </w:r>
          </w:p>
        </w:tc>
        <w:tc>
          <w:tcPr>
            <w:tcW w:type="dxa" w:w="2100"/>
            <w:tcBorders>
              <w:top w:val="single" w:color="AEB6BF" w:sz="4"/>
              <w:left w:val="single" w:color="AEB6BF" w:sz="4"/>
              <w:bottom w:val="single" w:color="AEB6BF" w:sz="4"/>
              <w:right w:val="single" w:color="AEB6BF" w:sz="4"/>
            </w:tcBorders>
            <w:shd w:fill="FADBD8"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A1A1A"/>
                <w:sz w:val="18"/>
                <w:szCs w:val="18"/>
              </w:rPr>
              <w:t xml:space="preserve">Guidelines state verbatim: "An ethics application form must be approved by the Research Center before the commencement of any data collection. Failure to comply with the ethics procedures established by AUBH will result in a grade of zero for this course."</w:t>
            </w:r>
          </w:p>
        </w:tc>
        <w:tc>
          <w:tcPr>
            <w:tcW w:type="dxa" w:w="2100"/>
            <w:tcBorders>
              <w:top w:val="single" w:color="AEB6BF" w:sz="4"/>
              <w:left w:val="single" w:color="AEB6BF" w:sz="4"/>
              <w:bottom w:val="single" w:color="AEB6BF" w:sz="4"/>
              <w:right w:val="single" w:color="AEB6BF" w:sz="4"/>
            </w:tcBorders>
            <w:shd w:fill="FADBD8"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A1A1A"/>
                <w:sz w:val="18"/>
                <w:szCs w:val="18"/>
              </w:rPr>
              <w:t xml:space="preserve">Report runs a usability study with 3 children aged 5–7. Zero mention of ethics board approval, IRB clearance, parental consent forms, or Research Center sign-off anywhere in the 103-page document. Chapter 4.4.4 discusses "Ethical Considerations" only at the design level — it says nothing about study approval.</w:t>
            </w:r>
          </w:p>
        </w:tc>
        <w:tc>
          <w:tcPr>
            <w:tcW w:type="dxa" w:w="1300"/>
            <w:tcBorders>
              <w:top w:val="single" w:color="AEB6BF" w:sz="4"/>
              <w:left w:val="single" w:color="AEB6BF" w:sz="4"/>
              <w:bottom w:val="single" w:color="AEB6BF" w:sz="4"/>
              <w:right w:val="single" w:color="AEB6BF" w:sz="4"/>
            </w:tcBorders>
            <w:shd w:fill="FADBD8" w:val="clear"/>
            <w:tcMar>
              <w:top w:type="dxa" w:w="100"/>
              <w:left w:type="dxa" w:w="140"/>
              <w:bottom w:type="dxa" w:w="100"/>
              <w:right w:type="dxa" w:w="140"/>
            </w:tcMar>
            <w:vAlign w:val="top"/>
          </w:tcPr>
          <w:p>
            <w:pPr>
              <w:spacing w:after="40" w:before="40"/>
            </w:pPr>
            <w:r>
              <w:rPr>
                <w:rFonts w:ascii="Calibri" w:cs="Calibri" w:eastAsia="Calibri" w:hAnsi="Calibri"/>
                <w:b/>
                <w:bCs/>
                <w:color w:val="C0392B"/>
                <w:sz w:val="18"/>
                <w:szCs w:val="18"/>
              </w:rPr>
              <w:t xml:space="preserve">Grounds for automatic grade of zero per guidelines. This is not negotiable regardless of the technical quality of the work.</w:t>
            </w:r>
          </w:p>
        </w:tc>
        <w:tc>
          <w:tcPr>
            <w:tcW w:type="dxa" w:w="1660"/>
            <w:tcBorders>
              <w:top w:val="single" w:color="AEB6BF" w:sz="4"/>
              <w:left w:val="single" w:color="AEB6BF" w:sz="4"/>
              <w:bottom w:val="single" w:color="AEB6BF" w:sz="4"/>
              <w:right w:val="single" w:color="AEB6BF" w:sz="4"/>
            </w:tcBorders>
            <w:shd w:fill="FADBD8"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54360"/>
                <w:sz w:val="18"/>
                <w:szCs w:val="18"/>
              </w:rPr>
              <w:t xml:space="preserve">Immediately contact your supervisor Dr. Akbar and the Research Center. If approval was obtained verbally or informally, obtain formal written confirmation now and append it. Add an "Ethics and Compliance" subsection in Chapter 4 or as Appendix A that explicitly names the approval, date, and reference number. Include parental consent form template in appendices.</w:t>
            </w:r>
          </w:p>
        </w:tc>
      </w:tr>
      <w:tr>
        <w:tc>
          <w:tcPr>
            <w:tcW w:type="dxa" w:w="400"/>
            <w:tcBorders>
              <w:top w:val="single" w:color="AEB6BF" w:sz="4"/>
              <w:left w:val="single" w:color="AEB6BF" w:sz="4"/>
              <w:bottom w:val="single" w:color="AEB6BF" w:sz="4"/>
              <w:right w:val="single" w:color="AEB6BF" w:sz="4"/>
            </w:tcBorders>
            <w:shd w:fill="FADBD8" w:val="clear"/>
            <w:tcMar>
              <w:top w:type="dxa" w:w="100"/>
              <w:left w:type="dxa" w:w="140"/>
              <w:bottom w:type="dxa" w:w="100"/>
              <w:right w:type="dxa" w:w="140"/>
            </w:tcMar>
            <w:vAlign w:val="top"/>
          </w:tcPr>
          <w:p>
            <w:pPr>
              <w:spacing w:after="40" w:before="40"/>
            </w:pPr>
            <w:r>
              <w:rPr>
                <w:rFonts w:ascii="Calibri" w:cs="Calibri" w:eastAsia="Calibri" w:hAnsi="Calibri"/>
                <w:b/>
                <w:bCs/>
                <w:color w:val="1A1A1A"/>
                <w:sz w:val="20"/>
                <w:szCs w:val="20"/>
              </w:rPr>
              <w:t xml:space="preserve">2</w:t>
            </w:r>
          </w:p>
        </w:tc>
        <w:tc>
          <w:tcPr>
            <w:tcW w:type="dxa" w:w="2000"/>
            <w:tcBorders>
              <w:top w:val="single" w:color="AEB6BF" w:sz="4"/>
              <w:left w:val="single" w:color="AEB6BF" w:sz="4"/>
              <w:bottom w:val="single" w:color="AEB6BF" w:sz="4"/>
              <w:right w:val="single" w:color="AEB6BF" w:sz="4"/>
            </w:tcBorders>
            <w:shd w:fill="FADBD8" w:val="clear"/>
            <w:tcMar>
              <w:top w:type="dxa" w:w="100"/>
              <w:left w:type="dxa" w:w="140"/>
              <w:bottom w:type="dxa" w:w="100"/>
              <w:right w:type="dxa" w:w="140"/>
            </w:tcMar>
            <w:vAlign w:val="top"/>
          </w:tcPr>
          <w:p>
            <w:pPr>
              <w:spacing w:after="40" w:before="40"/>
            </w:pPr>
            <w:r>
              <w:rPr>
                <w:rFonts w:ascii="Calibri" w:cs="Calibri" w:eastAsia="Calibri" w:hAnsi="Calibri"/>
                <w:b/>
                <w:bCs/>
                <w:color w:val="1A1A1A"/>
                <w:sz w:val="19"/>
                <w:szCs w:val="19"/>
              </w:rPr>
              <w:t xml:space="preserve">ABSTRACT — Word Count Below Minimum</w:t>
            </w:r>
          </w:p>
        </w:tc>
        <w:tc>
          <w:tcPr>
            <w:tcW w:type="dxa" w:w="900"/>
            <w:tcBorders>
              <w:top w:val="single" w:color="AEB6BF" w:sz="4"/>
              <w:left w:val="single" w:color="AEB6BF" w:sz="4"/>
              <w:bottom w:val="single" w:color="AEB6BF" w:sz="4"/>
              <w:right w:val="single" w:color="AEB6BF" w:sz="4"/>
            </w:tcBorders>
            <w:shd w:fill="FADBD8" w:val="clear"/>
            <w:tcMar>
              <w:top w:type="dxa" w:w="100"/>
              <w:left w:type="dxa" w:w="140"/>
              <w:bottom w:type="dxa" w:w="100"/>
              <w:right w:type="dxa" w:w="140"/>
            </w:tcMar>
            <w:vAlign w:val="top"/>
          </w:tcPr>
          <w:p>
            <w:pPr>
              <w:spacing w:after="40" w:before="40"/>
            </w:pPr>
            <w:r>
              <w:rPr>
                <w:rFonts w:ascii="Calibri" w:cs="Calibri" w:eastAsia="Calibri" w:hAnsi="Calibri"/>
                <w:b/>
                <w:bCs/>
                <w:color w:val="C0392B"/>
                <w:sz w:val="18"/>
                <w:szCs w:val="18"/>
              </w:rPr>
              <w:t xml:space="preserve">CRITICAL</w:t>
            </w:r>
          </w:p>
        </w:tc>
        <w:tc>
          <w:tcPr>
            <w:tcW w:type="dxa" w:w="2100"/>
            <w:tcBorders>
              <w:top w:val="single" w:color="AEB6BF" w:sz="4"/>
              <w:left w:val="single" w:color="AEB6BF" w:sz="4"/>
              <w:bottom w:val="single" w:color="AEB6BF" w:sz="4"/>
              <w:right w:val="single" w:color="AEB6BF" w:sz="4"/>
            </w:tcBorders>
            <w:shd w:fill="FADBD8"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A1A1A"/>
                <w:sz w:val="18"/>
                <w:szCs w:val="18"/>
              </w:rPr>
              <w:t xml:space="preserve">"The length of the abstract should be about 500 words, with a minimum of 300 words." The abstract should be in a specific format: heading "ABSTRACT" centered in full capitals, followed by (a) brief problem statement, (b) methods/procedures, (c) summary of findings.</w:t>
            </w:r>
          </w:p>
        </w:tc>
        <w:tc>
          <w:tcPr>
            <w:tcW w:type="dxa" w:w="2100"/>
            <w:tcBorders>
              <w:top w:val="single" w:color="AEB6BF" w:sz="4"/>
              <w:left w:val="single" w:color="AEB6BF" w:sz="4"/>
              <w:bottom w:val="single" w:color="AEB6BF" w:sz="4"/>
              <w:right w:val="single" w:color="AEB6BF" w:sz="4"/>
            </w:tcBorders>
            <w:shd w:fill="FADBD8"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A1A1A"/>
                <w:sz w:val="18"/>
                <w:szCs w:val="18"/>
              </w:rPr>
              <w:t xml:space="preserve">The abstract is approximately 215 words — well under the 300-word minimum. It also ends with a sentence fragment: "Combining AI and human narration in child-focused storytelling applications, positioning AI as a supportive tool rather than a replacement for human interaction." This is grammatically incomplete. The abstract heading does not appear in centered full capitals.</w:t>
            </w:r>
          </w:p>
        </w:tc>
        <w:tc>
          <w:tcPr>
            <w:tcW w:type="dxa" w:w="1300"/>
            <w:tcBorders>
              <w:top w:val="single" w:color="AEB6BF" w:sz="4"/>
              <w:left w:val="single" w:color="AEB6BF" w:sz="4"/>
              <w:bottom w:val="single" w:color="AEB6BF" w:sz="4"/>
              <w:right w:val="single" w:color="AEB6BF" w:sz="4"/>
            </w:tcBorders>
            <w:shd w:fill="FADBD8" w:val="clear"/>
            <w:tcMar>
              <w:top w:type="dxa" w:w="100"/>
              <w:left w:type="dxa" w:w="140"/>
              <w:bottom w:type="dxa" w:w="100"/>
              <w:right w:type="dxa" w:w="140"/>
            </w:tcMar>
            <w:vAlign w:val="top"/>
          </w:tcPr>
          <w:p>
            <w:pPr>
              <w:spacing w:after="40" w:before="40"/>
            </w:pPr>
            <w:r>
              <w:rPr>
                <w:rFonts w:ascii="Calibri" w:cs="Calibri" w:eastAsia="Calibri" w:hAnsi="Calibri"/>
                <w:b/>
                <w:bCs/>
                <w:color w:val="C0392B"/>
                <w:sz w:val="18"/>
                <w:szCs w:val="18"/>
              </w:rPr>
              <w:t xml:space="preserve">Automatic deduction under Written Communication Skill in the report rubric (up to –8 pts). A sub-minimum abstract signals the examiner that the author did not read the formatting guidelines.</w:t>
            </w:r>
          </w:p>
        </w:tc>
        <w:tc>
          <w:tcPr>
            <w:tcW w:type="dxa" w:w="1660"/>
            <w:tcBorders>
              <w:top w:val="single" w:color="AEB6BF" w:sz="4"/>
              <w:left w:val="single" w:color="AEB6BF" w:sz="4"/>
              <w:bottom w:val="single" w:color="AEB6BF" w:sz="4"/>
              <w:right w:val="single" w:color="AEB6BF" w:sz="4"/>
            </w:tcBorders>
            <w:shd w:fill="FADBD8"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54360"/>
                <w:sz w:val="18"/>
                <w:szCs w:val="18"/>
              </w:rPr>
              <w:t xml:space="preserve">Expand the abstract to 350–450 words. Structure it as: (1) problem statement — gap in existing narration platforms for child-facing apps; (2) methodology — design-and-build engineering with observational validation; (3) technical contributions — dual narration pipeline, voice cloning architecture, role-based access; (4) findings — what testing validated. Fix the sentence fragment. Place the heading "ABSTRACT" centered and in full capitals per §Appearance of the guidelines.</w:t>
            </w:r>
          </w:p>
        </w:tc>
      </w:tr>
      <w:tr>
        <w:tc>
          <w:tcPr>
            <w:tcW w:type="dxa" w:w="400"/>
            <w:tcBorders>
              <w:top w:val="single" w:color="AEB6BF" w:sz="4"/>
              <w:left w:val="single" w:color="AEB6BF" w:sz="4"/>
              <w:bottom w:val="single" w:color="AEB6BF" w:sz="4"/>
              <w:right w:val="single" w:color="AEB6BF" w:sz="4"/>
            </w:tcBorders>
            <w:shd w:fill="FADBD8" w:val="clear"/>
            <w:tcMar>
              <w:top w:type="dxa" w:w="100"/>
              <w:left w:type="dxa" w:w="140"/>
              <w:bottom w:type="dxa" w:w="100"/>
              <w:right w:type="dxa" w:w="140"/>
            </w:tcMar>
            <w:vAlign w:val="top"/>
          </w:tcPr>
          <w:p>
            <w:pPr>
              <w:spacing w:after="40" w:before="40"/>
            </w:pPr>
            <w:r>
              <w:rPr>
                <w:rFonts w:ascii="Calibri" w:cs="Calibri" w:eastAsia="Calibri" w:hAnsi="Calibri"/>
                <w:b/>
                <w:bCs/>
                <w:color w:val="1A1A1A"/>
                <w:sz w:val="20"/>
                <w:szCs w:val="20"/>
              </w:rPr>
              <w:t xml:space="preserve">3</w:t>
            </w:r>
          </w:p>
        </w:tc>
        <w:tc>
          <w:tcPr>
            <w:tcW w:type="dxa" w:w="2000"/>
            <w:tcBorders>
              <w:top w:val="single" w:color="AEB6BF" w:sz="4"/>
              <w:left w:val="single" w:color="AEB6BF" w:sz="4"/>
              <w:bottom w:val="single" w:color="AEB6BF" w:sz="4"/>
              <w:right w:val="single" w:color="AEB6BF" w:sz="4"/>
            </w:tcBorders>
            <w:shd w:fill="FADBD8" w:val="clear"/>
            <w:tcMar>
              <w:top w:type="dxa" w:w="100"/>
              <w:left w:type="dxa" w:w="140"/>
              <w:bottom w:type="dxa" w:w="100"/>
              <w:right w:type="dxa" w:w="140"/>
            </w:tcMar>
            <w:vAlign w:val="top"/>
          </w:tcPr>
          <w:p>
            <w:pPr>
              <w:spacing w:after="40" w:before="40"/>
            </w:pPr>
            <w:r>
              <w:rPr>
                <w:rFonts w:ascii="Calibri" w:cs="Calibri" w:eastAsia="Calibri" w:hAnsi="Calibri"/>
                <w:b/>
                <w:bCs/>
                <w:color w:val="1A1A1A"/>
                <w:sz w:val="19"/>
                <w:szCs w:val="19"/>
              </w:rPr>
              <w:t xml:space="preserve">LaTeX ARTIFACT IN PUBLISHED DOCUMENT</w:t>
            </w:r>
          </w:p>
        </w:tc>
        <w:tc>
          <w:tcPr>
            <w:tcW w:type="dxa" w:w="900"/>
            <w:tcBorders>
              <w:top w:val="single" w:color="AEB6BF" w:sz="4"/>
              <w:left w:val="single" w:color="AEB6BF" w:sz="4"/>
              <w:bottom w:val="single" w:color="AEB6BF" w:sz="4"/>
              <w:right w:val="single" w:color="AEB6BF" w:sz="4"/>
            </w:tcBorders>
            <w:shd w:fill="FADBD8" w:val="clear"/>
            <w:tcMar>
              <w:top w:type="dxa" w:w="100"/>
              <w:left w:type="dxa" w:w="140"/>
              <w:bottom w:type="dxa" w:w="100"/>
              <w:right w:type="dxa" w:w="140"/>
            </w:tcMar>
            <w:vAlign w:val="top"/>
          </w:tcPr>
          <w:p>
            <w:pPr>
              <w:spacing w:after="40" w:before="40"/>
            </w:pPr>
            <w:r>
              <w:rPr>
                <w:rFonts w:ascii="Calibri" w:cs="Calibri" w:eastAsia="Calibri" w:hAnsi="Calibri"/>
                <w:b/>
                <w:bCs/>
                <w:color w:val="C0392B"/>
                <w:sz w:val="18"/>
                <w:szCs w:val="18"/>
              </w:rPr>
              <w:t xml:space="preserve">CRITICAL</w:t>
            </w:r>
          </w:p>
        </w:tc>
        <w:tc>
          <w:tcPr>
            <w:tcW w:type="dxa" w:w="2100"/>
            <w:tcBorders>
              <w:top w:val="single" w:color="AEB6BF" w:sz="4"/>
              <w:left w:val="single" w:color="AEB6BF" w:sz="4"/>
              <w:bottom w:val="single" w:color="AEB6BF" w:sz="4"/>
              <w:right w:val="single" w:color="AEB6BF" w:sz="4"/>
            </w:tcBorders>
            <w:shd w:fill="FADBD8"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A1A1A"/>
                <w:sz w:val="18"/>
                <w:szCs w:val="18"/>
              </w:rPr>
              <w:t xml:space="preserve">The report must be polished and error-free. Guidelines assess Written Communication Skill (6 criteria × 4 pts each = /24).</w:t>
            </w:r>
          </w:p>
        </w:tc>
        <w:tc>
          <w:tcPr>
            <w:tcW w:type="dxa" w:w="2100"/>
            <w:tcBorders>
              <w:top w:val="single" w:color="AEB6BF" w:sz="4"/>
              <w:left w:val="single" w:color="AEB6BF" w:sz="4"/>
              <w:bottom w:val="single" w:color="AEB6BF" w:sz="4"/>
              <w:right w:val="single" w:color="AEB6BF" w:sz="4"/>
            </w:tcBorders>
            <w:shd w:fill="FADBD8"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A1A1A"/>
                <w:sz w:val="18"/>
                <w:szCs w:val="18"/>
              </w:rPr>
              <w:t xml:space="preserve">After the Table of Contents page, the raw string "'latex\n\n1" appears in the document. This is a LaTeX compilation artifact that was not removed before PDF export. Additionally, "List of Tables" section ends with "'latex" and the number "1" floating on its own.</w:t>
            </w:r>
          </w:p>
        </w:tc>
        <w:tc>
          <w:tcPr>
            <w:tcW w:type="dxa" w:w="1300"/>
            <w:tcBorders>
              <w:top w:val="single" w:color="AEB6BF" w:sz="4"/>
              <w:left w:val="single" w:color="AEB6BF" w:sz="4"/>
              <w:bottom w:val="single" w:color="AEB6BF" w:sz="4"/>
              <w:right w:val="single" w:color="AEB6BF" w:sz="4"/>
            </w:tcBorders>
            <w:shd w:fill="FADBD8" w:val="clear"/>
            <w:tcMar>
              <w:top w:type="dxa" w:w="100"/>
              <w:left w:type="dxa" w:w="140"/>
              <w:bottom w:type="dxa" w:w="100"/>
              <w:right w:type="dxa" w:w="140"/>
            </w:tcMar>
            <w:vAlign w:val="top"/>
          </w:tcPr>
          <w:p>
            <w:pPr>
              <w:spacing w:after="40" w:before="40"/>
            </w:pPr>
            <w:r>
              <w:rPr>
                <w:rFonts w:ascii="Calibri" w:cs="Calibri" w:eastAsia="Calibri" w:hAnsi="Calibri"/>
                <w:b/>
                <w:bCs/>
                <w:color w:val="C0392B"/>
                <w:sz w:val="18"/>
                <w:szCs w:val="18"/>
              </w:rPr>
              <w:t xml:space="preserve">Immediately signals to examiners that the document was not proofread before submission. Damages credibility on the Written Communication axis.</w:t>
            </w:r>
          </w:p>
        </w:tc>
        <w:tc>
          <w:tcPr>
            <w:tcW w:type="dxa" w:w="1660"/>
            <w:tcBorders>
              <w:top w:val="single" w:color="AEB6BF" w:sz="4"/>
              <w:left w:val="single" w:color="AEB6BF" w:sz="4"/>
              <w:bottom w:val="single" w:color="AEB6BF" w:sz="4"/>
              <w:right w:val="single" w:color="AEB6BF" w:sz="4"/>
            </w:tcBorders>
            <w:shd w:fill="FADBD8"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54360"/>
                <w:sz w:val="18"/>
                <w:szCs w:val="18"/>
              </w:rPr>
              <w:t xml:space="preserve">Search the source document for any occurrence of "latex", raw backticks, or orphaned numbers and remove them. Regenerate the PDF from a clean source. Before final submission, open the PDF and do a full visual pass of every page.</w:t>
            </w:r>
          </w:p>
        </w:tc>
      </w:tr>
      <w:tr>
        <w:tc>
          <w:tcPr>
            <w:tcW w:type="dxa" w:w="40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top"/>
          </w:tcPr>
          <w:p>
            <w:pPr>
              <w:spacing w:after="40" w:before="40"/>
            </w:pPr>
            <w:r>
              <w:rPr>
                <w:rFonts w:ascii="Calibri" w:cs="Calibri" w:eastAsia="Calibri" w:hAnsi="Calibri"/>
                <w:b/>
                <w:bCs/>
                <w:color w:val="1A1A1A"/>
                <w:sz w:val="20"/>
                <w:szCs w:val="20"/>
              </w:rPr>
              <w:t xml:space="preserve">4</w:t>
            </w:r>
          </w:p>
        </w:tc>
        <w:tc>
          <w:tcPr>
            <w:tcW w:type="dxa" w:w="200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top"/>
          </w:tcPr>
          <w:p>
            <w:pPr>
              <w:spacing w:after="40" w:before="40"/>
            </w:pPr>
            <w:r>
              <w:rPr>
                <w:rFonts w:ascii="Calibri" w:cs="Calibri" w:eastAsia="Calibri" w:hAnsi="Calibri"/>
                <w:b/>
                <w:bCs/>
                <w:color w:val="1A1A1A"/>
                <w:sz w:val="19"/>
                <w:szCs w:val="19"/>
              </w:rPr>
              <w:t xml:space="preserve">DOCUMENT STRUCTURE — Section Ordering Violates Guidelines</w:t>
            </w:r>
          </w:p>
        </w:tc>
        <w:tc>
          <w:tcPr>
            <w:tcW w:type="dxa" w:w="90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top"/>
          </w:tcPr>
          <w:p>
            <w:pPr>
              <w:spacing w:after="40" w:before="40"/>
            </w:pPr>
            <w:r>
              <w:rPr>
                <w:rFonts w:ascii="Calibri" w:cs="Calibri" w:eastAsia="Calibri" w:hAnsi="Calibri"/>
                <w:b/>
                <w:bCs/>
                <w:color w:val="E67E22"/>
                <w:sz w:val="18"/>
                <w:szCs w:val="18"/>
              </w:rPr>
              <w:t xml:space="preserve">HIGH</w:t>
            </w:r>
          </w:p>
        </w:tc>
        <w:tc>
          <w:tcPr>
            <w:tcW w:type="dxa" w:w="210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A1A1A"/>
                <w:sz w:val="18"/>
                <w:szCs w:val="18"/>
              </w:rPr>
              <w:t xml:space="preserve">Guidelines specify exact order: (a) Front Cover, (b) Title Page, (c) Approval Page, (d) Abstract, (e) Acknowledgments, (f) Table of Contents, (g) List of Tables/Figures, (h) Glossary, (i) Body.</w:t>
            </w:r>
          </w:p>
        </w:tc>
        <w:tc>
          <w:tcPr>
            <w:tcW w:type="dxa" w:w="210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A1A1A"/>
                <w:sz w:val="18"/>
                <w:szCs w:val="18"/>
              </w:rPr>
              <w:t xml:space="preserve">The report's actual order is: Front Cover → Title Page → Approval Page → Acknowledgments → Table of Contents → Glossary (page VIII) → List of Figures (page XII) → List of Tables (page XIII) → Abstract (page XIV) → Body. The Abstract appears on page XIV — AFTER the Glossary and Lists. The Abstract must come before the Table of Contents. This is a structural inversion.</w:t>
            </w:r>
          </w:p>
        </w:tc>
        <w:tc>
          <w:tcPr>
            <w:tcW w:type="dxa" w:w="130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top"/>
          </w:tcPr>
          <w:p>
            <w:pPr>
              <w:spacing w:after="40" w:before="40"/>
            </w:pPr>
            <w:r>
              <w:rPr>
                <w:rFonts w:ascii="Calibri" w:cs="Calibri" w:eastAsia="Calibri" w:hAnsi="Calibri"/>
                <w:b/>
                <w:bCs/>
                <w:color w:val="E67E22"/>
                <w:sz w:val="18"/>
                <w:szCs w:val="18"/>
              </w:rPr>
              <w:t xml:space="preserve">Directly penalized under Written Communication Skill and Project Problem and Objectives rubric categories. Examiners notice this immediately.</w:t>
            </w:r>
          </w:p>
        </w:tc>
        <w:tc>
          <w:tcPr>
            <w:tcW w:type="dxa" w:w="166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54360"/>
                <w:sz w:val="18"/>
                <w:szCs w:val="18"/>
              </w:rPr>
              <w:t xml:space="preserve">Restructure the front matter: (1) Title Page, (2) Approval Page, (3) Abstract (standalone page), (4) Acknowledgments, (5) Table of Contents, (6) List of Figures, (7) List of Tables, (8) Glossary. The Glossary must come last in the front matter, not first.</w:t>
            </w:r>
          </w:p>
        </w:tc>
      </w:tr>
      <w:tr>
        <w:tc>
          <w:tcPr>
            <w:tcW w:type="dxa" w:w="40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top"/>
          </w:tcPr>
          <w:p>
            <w:pPr>
              <w:spacing w:after="40" w:before="40"/>
            </w:pPr>
            <w:r>
              <w:rPr>
                <w:rFonts w:ascii="Calibri" w:cs="Calibri" w:eastAsia="Calibri" w:hAnsi="Calibri"/>
                <w:b/>
                <w:bCs/>
                <w:color w:val="1A1A1A"/>
                <w:sz w:val="20"/>
                <w:szCs w:val="20"/>
              </w:rPr>
              <w:t xml:space="preserve">5</w:t>
            </w:r>
          </w:p>
        </w:tc>
        <w:tc>
          <w:tcPr>
            <w:tcW w:type="dxa" w:w="200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top"/>
          </w:tcPr>
          <w:p>
            <w:pPr>
              <w:spacing w:after="40" w:before="40"/>
            </w:pPr>
            <w:r>
              <w:rPr>
                <w:rFonts w:ascii="Calibri" w:cs="Calibri" w:eastAsia="Calibri" w:hAnsi="Calibri"/>
                <w:b/>
                <w:bCs/>
                <w:color w:val="1A1A1A"/>
                <w:sz w:val="19"/>
                <w:szCs w:val="19"/>
              </w:rPr>
              <w:t xml:space="preserve">INTERNAL DISCREPANCY — SecureStore Claimed, AsyncStorage Used</w:t>
            </w:r>
          </w:p>
        </w:tc>
        <w:tc>
          <w:tcPr>
            <w:tcW w:type="dxa" w:w="90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top"/>
          </w:tcPr>
          <w:p>
            <w:pPr>
              <w:spacing w:after="40" w:before="40"/>
            </w:pPr>
            <w:r>
              <w:rPr>
                <w:rFonts w:ascii="Calibri" w:cs="Calibri" w:eastAsia="Calibri" w:hAnsi="Calibri"/>
                <w:b/>
                <w:bCs/>
                <w:color w:val="E67E22"/>
                <w:sz w:val="18"/>
                <w:szCs w:val="18"/>
              </w:rPr>
              <w:t xml:space="preserve">HIGH</w:t>
            </w:r>
          </w:p>
        </w:tc>
        <w:tc>
          <w:tcPr>
            <w:tcW w:type="dxa" w:w="210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A1A1A"/>
                <w:sz w:val="18"/>
                <w:szCs w:val="18"/>
              </w:rPr>
              <w:t xml:space="preserve">Report objectives state: "Build a secure parent interface with bcrypt-hashed password authentication and SecureStore encryption." The Introduction also lists SecureStore as a key technology.</w:t>
            </w:r>
          </w:p>
        </w:tc>
        <w:tc>
          <w:tcPr>
            <w:tcW w:type="dxa" w:w="210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A1A1A"/>
                <w:sz w:val="18"/>
                <w:szCs w:val="18"/>
              </w:rPr>
              <w:t xml:space="preserve">Section 6.8 explicitly states the PIN is stored using AsyncStorage: "export const PINKEY = 'parentpinv1'" stored in AsyncStorage. Section 6.8.1 acknowledges: "AsyncStorage does not provide hardware-level encryption" and recommends SecureStore as future work. JWT tokens are also stored in AsyncStorage per Section 6.8.1.</w:t>
            </w:r>
          </w:p>
        </w:tc>
        <w:tc>
          <w:tcPr>
            <w:tcW w:type="dxa" w:w="130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top"/>
          </w:tcPr>
          <w:p>
            <w:pPr>
              <w:spacing w:after="40" w:before="40"/>
            </w:pPr>
            <w:r>
              <w:rPr>
                <w:rFonts w:ascii="Calibri" w:cs="Calibri" w:eastAsia="Calibri" w:hAnsi="Calibri"/>
                <w:b/>
                <w:bCs/>
                <w:color w:val="E67E22"/>
                <w:sz w:val="18"/>
                <w:szCs w:val="18"/>
              </w:rPr>
              <w:t xml:space="preserve">Examiner will catch this mismatch between stated objective and implementation. Penalized under Objectives of the Project (up to –8 pts) and Implementation/Demo scoring.</w:t>
            </w:r>
          </w:p>
        </w:tc>
        <w:tc>
          <w:tcPr>
            <w:tcW w:type="dxa" w:w="166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54360"/>
                <w:sz w:val="18"/>
                <w:szCs w:val="18"/>
              </w:rPr>
              <w:t xml:space="preserve">Option A (preferred): Migrate PIN and token storage to Expo SecureStore — it is a drop-in replacement. This makes your implementation match your objectives. Option B: Update all objective and introduction language to accurately say AsyncStorage with a known security trade-off, and document the reasoning for the trade-off explicitly rather than as a limitation.</w:t>
            </w:r>
          </w:p>
        </w:tc>
      </w:tr>
      <w:tr>
        <w:tc>
          <w:tcPr>
            <w:tcW w:type="dxa" w:w="40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top"/>
          </w:tcPr>
          <w:p>
            <w:pPr>
              <w:spacing w:after="40" w:before="40"/>
            </w:pPr>
            <w:r>
              <w:rPr>
                <w:rFonts w:ascii="Calibri" w:cs="Calibri" w:eastAsia="Calibri" w:hAnsi="Calibri"/>
                <w:b/>
                <w:bCs/>
                <w:color w:val="1A1A1A"/>
                <w:sz w:val="20"/>
                <w:szCs w:val="20"/>
              </w:rPr>
              <w:t xml:space="preserve">6</w:t>
            </w:r>
          </w:p>
        </w:tc>
        <w:tc>
          <w:tcPr>
            <w:tcW w:type="dxa" w:w="200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top"/>
          </w:tcPr>
          <w:p>
            <w:pPr>
              <w:spacing w:after="40" w:before="40"/>
            </w:pPr>
            <w:r>
              <w:rPr>
                <w:rFonts w:ascii="Calibri" w:cs="Calibri" w:eastAsia="Calibri" w:hAnsi="Calibri"/>
                <w:b/>
                <w:bCs/>
                <w:color w:val="1A1A1A"/>
                <w:sz w:val="19"/>
                <w:szCs w:val="19"/>
              </w:rPr>
              <w:t xml:space="preserve">INTERNAL DISCREPANCY — ElevenLabs TTS vs. Expo Native TTS</w:t>
            </w:r>
          </w:p>
        </w:tc>
        <w:tc>
          <w:tcPr>
            <w:tcW w:type="dxa" w:w="90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top"/>
          </w:tcPr>
          <w:p>
            <w:pPr>
              <w:spacing w:after="40" w:before="40"/>
            </w:pPr>
            <w:r>
              <w:rPr>
                <w:rFonts w:ascii="Calibri" w:cs="Calibri" w:eastAsia="Calibri" w:hAnsi="Calibri"/>
                <w:b/>
                <w:bCs/>
                <w:color w:val="E67E22"/>
                <w:sz w:val="18"/>
                <w:szCs w:val="18"/>
              </w:rPr>
              <w:t xml:space="preserve">HIGH</w:t>
            </w:r>
          </w:p>
        </w:tc>
        <w:tc>
          <w:tcPr>
            <w:tcW w:type="dxa" w:w="210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A1A1A"/>
                <w:sz w:val="18"/>
                <w:szCs w:val="18"/>
              </w:rPr>
              <w:t xml:space="preserve">Report states in multiple places that AI narration is delivered "via ElevenLabs" with "native on-device TTS as a resilient fallback." The abstract, objectives, and architecture chapters all foreground ElevenLabs as the primary TTS provider.</w:t>
            </w:r>
          </w:p>
        </w:tc>
        <w:tc>
          <w:tcPr>
            <w:tcW w:type="dxa" w:w="210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A1A1A"/>
                <w:sz w:val="18"/>
                <w:szCs w:val="18"/>
              </w:rPr>
              <w:t xml:space="preserve">Section 6.9.4 states: "voice narration relies on Expo's native TTS services" — with no mention of ElevenLabs at this point. Section 6.5.7 documents a "Text-to-Speech Module" backend endpoint, but Section 6.9.8 confirms no CI/CD and manual processes only. The dependency list mentions expo-speech (on-device) as the primary front-end TTS library.</w:t>
            </w:r>
          </w:p>
        </w:tc>
        <w:tc>
          <w:tcPr>
            <w:tcW w:type="dxa" w:w="130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top"/>
          </w:tcPr>
          <w:p>
            <w:pPr>
              <w:spacing w:after="40" w:before="40"/>
            </w:pPr>
            <w:r>
              <w:rPr>
                <w:rFonts w:ascii="Calibri" w:cs="Calibri" w:eastAsia="Calibri" w:hAnsi="Calibri"/>
                <w:b/>
                <w:bCs/>
                <w:color w:val="E67E22"/>
                <w:sz w:val="18"/>
                <w:szCs w:val="18"/>
              </w:rPr>
              <w:t xml:space="preserve">Examiners reading the implementation chapter will find a contradiction with the design claims. The signature differentiator of the system (ElevenLabs-powered narration) may not actually be active in the tested build.</w:t>
            </w:r>
          </w:p>
        </w:tc>
        <w:tc>
          <w:tcPr>
            <w:tcW w:type="dxa" w:w="166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54360"/>
                <w:sz w:val="18"/>
                <w:szCs w:val="18"/>
              </w:rPr>
              <w:t xml:space="preserve">Add a clear "Integration Status" note in Section 6.2.2 that distinguishes: (1) expo-speech = always-on fallback, (2) ElevenLabs TTS = active when API key is configured and network is available, (3) ElevenLabs voice cloning = enhancement layer, optional. Present this as intentional resilient architecture rather than leaving readers to infer a contradiction.</w:t>
            </w:r>
          </w:p>
        </w:tc>
      </w:tr>
      <w:tr>
        <w:tc>
          <w:tcPr>
            <w:tcW w:type="dxa" w:w="40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top"/>
          </w:tcPr>
          <w:p>
            <w:pPr>
              <w:spacing w:after="40" w:before="40"/>
            </w:pPr>
            <w:r>
              <w:rPr>
                <w:rFonts w:ascii="Calibri" w:cs="Calibri" w:eastAsia="Calibri" w:hAnsi="Calibri"/>
                <w:b/>
                <w:bCs/>
                <w:color w:val="1A1A1A"/>
                <w:sz w:val="20"/>
                <w:szCs w:val="20"/>
              </w:rPr>
              <w:t xml:space="preserve">7</w:t>
            </w:r>
          </w:p>
        </w:tc>
        <w:tc>
          <w:tcPr>
            <w:tcW w:type="dxa" w:w="200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top"/>
          </w:tcPr>
          <w:p>
            <w:pPr>
              <w:spacing w:after="40" w:before="40"/>
            </w:pPr>
            <w:r>
              <w:rPr>
                <w:rFonts w:ascii="Calibri" w:cs="Calibri" w:eastAsia="Calibri" w:hAnsi="Calibri"/>
                <w:b/>
                <w:bCs/>
                <w:color w:val="1A1A1A"/>
                <w:sz w:val="19"/>
                <w:szCs w:val="19"/>
              </w:rPr>
              <w:t xml:space="preserve">TESTING — Read With Help Feature Not Tested</w:t>
            </w:r>
          </w:p>
        </w:tc>
        <w:tc>
          <w:tcPr>
            <w:tcW w:type="dxa" w:w="90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top"/>
          </w:tcPr>
          <w:p>
            <w:pPr>
              <w:spacing w:after="40" w:before="40"/>
            </w:pPr>
            <w:r>
              <w:rPr>
                <w:rFonts w:ascii="Calibri" w:cs="Calibri" w:eastAsia="Calibri" w:hAnsi="Calibri"/>
                <w:b/>
                <w:bCs/>
                <w:color w:val="E67E22"/>
                <w:sz w:val="18"/>
                <w:szCs w:val="18"/>
              </w:rPr>
              <w:t xml:space="preserve">HIGH</w:t>
            </w:r>
          </w:p>
        </w:tc>
        <w:tc>
          <w:tcPr>
            <w:tcW w:type="dxa" w:w="210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A1A1A"/>
                <w:sz w:val="18"/>
                <w:szCs w:val="18"/>
              </w:rPr>
              <w:t xml:space="preserve">The guidelines evaluate Implementation/Demonstration out of 20 points. Testing must cover the stated objectives. The report explicitly lists "Read with Help (guided read-along with speech recognition)" as a key feature and an objective.</w:t>
            </w:r>
          </w:p>
        </w:tc>
        <w:tc>
          <w:tcPr>
            <w:tcW w:type="dxa" w:w="210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A1A1A"/>
                <w:sz w:val="18"/>
                <w:szCs w:val="18"/>
              </w:rPr>
              <w:t xml:space="preserve">Section 1.7 acknowledges that Read with Help "requires a native application build via EAS and is not active within the Expo Go development environment." Section 7.4 confirms all functional testing was conducted "using the Expo Go environment." Therefore, the speech recognition feature — a headline capability — was never tested in either functional or usability testing.</w:t>
            </w:r>
          </w:p>
        </w:tc>
        <w:tc>
          <w:tcPr>
            <w:tcW w:type="dxa" w:w="130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top"/>
          </w:tcPr>
          <w:p>
            <w:pPr>
              <w:spacing w:after="40" w:before="40"/>
            </w:pPr>
            <w:r>
              <w:rPr>
                <w:rFonts w:ascii="Calibri" w:cs="Calibri" w:eastAsia="Calibri" w:hAnsi="Calibri"/>
                <w:b/>
                <w:bCs/>
                <w:color w:val="E67E22"/>
                <w:sz w:val="18"/>
                <w:szCs w:val="18"/>
              </w:rPr>
              <w:t xml:space="preserve">An untested feature that is listed as a core objective directly undermines the Implementation/Demo score. Examiners will ask about this during oral examination.</w:t>
            </w:r>
          </w:p>
        </w:tc>
        <w:tc>
          <w:tcPr>
            <w:tcW w:type="dxa" w:w="166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54360"/>
                <w:sz w:val="18"/>
                <w:szCs w:val="18"/>
              </w:rPr>
              <w:t xml:space="preserve">Either: (a) Generate a native EAS build, test the feature, and document results before submission; or (b) Include an explicit "Feature Status" table in Chapter 7 that honestly categorizes features as Tested-in-Expo-Go, Tested-in-Native-Build, Architecture-Only, or Planned. Acknowledge it as a known limitation and explain why it does not undermine the architectural contribution of the narration pipeline.</w:t>
            </w:r>
          </w:p>
        </w:tc>
      </w:tr>
      <w:tr>
        <w:tc>
          <w:tcPr>
            <w:tcW w:type="dxa" w:w="40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top"/>
          </w:tcPr>
          <w:p>
            <w:pPr>
              <w:spacing w:after="40" w:before="40"/>
            </w:pPr>
            <w:r>
              <w:rPr>
                <w:rFonts w:ascii="Calibri" w:cs="Calibri" w:eastAsia="Calibri" w:hAnsi="Calibri"/>
                <w:b/>
                <w:bCs/>
                <w:color w:val="1A1A1A"/>
                <w:sz w:val="20"/>
                <w:szCs w:val="20"/>
              </w:rPr>
              <w:t xml:space="preserve">8</w:t>
            </w:r>
          </w:p>
        </w:tc>
        <w:tc>
          <w:tcPr>
            <w:tcW w:type="dxa" w:w="200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top"/>
          </w:tcPr>
          <w:p>
            <w:pPr>
              <w:spacing w:after="40" w:before="40"/>
            </w:pPr>
            <w:r>
              <w:rPr>
                <w:rFonts w:ascii="Calibri" w:cs="Calibri" w:eastAsia="Calibri" w:hAnsi="Calibri"/>
                <w:b/>
                <w:bCs/>
                <w:color w:val="1A1A1A"/>
                <w:sz w:val="19"/>
                <w:szCs w:val="19"/>
              </w:rPr>
              <w:t xml:space="preserve">TESTING — Sample Size Critically Small, No Formal Protocol</w:t>
            </w:r>
          </w:p>
        </w:tc>
        <w:tc>
          <w:tcPr>
            <w:tcW w:type="dxa" w:w="90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top"/>
          </w:tcPr>
          <w:p>
            <w:pPr>
              <w:spacing w:after="40" w:before="40"/>
            </w:pPr>
            <w:r>
              <w:rPr>
                <w:rFonts w:ascii="Calibri" w:cs="Calibri" w:eastAsia="Calibri" w:hAnsi="Calibri"/>
                <w:b/>
                <w:bCs/>
                <w:color w:val="E67E22"/>
                <w:sz w:val="18"/>
                <w:szCs w:val="18"/>
              </w:rPr>
              <w:t xml:space="preserve">HIGH</w:t>
            </w:r>
          </w:p>
        </w:tc>
        <w:tc>
          <w:tcPr>
            <w:tcW w:type="dxa" w:w="210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A1A1A"/>
                <w:sz w:val="18"/>
                <w:szCs w:val="18"/>
              </w:rPr>
              <w:t xml:space="preserve">Guidelines assess Analysis and Design (7 items × 4 pts = /28). Testing methodology must demonstrate rigor. Section 7.6 of the report presents usability as a validation mechanism for the system.</w:t>
            </w:r>
          </w:p>
        </w:tc>
        <w:tc>
          <w:tcPr>
            <w:tcW w:type="dxa" w:w="210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A1A1A"/>
                <w:sz w:val="18"/>
                <w:szCs w:val="18"/>
              </w:rPr>
              <w:t xml:space="preserve">Usability testing involved exactly 3 children (ages 5–7) and 3 adults. Results are presented as binary Y/N observations with no statistical measures, inter-rater reliability, or control conditions. The functional testing table (Table 7.2) has only 6 test cases for an application with 8+ functional requirements. Unit testing is mentioned in Section 7.2 but no unit test results, code, or counts are presented anywhere.</w:t>
            </w:r>
          </w:p>
        </w:tc>
        <w:tc>
          <w:tcPr>
            <w:tcW w:type="dxa" w:w="130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top"/>
          </w:tcPr>
          <w:p>
            <w:pPr>
              <w:spacing w:after="40" w:before="40"/>
            </w:pPr>
            <w:r>
              <w:rPr>
                <w:rFonts w:ascii="Calibri" w:cs="Calibri" w:eastAsia="Calibri" w:hAnsi="Calibri"/>
                <w:b/>
                <w:bCs/>
                <w:color w:val="E67E22"/>
                <w:sz w:val="18"/>
                <w:szCs w:val="18"/>
              </w:rPr>
              <w:t xml:space="preserve">A grader will note that n=6 total participants is insufficient to draw any meaningful conclusions. The absence of unit test output is a gap in technical evidence.</w:t>
            </w:r>
          </w:p>
        </w:tc>
        <w:tc>
          <w:tcPr>
            <w:tcW w:type="dxa" w:w="166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54360"/>
                <w:sz w:val="18"/>
                <w:szCs w:val="18"/>
              </w:rPr>
              <w:t xml:space="preserve">Add to Chapter 7: (1) A unit testing results summary table — even listing which functions were unit tested and pass/fail counts from Jest; (2) Expand functional test cases to map 1:1 with every functional requirement in Chapter 4; (3) In the usability section, frame explicitly as "pilot observational study" and cite appropriate literature on small-n observational methods in HCI.</w:t>
            </w:r>
          </w:p>
        </w:tc>
      </w:tr>
      <w:tr>
        <w:tc>
          <w:tcPr>
            <w:tcW w:type="dxa" w:w="4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top"/>
          </w:tcPr>
          <w:p>
            <w:pPr>
              <w:spacing w:after="40" w:before="40"/>
            </w:pPr>
            <w:r>
              <w:rPr>
                <w:rFonts w:ascii="Calibri" w:cs="Calibri" w:eastAsia="Calibri" w:hAnsi="Calibri"/>
                <w:b/>
                <w:bCs/>
                <w:color w:val="1A1A1A"/>
                <w:sz w:val="20"/>
                <w:szCs w:val="20"/>
              </w:rPr>
              <w:t xml:space="preserve">9</w:t>
            </w:r>
          </w:p>
        </w:tc>
        <w:tc>
          <w:tcPr>
            <w:tcW w:type="dxa" w:w="20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top"/>
          </w:tcPr>
          <w:p>
            <w:pPr>
              <w:spacing w:after="40" w:before="40"/>
            </w:pPr>
            <w:r>
              <w:rPr>
                <w:rFonts w:ascii="Calibri" w:cs="Calibri" w:eastAsia="Calibri" w:hAnsi="Calibri"/>
                <w:b/>
                <w:bCs/>
                <w:color w:val="1A1A1A"/>
                <w:sz w:val="19"/>
                <w:szCs w:val="19"/>
              </w:rPr>
              <w:t xml:space="preserve">LITERATURE REVIEW — Narrow Scope</w:t>
            </w:r>
          </w:p>
        </w:tc>
        <w:tc>
          <w:tcPr>
            <w:tcW w:type="dxa" w:w="9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top"/>
          </w:tcPr>
          <w:p>
            <w:pPr>
              <w:spacing w:after="40" w:before="40"/>
            </w:pPr>
            <w:r>
              <w:rPr>
                <w:rFonts w:ascii="Calibri" w:cs="Calibri" w:eastAsia="Calibri" w:hAnsi="Calibri"/>
                <w:b/>
                <w:bCs/>
                <w:color w:val="7D6608"/>
                <w:sz w:val="18"/>
                <w:szCs w:val="18"/>
              </w:rPr>
              <w:t xml:space="preserve">MEDIUM</w:t>
            </w:r>
          </w:p>
        </w:tc>
        <w:tc>
          <w:tcPr>
            <w:tcW w:type="dxa" w:w="21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A1A1A"/>
                <w:sz w:val="18"/>
                <w:szCs w:val="18"/>
              </w:rPr>
              <w:t xml:space="preserve">Guidelines require: "Detailed study of existing systems and their limitations. Surveyed papers are comprehensive to the problem and cover recent developments. An overview analysis for the previous solutions is well identified."</w:t>
            </w:r>
          </w:p>
        </w:tc>
        <w:tc>
          <w:tcPr>
            <w:tcW w:type="dxa" w:w="21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A1A1A"/>
                <w:sz w:val="18"/>
                <w:szCs w:val="18"/>
              </w:rPr>
              <w:t xml:space="preserve">The literature review (Chapter 2, ~5 pages) covers only TTS naturalness and expressiveness. It does not review: (1) educational technology / literacy apps for children; (2) HCI design for child-facing interfaces; (3) privacy frameworks for apps used by minors (COPPA, GDPR-K); (4) mobile offline-first architectures. Only 12 references appear in the bibliography, and of those, most are 2024–2025 arXiv preprints with no peer-reviewed journal articles in the broader domain.</w:t>
            </w:r>
          </w:p>
        </w:tc>
        <w:tc>
          <w:tcPr>
            <w:tcW w:type="dxa" w:w="13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top"/>
          </w:tcPr>
          <w:p>
            <w:pPr>
              <w:spacing w:after="40" w:before="40"/>
            </w:pPr>
            <w:r>
              <w:rPr>
                <w:rFonts w:ascii="Calibri" w:cs="Calibri" w:eastAsia="Calibri" w:hAnsi="Calibri"/>
                <w:b/>
                <w:bCs/>
                <w:color w:val="7D6608"/>
                <w:sz w:val="18"/>
                <w:szCs w:val="18"/>
              </w:rPr>
              <w:t xml:space="preserve">Literature Review rubric: /12 (3 criteria × 4 pts). A narrow review that ignores the HCI, educational technology, and privacy sub-fields will score 2–3/4 on most criteria.</w:t>
            </w:r>
          </w:p>
        </w:tc>
        <w:tc>
          <w:tcPr>
            <w:tcW w:type="dxa" w:w="166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54360"/>
                <w:sz w:val="18"/>
                <w:szCs w:val="18"/>
              </w:rPr>
              <w:t xml:space="preserve">Add a second subsection to Chapter 2 covering: (1) 3–4 papers on child-computer interaction design principles; (2) 2–3 papers on literacy app effectiveness; (3) 1–2 papers on privacy-by-design in children's apps. This expands your review to address the interdisciplinary nature of your project and directly addresses the "comprehensive to the problem" criterion.</w:t>
            </w:r>
          </w:p>
        </w:tc>
      </w:tr>
      <w:tr>
        <w:tc>
          <w:tcPr>
            <w:tcW w:type="dxa" w:w="4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top"/>
          </w:tcPr>
          <w:p>
            <w:pPr>
              <w:spacing w:after="40" w:before="40"/>
            </w:pPr>
            <w:r>
              <w:rPr>
                <w:rFonts w:ascii="Calibri" w:cs="Calibri" w:eastAsia="Calibri" w:hAnsi="Calibri"/>
                <w:b/>
                <w:bCs/>
                <w:color w:val="1A1A1A"/>
                <w:sz w:val="20"/>
                <w:szCs w:val="20"/>
              </w:rPr>
              <w:t xml:space="preserve">10</w:t>
            </w:r>
          </w:p>
        </w:tc>
        <w:tc>
          <w:tcPr>
            <w:tcW w:type="dxa" w:w="20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top"/>
          </w:tcPr>
          <w:p>
            <w:pPr>
              <w:spacing w:after="40" w:before="40"/>
            </w:pPr>
            <w:r>
              <w:rPr>
                <w:rFonts w:ascii="Calibri" w:cs="Calibri" w:eastAsia="Calibri" w:hAnsi="Calibri"/>
                <w:b/>
                <w:bCs/>
                <w:color w:val="1A1A1A"/>
                <w:sz w:val="19"/>
                <w:szCs w:val="19"/>
              </w:rPr>
              <w:t xml:space="preserve">CONCLUSION — Informal Tone and Disconnected from Results</w:t>
            </w:r>
          </w:p>
        </w:tc>
        <w:tc>
          <w:tcPr>
            <w:tcW w:type="dxa" w:w="9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top"/>
          </w:tcPr>
          <w:p>
            <w:pPr>
              <w:spacing w:after="40" w:before="40"/>
            </w:pPr>
            <w:r>
              <w:rPr>
                <w:rFonts w:ascii="Calibri" w:cs="Calibri" w:eastAsia="Calibri" w:hAnsi="Calibri"/>
                <w:b/>
                <w:bCs/>
                <w:color w:val="7D6608"/>
                <w:sz w:val="18"/>
                <w:szCs w:val="18"/>
              </w:rPr>
              <w:t xml:space="preserve">MEDIUM</w:t>
            </w:r>
          </w:p>
        </w:tc>
        <w:tc>
          <w:tcPr>
            <w:tcW w:type="dxa" w:w="21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A1A1A"/>
                <w:sz w:val="18"/>
                <w:szCs w:val="18"/>
              </w:rPr>
              <w:t xml:space="preserve">"Conclusions and recommendations were clear and drawn from findings." (Presentation and Report rubrics both require this.)</w:t>
            </w:r>
          </w:p>
        </w:tc>
        <w:tc>
          <w:tcPr>
            <w:tcW w:type="dxa" w:w="21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A1A1A"/>
                <w:sz w:val="18"/>
                <w:szCs w:val="18"/>
              </w:rPr>
              <w:t xml:space="preserve">Chapter 8 is approximately 1.5 pages. It uses informal phrasing throughout ("Another important step would be...", "One possible direction is...", "it opens up several directions"). The conclusion re-states the introduction rather than synthesizing findings from Chapters 7. It does not reference the testing results tables, the specific Y/N outcomes, or what the observational data revealed.</w:t>
            </w:r>
          </w:p>
        </w:tc>
        <w:tc>
          <w:tcPr>
            <w:tcW w:type="dxa" w:w="13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top"/>
          </w:tcPr>
          <w:p>
            <w:pPr>
              <w:spacing w:after="40" w:before="40"/>
            </w:pPr>
            <w:r>
              <w:rPr>
                <w:rFonts w:ascii="Calibri" w:cs="Calibri" w:eastAsia="Calibri" w:hAnsi="Calibri"/>
                <w:b/>
                <w:bCs/>
                <w:color w:val="7D6608"/>
                <w:sz w:val="18"/>
                <w:szCs w:val="18"/>
              </w:rPr>
              <w:t xml:space="preserve">Penalized under Content and Organization (presentation rubric) and Written Communication Skill (report rubric). A conclusion that does not cite its own testing results appears to have been written before the testing chapter.</w:t>
            </w:r>
          </w:p>
        </w:tc>
        <w:tc>
          <w:tcPr>
            <w:tcW w:type="dxa" w:w="166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54360"/>
                <w:sz w:val="18"/>
                <w:szCs w:val="18"/>
              </w:rPr>
              <w:t xml:space="preserve">Rewrite conclusion to: (1) Summarize what the testing results (Tables 7.2, 7.3, child/parent observation tables) specifically showed; (2) State clearly which research objectives were fully met, partially met, or deferred; (3) Frame future work as a numbered roadmap (Phase 2: speech recognition native testing; Phase 3: cloud sync + multi-device; Phase 4: formal comparative study) rather than vague "could be done" statements.</w:t>
            </w:r>
          </w:p>
        </w:tc>
      </w:tr>
      <w:tr>
        <w:tc>
          <w:tcPr>
            <w:tcW w:type="dxa" w:w="4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top"/>
          </w:tcPr>
          <w:p>
            <w:pPr>
              <w:spacing w:after="40" w:before="40"/>
            </w:pPr>
            <w:r>
              <w:rPr>
                <w:rFonts w:ascii="Calibri" w:cs="Calibri" w:eastAsia="Calibri" w:hAnsi="Calibri"/>
                <w:b/>
                <w:bCs/>
                <w:color w:val="1A1A1A"/>
                <w:sz w:val="20"/>
                <w:szCs w:val="20"/>
              </w:rPr>
              <w:t xml:space="preserve">11</w:t>
            </w:r>
          </w:p>
        </w:tc>
        <w:tc>
          <w:tcPr>
            <w:tcW w:type="dxa" w:w="20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top"/>
          </w:tcPr>
          <w:p>
            <w:pPr>
              <w:spacing w:after="40" w:before="40"/>
            </w:pPr>
            <w:r>
              <w:rPr>
                <w:rFonts w:ascii="Calibri" w:cs="Calibri" w:eastAsia="Calibri" w:hAnsi="Calibri"/>
                <w:b/>
                <w:bCs/>
                <w:color w:val="1A1A1A"/>
                <w:sz w:val="19"/>
                <w:szCs w:val="19"/>
              </w:rPr>
              <w:t xml:space="preserve">TYPOS AND GRAMMAR — Multiple Recurring Errors</w:t>
            </w:r>
          </w:p>
        </w:tc>
        <w:tc>
          <w:tcPr>
            <w:tcW w:type="dxa" w:w="9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top"/>
          </w:tcPr>
          <w:p>
            <w:pPr>
              <w:spacing w:after="40" w:before="40"/>
            </w:pPr>
            <w:r>
              <w:rPr>
                <w:rFonts w:ascii="Calibri" w:cs="Calibri" w:eastAsia="Calibri" w:hAnsi="Calibri"/>
                <w:b/>
                <w:bCs/>
                <w:color w:val="7D6608"/>
                <w:sz w:val="18"/>
                <w:szCs w:val="18"/>
              </w:rPr>
              <w:t xml:space="preserve">MEDIUM</w:t>
            </w:r>
          </w:p>
        </w:tc>
        <w:tc>
          <w:tcPr>
            <w:tcW w:type="dxa" w:w="21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A1A1A"/>
                <w:sz w:val="18"/>
                <w:szCs w:val="18"/>
              </w:rPr>
              <w:t xml:space="preserve">Guidelines assess Written Communication Skill including grammar, spelling, and professional presentation. This is worth /24 in the report rubric.</w:t>
            </w:r>
          </w:p>
        </w:tc>
        <w:tc>
          <w:tcPr>
            <w:tcW w:type="dxa" w:w="21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A1A1A"/>
                <w:sz w:val="18"/>
                <w:szCs w:val="18"/>
              </w:rPr>
              <w:t xml:space="preserve">The following errors appear multiple times: "enviroment" (should be "environment") — appears at least 4 times in Chapter 7; "knowleged" (should be "acknowledged"); double colon "::" in Section 6.9.8; "only only" in Section 6.7.4; incomplete sentence fragment in the abstract; "suchh" in the conclusion; "verifiess" in Section 7.5.</w:t>
            </w:r>
          </w:p>
        </w:tc>
        <w:tc>
          <w:tcPr>
            <w:tcW w:type="dxa" w:w="13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top"/>
          </w:tcPr>
          <w:p>
            <w:pPr>
              <w:spacing w:after="40" w:before="40"/>
            </w:pPr>
            <w:r>
              <w:rPr>
                <w:rFonts w:ascii="Calibri" w:cs="Calibri" w:eastAsia="Calibri" w:hAnsi="Calibri"/>
                <w:b/>
                <w:bCs/>
                <w:color w:val="7D6608"/>
                <w:sz w:val="18"/>
                <w:szCs w:val="18"/>
              </w:rPr>
              <w:t xml:space="preserve">Each category of Written Communication criterion can be scored as low as 1/4. Multiple recurring typos are a sign the document was not proofread.</w:t>
            </w:r>
          </w:p>
        </w:tc>
        <w:tc>
          <w:tcPr>
            <w:tcW w:type="dxa" w:w="166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54360"/>
                <w:sz w:val="18"/>
                <w:szCs w:val="18"/>
              </w:rPr>
              <w:t xml:space="preserve">Run the document through a grammar checker (Grammarly or equivalent). Do a ctrl+F search for the specific words identified above. Pay particular attention to Chapter 7 which has the highest density of errors. Ask a peer to proofread a physical printout before submission.</w:t>
            </w:r>
          </w:p>
        </w:tc>
      </w:tr>
      <w:tr>
        <w:tc>
          <w:tcPr>
            <w:tcW w:type="dxa" w:w="4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top"/>
          </w:tcPr>
          <w:p>
            <w:pPr>
              <w:spacing w:after="40" w:before="40"/>
            </w:pPr>
            <w:r>
              <w:rPr>
                <w:rFonts w:ascii="Calibri" w:cs="Calibri" w:eastAsia="Calibri" w:hAnsi="Calibri"/>
                <w:b/>
                <w:bCs/>
                <w:color w:val="1A1A1A"/>
                <w:sz w:val="20"/>
                <w:szCs w:val="20"/>
              </w:rPr>
              <w:t xml:space="preserve">12</w:t>
            </w:r>
          </w:p>
        </w:tc>
        <w:tc>
          <w:tcPr>
            <w:tcW w:type="dxa" w:w="20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top"/>
          </w:tcPr>
          <w:p>
            <w:pPr>
              <w:spacing w:after="40" w:before="40"/>
            </w:pPr>
            <w:r>
              <w:rPr>
                <w:rFonts w:ascii="Calibri" w:cs="Calibri" w:eastAsia="Calibri" w:hAnsi="Calibri"/>
                <w:b/>
                <w:bCs/>
                <w:color w:val="1A1A1A"/>
                <w:sz w:val="19"/>
                <w:szCs w:val="19"/>
              </w:rPr>
              <w:t xml:space="preserve">METHODOLOGY — "Planned and Deferred" Features Understated</w:t>
            </w:r>
          </w:p>
        </w:tc>
        <w:tc>
          <w:tcPr>
            <w:tcW w:type="dxa" w:w="9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top"/>
          </w:tcPr>
          <w:p>
            <w:pPr>
              <w:spacing w:after="40" w:before="40"/>
            </w:pPr>
            <w:r>
              <w:rPr>
                <w:rFonts w:ascii="Calibri" w:cs="Calibri" w:eastAsia="Calibri" w:hAnsi="Calibri"/>
                <w:b/>
                <w:bCs/>
                <w:color w:val="7D6608"/>
                <w:sz w:val="18"/>
                <w:szCs w:val="18"/>
              </w:rPr>
              <w:t xml:space="preserve">MEDIUM</w:t>
            </w:r>
          </w:p>
        </w:tc>
        <w:tc>
          <w:tcPr>
            <w:tcW w:type="dxa" w:w="21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A1A1A"/>
                <w:sz w:val="18"/>
                <w:szCs w:val="18"/>
              </w:rPr>
              <w:t xml:space="preserve">"Project methodology is clearly discussed. Project Plan is well defined." Methodology rubric: /8 (2 criteria × 4 pts).</w:t>
            </w:r>
          </w:p>
        </w:tc>
        <w:tc>
          <w:tcPr>
            <w:tcW w:type="dxa" w:w="21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A1A1A"/>
                <w:sz w:val="18"/>
                <w:szCs w:val="18"/>
              </w:rPr>
              <w:t xml:space="preserve">Section 3.1.4 is titled "Stage 4: Planned and Deferred Components" but its actual content (what was deferred and why) is not developed in the visible text of the methodology chapter. The project plan table (Table 1.1) shows Phase III as "Mar–Apr 2026" for system enhancement, but it is unclear whether those enhancements were completed or remain deferred.</w:t>
            </w:r>
          </w:p>
        </w:tc>
        <w:tc>
          <w:tcPr>
            <w:tcW w:type="dxa" w:w="13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top"/>
          </w:tcPr>
          <w:p>
            <w:pPr>
              <w:spacing w:after="40" w:before="40"/>
            </w:pPr>
            <w:r>
              <w:rPr>
                <w:rFonts w:ascii="Calibri" w:cs="Calibri" w:eastAsia="Calibri" w:hAnsi="Calibri"/>
                <w:b/>
                <w:bCs/>
                <w:color w:val="7D6608"/>
                <w:sz w:val="18"/>
                <w:szCs w:val="18"/>
              </w:rPr>
              <w:t xml:space="preserve">An examiner will ask directly: "What was deferred and why?" If you cannot point to a specific documented answer in the report, this reflects poor planning documentation.</w:t>
            </w:r>
          </w:p>
        </w:tc>
        <w:tc>
          <w:tcPr>
            <w:tcW w:type="dxa" w:w="166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54360"/>
                <w:sz w:val="18"/>
                <w:szCs w:val="18"/>
              </w:rPr>
              <w:t xml:space="preserve">Add a "Feature Completion Status" table in the methodology or conclusion chapter with columns: Feature, Planned Completion, Actual Status, Reason for Deferral/Completion. Be specific: "ElevenLabs voice cloning — Implemented at API call level; requires active API key at runtime — architecture complete, runtime dependency noted."</w:t>
            </w:r>
          </w:p>
        </w:tc>
      </w:tr>
      <w:tr>
        <w:tc>
          <w:tcPr>
            <w:tcW w:type="dxa" w:w="4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top"/>
          </w:tcPr>
          <w:p>
            <w:pPr>
              <w:spacing w:after="40" w:before="40"/>
            </w:pPr>
            <w:r>
              <w:rPr>
                <w:rFonts w:ascii="Calibri" w:cs="Calibri" w:eastAsia="Calibri" w:hAnsi="Calibri"/>
                <w:b/>
                <w:bCs/>
                <w:color w:val="1A1A1A"/>
                <w:sz w:val="20"/>
                <w:szCs w:val="20"/>
              </w:rPr>
              <w:t xml:space="preserve">13</w:t>
            </w:r>
          </w:p>
        </w:tc>
        <w:tc>
          <w:tcPr>
            <w:tcW w:type="dxa" w:w="20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top"/>
          </w:tcPr>
          <w:p>
            <w:pPr>
              <w:spacing w:after="40" w:before="40"/>
            </w:pPr>
            <w:r>
              <w:rPr>
                <w:rFonts w:ascii="Calibri" w:cs="Calibri" w:eastAsia="Calibri" w:hAnsi="Calibri"/>
                <w:b/>
                <w:bCs/>
                <w:color w:val="1A1A1A"/>
                <w:sz w:val="19"/>
                <w:szCs w:val="19"/>
              </w:rPr>
              <w:t xml:space="preserve">APPENDICES — Missing</w:t>
            </w:r>
          </w:p>
        </w:tc>
        <w:tc>
          <w:tcPr>
            <w:tcW w:type="dxa" w:w="9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top"/>
          </w:tcPr>
          <w:p>
            <w:pPr>
              <w:spacing w:after="40" w:before="40"/>
            </w:pPr>
            <w:r>
              <w:rPr>
                <w:rFonts w:ascii="Calibri" w:cs="Calibri" w:eastAsia="Calibri" w:hAnsi="Calibri"/>
                <w:b/>
                <w:bCs/>
                <w:color w:val="7D6608"/>
                <w:sz w:val="18"/>
                <w:szCs w:val="18"/>
              </w:rPr>
              <w:t xml:space="preserve">MEDIUM</w:t>
            </w:r>
          </w:p>
        </w:tc>
        <w:tc>
          <w:tcPr>
            <w:tcW w:type="dxa" w:w="21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A1A1A"/>
                <w:sz w:val="18"/>
                <w:szCs w:val="18"/>
              </w:rPr>
              <w:t xml:space="preserve">Guidelines list "Appendices to the Project" as a required section. Strong reports include: source code samples, testing scripts, consent forms, API documentation, UML diagrams in full.</w:t>
            </w:r>
          </w:p>
        </w:tc>
        <w:tc>
          <w:tcPr>
            <w:tcW w:type="dxa" w:w="21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A1A1A"/>
                <w:sz w:val="18"/>
                <w:szCs w:val="18"/>
              </w:rPr>
              <w:t xml:space="preserve">The report has no appendices section whatsoever. The report references code (Listing 6.1, JWT token generation) but includes only one snippet. There are no appendices for: ethics consent form, full API endpoint table, unit test scripts, or EAS build configuration.</w:t>
            </w:r>
          </w:p>
        </w:tc>
        <w:tc>
          <w:tcPr>
            <w:tcW w:type="dxa" w:w="13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top"/>
          </w:tcPr>
          <w:p>
            <w:pPr>
              <w:spacing w:after="40" w:before="40"/>
            </w:pPr>
            <w:r>
              <w:rPr>
                <w:rFonts w:ascii="Calibri" w:cs="Calibri" w:eastAsia="Calibri" w:hAnsi="Calibri"/>
                <w:b/>
                <w:bCs/>
                <w:color w:val="7D6608"/>
                <w:sz w:val="18"/>
                <w:szCs w:val="18"/>
              </w:rPr>
              <w:t xml:space="preserve">A missing appendices section is a structural gap per the required section list in the guidelines.</w:t>
            </w:r>
          </w:p>
        </w:tc>
        <w:tc>
          <w:tcPr>
            <w:tcW w:type="dxa" w:w="166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54360"/>
                <w:sz w:val="18"/>
                <w:szCs w:val="18"/>
              </w:rPr>
              <w:t xml:space="preserve">Add appendices: Appendix A — Ethics approval/consent form (or formal acknowledgment of ethics compliance); Appendix B — Full API endpoint reference table; Appendix C — Selected unit test cases and Jest output; Appendix D — EAS build configuration excerpt.</w:t>
            </w:r>
          </w:p>
        </w:tc>
      </w:tr>
      <w:tr>
        <w:tc>
          <w:tcPr>
            <w:tcW w:type="dxa" w:w="4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top"/>
          </w:tcPr>
          <w:p>
            <w:pPr>
              <w:spacing w:after="40" w:before="40"/>
            </w:pPr>
            <w:r>
              <w:rPr>
                <w:rFonts w:ascii="Calibri" w:cs="Calibri" w:eastAsia="Calibri" w:hAnsi="Calibri"/>
                <w:b/>
                <w:bCs/>
                <w:color w:val="1A1A1A"/>
                <w:sz w:val="20"/>
                <w:szCs w:val="20"/>
              </w:rPr>
              <w:t xml:space="preserve">14</w:t>
            </w:r>
          </w:p>
        </w:tc>
        <w:tc>
          <w:tcPr>
            <w:tcW w:type="dxa" w:w="20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top"/>
          </w:tcPr>
          <w:p>
            <w:pPr>
              <w:spacing w:after="40" w:before="40"/>
            </w:pPr>
            <w:r>
              <w:rPr>
                <w:rFonts w:ascii="Calibri" w:cs="Calibri" w:eastAsia="Calibri" w:hAnsi="Calibri"/>
                <w:b/>
                <w:bCs/>
                <w:color w:val="1A1A1A"/>
                <w:sz w:val="19"/>
                <w:szCs w:val="19"/>
              </w:rPr>
              <w:t xml:space="preserve">SECURITY — PIN Storage Contradiction (AsyncStorage ≠ SecureStore)</w:t>
            </w:r>
          </w:p>
        </w:tc>
        <w:tc>
          <w:tcPr>
            <w:tcW w:type="dxa" w:w="9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top"/>
          </w:tcPr>
          <w:p>
            <w:pPr>
              <w:spacing w:after="40" w:before="40"/>
            </w:pPr>
            <w:r>
              <w:rPr>
                <w:rFonts w:ascii="Calibri" w:cs="Calibri" w:eastAsia="Calibri" w:hAnsi="Calibri"/>
                <w:b/>
                <w:bCs/>
                <w:color w:val="7D6608"/>
                <w:sz w:val="18"/>
                <w:szCs w:val="18"/>
              </w:rPr>
              <w:t xml:space="preserve">MEDIUM</w:t>
            </w:r>
          </w:p>
        </w:tc>
        <w:tc>
          <w:tcPr>
            <w:tcW w:type="dxa" w:w="21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A1A1A"/>
                <w:sz w:val="18"/>
                <w:szCs w:val="18"/>
              </w:rPr>
              <w:t xml:space="preserve">Functional Requirement FR7 (Privacy &amp; Data Protection) requires secure credential storage. The report states throughout that SecureStore is used.</w:t>
            </w:r>
          </w:p>
        </w:tc>
        <w:tc>
          <w:tcPr>
            <w:tcW w:type="dxa" w:w="21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A1A1A"/>
                <w:sz w:val="18"/>
                <w:szCs w:val="18"/>
              </w:rPr>
              <w:t xml:space="preserve">Section 6.8 explicitly exports the PIN under AsyncStorage key "parentpinv1". Section 6.8.1 then says: "For production deployment, the use of encrypted storage mechanisms (e.g., Expo SecureStore) would be recommended" — treating SecureStore as future work despite the objectives claiming it is already implemented.</w:t>
            </w:r>
          </w:p>
        </w:tc>
        <w:tc>
          <w:tcPr>
            <w:tcW w:type="dxa" w:w="13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top"/>
          </w:tcPr>
          <w:p>
            <w:pPr>
              <w:spacing w:after="40" w:before="40"/>
            </w:pPr>
            <w:r>
              <w:rPr>
                <w:rFonts w:ascii="Calibri" w:cs="Calibri" w:eastAsia="Calibri" w:hAnsi="Calibri"/>
                <w:b/>
                <w:bCs/>
                <w:color w:val="7D6608"/>
                <w:sz w:val="18"/>
                <w:szCs w:val="18"/>
              </w:rPr>
              <w:t xml:space="preserve">Examiner will catch this as a direct gap between requirements and implementation, impacting the Implementation rubric.</w:t>
            </w:r>
          </w:p>
        </w:tc>
        <w:tc>
          <w:tcPr>
            <w:tcW w:type="dxa" w:w="166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54360"/>
                <w:sz w:val="18"/>
                <w:szCs w:val="18"/>
              </w:rPr>
              <w:t xml:space="preserve">Replace AsyncStorage with expo-secure-store for the PIN key. The API is nearly identical. If time does not permit, explicitly document this as a "known security trade-off" in the implementation and update the functional requirement from "uses SecureStore" to "designed for SecureStore migration." Do not leave an objective claiming SecureStore when the code uses AsyncStorage.</w:t>
            </w:r>
          </w:p>
        </w:tc>
      </w:tr>
      <w:tr>
        <w:tc>
          <w:tcPr>
            <w:tcW w:type="dxa" w:w="4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top"/>
          </w:tcPr>
          <w:p>
            <w:pPr>
              <w:spacing w:after="40" w:before="40"/>
            </w:pPr>
            <w:r>
              <w:rPr>
                <w:rFonts w:ascii="Calibri" w:cs="Calibri" w:eastAsia="Calibri" w:hAnsi="Calibri"/>
                <w:b/>
                <w:bCs/>
                <w:color w:val="1A1A1A"/>
                <w:sz w:val="20"/>
                <w:szCs w:val="20"/>
              </w:rPr>
              <w:t xml:space="preserve">15</w:t>
            </w:r>
          </w:p>
        </w:tc>
        <w:tc>
          <w:tcPr>
            <w:tcW w:type="dxa" w:w="20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top"/>
          </w:tcPr>
          <w:p>
            <w:pPr>
              <w:spacing w:after="40" w:before="40"/>
            </w:pPr>
            <w:r>
              <w:rPr>
                <w:rFonts w:ascii="Calibri" w:cs="Calibri" w:eastAsia="Calibri" w:hAnsi="Calibri"/>
                <w:b/>
                <w:bCs/>
                <w:color w:val="1A1A1A"/>
                <w:sz w:val="19"/>
                <w:szCs w:val="19"/>
              </w:rPr>
              <w:t xml:space="preserve">RESEARCH QUESTION — Weak and Engineering-Misaligned</w:t>
            </w:r>
          </w:p>
        </w:tc>
        <w:tc>
          <w:tcPr>
            <w:tcW w:type="dxa" w:w="9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top"/>
          </w:tcPr>
          <w:p>
            <w:pPr>
              <w:spacing w:after="40" w:before="40"/>
            </w:pPr>
            <w:r>
              <w:rPr>
                <w:rFonts w:ascii="Calibri" w:cs="Calibri" w:eastAsia="Calibri" w:hAnsi="Calibri"/>
                <w:b/>
                <w:bCs/>
                <w:color w:val="7D6608"/>
                <w:sz w:val="18"/>
                <w:szCs w:val="18"/>
              </w:rPr>
              <w:t xml:space="preserve">MEDIUM</w:t>
            </w:r>
          </w:p>
        </w:tc>
        <w:tc>
          <w:tcPr>
            <w:tcW w:type="dxa" w:w="21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A1A1A"/>
                <w:sz w:val="18"/>
                <w:szCs w:val="18"/>
              </w:rPr>
              <w:t xml:space="preserve">Proposal rubric requires: "Identification of Problem in the Domain" (/5) and "Objectives of the Proposed Work" (/5). Research questions should be answerable through the work conducted.</w:t>
            </w:r>
          </w:p>
        </w:tc>
        <w:tc>
          <w:tcPr>
            <w:tcW w:type="dxa" w:w="21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A1A1A"/>
                <w:sz w:val="18"/>
                <w:szCs w:val="18"/>
              </w:rPr>
              <w:t xml:space="preserve">The research question in Section 1.5.2 is: "How can a dual-mode narration architecture be engineered to accommodate human-recorded, AI-generated, and voice-cloned audio within a single unified playback pipeline...?" This is a design question, not a research question — and it is answered by the architecture itself, not by testing. The observational study with children does not generate data that answers this question.</w:t>
            </w:r>
          </w:p>
        </w:tc>
        <w:tc>
          <w:tcPr>
            <w:tcW w:type="dxa" w:w="13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top"/>
          </w:tcPr>
          <w:p>
            <w:pPr>
              <w:spacing w:after="40" w:before="40"/>
            </w:pPr>
            <w:r>
              <w:rPr>
                <w:rFonts w:ascii="Calibri" w:cs="Calibri" w:eastAsia="Calibri" w:hAnsi="Calibri"/>
                <w:b/>
                <w:bCs/>
                <w:color w:val="7D6608"/>
                <w:sz w:val="18"/>
                <w:szCs w:val="18"/>
              </w:rPr>
              <w:t xml:space="preserve">The mismatch between research question and study design creates an internal logic gap that examiners will probe during oral examination.</w:t>
            </w:r>
          </w:p>
        </w:tc>
        <w:tc>
          <w:tcPr>
            <w:tcW w:type="dxa" w:w="166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54360"/>
                <w:sz w:val="18"/>
                <w:szCs w:val="18"/>
              </w:rPr>
              <w:t xml:space="preserve">Revise the research question to better align with what the project actually does: "What architectural design decisions are required to implement a privacy-preserving, offline-capable dual-mode narration system for child-facing mobile applications, and how effectively does the resulting prototype meet its functional requirements under observational validation?" This is answerable directly from Chapters 6 and 7.</w:t>
            </w:r>
          </w:p>
        </w:tc>
      </w:tr>
      <w:tr>
        <w:tc>
          <w:tcPr>
            <w:tcW w:type="dxa" w:w="400"/>
            <w:tcBorders>
              <w:top w:val="single" w:color="AEB6BF" w:sz="4"/>
              <w:left w:val="single" w:color="AEB6BF" w:sz="4"/>
              <w:bottom w:val="single" w:color="AEB6BF" w:sz="4"/>
              <w:right w:val="single" w:color="AEB6BF" w:sz="4"/>
            </w:tcBorders>
            <w:shd w:fill="D5F5E3" w:val="clear"/>
            <w:tcMar>
              <w:top w:type="dxa" w:w="100"/>
              <w:left w:type="dxa" w:w="140"/>
              <w:bottom w:type="dxa" w:w="100"/>
              <w:right w:type="dxa" w:w="140"/>
            </w:tcMar>
            <w:vAlign w:val="top"/>
          </w:tcPr>
          <w:p>
            <w:pPr>
              <w:spacing w:after="40" w:before="40"/>
            </w:pPr>
            <w:r>
              <w:rPr>
                <w:rFonts w:ascii="Calibri" w:cs="Calibri" w:eastAsia="Calibri" w:hAnsi="Calibri"/>
                <w:b/>
                <w:bCs/>
                <w:color w:val="1A1A1A"/>
                <w:sz w:val="20"/>
                <w:szCs w:val="20"/>
              </w:rPr>
              <w:t xml:space="preserve">16</w:t>
            </w:r>
          </w:p>
        </w:tc>
        <w:tc>
          <w:tcPr>
            <w:tcW w:type="dxa" w:w="2000"/>
            <w:tcBorders>
              <w:top w:val="single" w:color="AEB6BF" w:sz="4"/>
              <w:left w:val="single" w:color="AEB6BF" w:sz="4"/>
              <w:bottom w:val="single" w:color="AEB6BF" w:sz="4"/>
              <w:right w:val="single" w:color="AEB6BF" w:sz="4"/>
            </w:tcBorders>
            <w:shd w:fill="D5F5E3" w:val="clear"/>
            <w:tcMar>
              <w:top w:type="dxa" w:w="100"/>
              <w:left w:type="dxa" w:w="140"/>
              <w:bottom w:type="dxa" w:w="100"/>
              <w:right w:type="dxa" w:w="140"/>
            </w:tcMar>
            <w:vAlign w:val="top"/>
          </w:tcPr>
          <w:p>
            <w:pPr>
              <w:spacing w:after="40" w:before="40"/>
            </w:pPr>
            <w:r>
              <w:rPr>
                <w:rFonts w:ascii="Calibri" w:cs="Calibri" w:eastAsia="Calibri" w:hAnsi="Calibri"/>
                <w:b/>
                <w:bCs/>
                <w:color w:val="1A1A1A"/>
                <w:sz w:val="19"/>
                <w:szCs w:val="19"/>
              </w:rPr>
              <w:t xml:space="preserve">IEEE CITATION STYLE — Inconsistencies</w:t>
            </w:r>
          </w:p>
        </w:tc>
        <w:tc>
          <w:tcPr>
            <w:tcW w:type="dxa" w:w="900"/>
            <w:tcBorders>
              <w:top w:val="single" w:color="AEB6BF" w:sz="4"/>
              <w:left w:val="single" w:color="AEB6BF" w:sz="4"/>
              <w:bottom w:val="single" w:color="AEB6BF" w:sz="4"/>
              <w:right w:val="single" w:color="AEB6BF" w:sz="4"/>
            </w:tcBorders>
            <w:shd w:fill="D5F5E3" w:val="clear"/>
            <w:tcMar>
              <w:top w:type="dxa" w:w="100"/>
              <w:left w:type="dxa" w:w="140"/>
              <w:bottom w:type="dxa" w:w="100"/>
              <w:right w:type="dxa" w:w="140"/>
            </w:tcMar>
            <w:vAlign w:val="top"/>
          </w:tcPr>
          <w:p>
            <w:pPr>
              <w:spacing w:after="40" w:before="40"/>
            </w:pPr>
            <w:r>
              <w:rPr>
                <w:rFonts w:ascii="Calibri" w:cs="Calibri" w:eastAsia="Calibri" w:hAnsi="Calibri"/>
                <w:b/>
                <w:bCs/>
                <w:color w:val="1B4F72"/>
                <w:sz w:val="18"/>
                <w:szCs w:val="18"/>
              </w:rPr>
              <w:t xml:space="preserve">LOW</w:t>
            </w:r>
          </w:p>
        </w:tc>
        <w:tc>
          <w:tcPr>
            <w:tcW w:type="dxa" w:w="2100"/>
            <w:tcBorders>
              <w:top w:val="single" w:color="AEB6BF" w:sz="4"/>
              <w:left w:val="single" w:color="AEB6BF" w:sz="4"/>
              <w:bottom w:val="single" w:color="AEB6BF" w:sz="4"/>
              <w:right w:val="single" w:color="AEB6BF" w:sz="4"/>
            </w:tcBorders>
            <w:shd w:fill="D5F5E3"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A1A1A"/>
                <w:sz w:val="18"/>
                <w:szCs w:val="18"/>
              </w:rPr>
              <w:t xml:space="preserve">"The most frequently used referencing style used in engineering is IEEE. Citations are numbered [1] in the order of appearance. Each citation number should be enclosed in square brackets on the same line as the text, before any punctuation."</w:t>
            </w:r>
          </w:p>
        </w:tc>
        <w:tc>
          <w:tcPr>
            <w:tcW w:type="dxa" w:w="2100"/>
            <w:tcBorders>
              <w:top w:val="single" w:color="AEB6BF" w:sz="4"/>
              <w:left w:val="single" w:color="AEB6BF" w:sz="4"/>
              <w:bottom w:val="single" w:color="AEB6BF" w:sz="4"/>
              <w:right w:val="single" w:color="AEB6BF" w:sz="4"/>
            </w:tcBorders>
            <w:shd w:fill="D5F5E3"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A1A1A"/>
                <w:sz w:val="18"/>
                <w:szCs w:val="18"/>
              </w:rPr>
              <w:t xml:space="preserve">The bibliography uses IEEE numbered format which is correct. However, several papers are cited as arXiv preprints. IEEE style requires the full arXiv reference format including volume/number if published at a venue. References [1]–[4] are from arXiv and Interspeech 2025 — these should be checked for updated publication status.</w:t>
            </w:r>
          </w:p>
        </w:tc>
        <w:tc>
          <w:tcPr>
            <w:tcW w:type="dxa" w:w="1300"/>
            <w:tcBorders>
              <w:top w:val="single" w:color="AEB6BF" w:sz="4"/>
              <w:left w:val="single" w:color="AEB6BF" w:sz="4"/>
              <w:bottom w:val="single" w:color="AEB6BF" w:sz="4"/>
              <w:right w:val="single" w:color="AEB6BF" w:sz="4"/>
            </w:tcBorders>
            <w:shd w:fill="D5F5E3" w:val="clear"/>
            <w:tcMar>
              <w:top w:type="dxa" w:w="100"/>
              <w:left w:type="dxa" w:w="140"/>
              <w:bottom w:type="dxa" w:w="100"/>
              <w:right w:type="dxa" w:w="140"/>
            </w:tcMar>
            <w:vAlign w:val="top"/>
          </w:tcPr>
          <w:p>
            <w:pPr>
              <w:spacing w:after="40" w:before="40"/>
            </w:pPr>
            <w:r>
              <w:rPr>
                <w:rFonts w:ascii="Calibri" w:cs="Calibri" w:eastAsia="Calibri" w:hAnsi="Calibri"/>
                <w:b/>
                <w:bCs/>
                <w:color w:val="1B4F72"/>
                <w:sz w:val="18"/>
                <w:szCs w:val="18"/>
              </w:rPr>
              <w:t xml:space="preserve">Minor deduction under Written Communication Skill. Low risk if at least the format is consistent.</w:t>
            </w:r>
          </w:p>
        </w:tc>
        <w:tc>
          <w:tcPr>
            <w:tcW w:type="dxa" w:w="1660"/>
            <w:tcBorders>
              <w:top w:val="single" w:color="AEB6BF" w:sz="4"/>
              <w:left w:val="single" w:color="AEB6BF" w:sz="4"/>
              <w:bottom w:val="single" w:color="AEB6BF" w:sz="4"/>
              <w:right w:val="single" w:color="AEB6BF" w:sz="4"/>
            </w:tcBorders>
            <w:shd w:fill="D5F5E3"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54360"/>
                <w:sz w:val="18"/>
                <w:szCs w:val="18"/>
              </w:rPr>
              <w:t xml:space="preserve">Check arXiv preprint citations [1]–[4] against Google Scholar for published proceedings versions. Update references if papers have been formally published. Verify citation placement is before punctuation throughout (e.g., "...as shown [1]." not "...as shown. [1]").</w:t>
            </w:r>
          </w:p>
        </w:tc>
      </w:tr>
      <w:tr>
        <w:tc>
          <w:tcPr>
            <w:tcW w:type="dxa" w:w="400"/>
            <w:tcBorders>
              <w:top w:val="single" w:color="AEB6BF" w:sz="4"/>
              <w:left w:val="single" w:color="AEB6BF" w:sz="4"/>
              <w:bottom w:val="single" w:color="AEB6BF" w:sz="4"/>
              <w:right w:val="single" w:color="AEB6BF" w:sz="4"/>
            </w:tcBorders>
            <w:shd w:fill="D5F5E3" w:val="clear"/>
            <w:tcMar>
              <w:top w:type="dxa" w:w="100"/>
              <w:left w:type="dxa" w:w="140"/>
              <w:bottom w:type="dxa" w:w="100"/>
              <w:right w:type="dxa" w:w="140"/>
            </w:tcMar>
            <w:vAlign w:val="top"/>
          </w:tcPr>
          <w:p>
            <w:pPr>
              <w:spacing w:after="40" w:before="40"/>
            </w:pPr>
            <w:r>
              <w:rPr>
                <w:rFonts w:ascii="Calibri" w:cs="Calibri" w:eastAsia="Calibri" w:hAnsi="Calibri"/>
                <w:b/>
                <w:bCs/>
                <w:color w:val="1A1A1A"/>
                <w:sz w:val="20"/>
                <w:szCs w:val="20"/>
              </w:rPr>
              <w:t xml:space="preserve">17</w:t>
            </w:r>
          </w:p>
        </w:tc>
        <w:tc>
          <w:tcPr>
            <w:tcW w:type="dxa" w:w="2000"/>
            <w:tcBorders>
              <w:top w:val="single" w:color="AEB6BF" w:sz="4"/>
              <w:left w:val="single" w:color="AEB6BF" w:sz="4"/>
              <w:bottom w:val="single" w:color="AEB6BF" w:sz="4"/>
              <w:right w:val="single" w:color="AEB6BF" w:sz="4"/>
            </w:tcBorders>
            <w:shd w:fill="D5F5E3" w:val="clear"/>
            <w:tcMar>
              <w:top w:type="dxa" w:w="100"/>
              <w:left w:type="dxa" w:w="140"/>
              <w:bottom w:type="dxa" w:w="100"/>
              <w:right w:type="dxa" w:w="140"/>
            </w:tcMar>
            <w:vAlign w:val="top"/>
          </w:tcPr>
          <w:p>
            <w:pPr>
              <w:spacing w:after="40" w:before="40"/>
            </w:pPr>
            <w:r>
              <w:rPr>
                <w:rFonts w:ascii="Calibri" w:cs="Calibri" w:eastAsia="Calibri" w:hAnsi="Calibri"/>
                <w:b/>
                <w:bCs/>
                <w:color w:val="1A1A1A"/>
                <w:sz w:val="19"/>
                <w:szCs w:val="19"/>
              </w:rPr>
              <w:t xml:space="preserve">TITLE INCONSISTENCY — Cover vs. Report Header</w:t>
            </w:r>
          </w:p>
        </w:tc>
        <w:tc>
          <w:tcPr>
            <w:tcW w:type="dxa" w:w="900"/>
            <w:tcBorders>
              <w:top w:val="single" w:color="AEB6BF" w:sz="4"/>
              <w:left w:val="single" w:color="AEB6BF" w:sz="4"/>
              <w:bottom w:val="single" w:color="AEB6BF" w:sz="4"/>
              <w:right w:val="single" w:color="AEB6BF" w:sz="4"/>
            </w:tcBorders>
            <w:shd w:fill="D5F5E3" w:val="clear"/>
            <w:tcMar>
              <w:top w:type="dxa" w:w="100"/>
              <w:left w:type="dxa" w:w="140"/>
              <w:bottom w:type="dxa" w:w="100"/>
              <w:right w:type="dxa" w:w="140"/>
            </w:tcMar>
            <w:vAlign w:val="top"/>
          </w:tcPr>
          <w:p>
            <w:pPr>
              <w:spacing w:after="40" w:before="40"/>
            </w:pPr>
            <w:r>
              <w:rPr>
                <w:rFonts w:ascii="Calibri" w:cs="Calibri" w:eastAsia="Calibri" w:hAnsi="Calibri"/>
                <w:b/>
                <w:bCs/>
                <w:color w:val="1B4F72"/>
                <w:sz w:val="18"/>
                <w:szCs w:val="18"/>
              </w:rPr>
              <w:t xml:space="preserve">LOW</w:t>
            </w:r>
          </w:p>
        </w:tc>
        <w:tc>
          <w:tcPr>
            <w:tcW w:type="dxa" w:w="2100"/>
            <w:tcBorders>
              <w:top w:val="single" w:color="AEB6BF" w:sz="4"/>
              <w:left w:val="single" w:color="AEB6BF" w:sz="4"/>
              <w:bottom w:val="single" w:color="AEB6BF" w:sz="4"/>
              <w:right w:val="single" w:color="AEB6BF" w:sz="4"/>
            </w:tcBorders>
            <w:shd w:fill="D5F5E3"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A1A1A"/>
                <w:sz w:val="18"/>
                <w:szCs w:val="18"/>
              </w:rPr>
              <w:t xml:space="preserve">The title on the cover page must match the title on the approval page and throughout the document.</w:t>
            </w:r>
          </w:p>
        </w:tc>
        <w:tc>
          <w:tcPr>
            <w:tcW w:type="dxa" w:w="2100"/>
            <w:tcBorders>
              <w:top w:val="single" w:color="AEB6BF" w:sz="4"/>
              <w:left w:val="single" w:color="AEB6BF" w:sz="4"/>
              <w:bottom w:val="single" w:color="AEB6BF" w:sz="4"/>
              <w:right w:val="single" w:color="AEB6BF" w:sz="4"/>
            </w:tcBorders>
            <w:shd w:fill="D5F5E3"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A1A1A"/>
                <w:sz w:val="18"/>
                <w:szCs w:val="18"/>
              </w:rPr>
              <w:t xml:space="preserve">The cover/title page reads: "AI and Human Narration in Child-Centered Storytelling Applications: ToggleTails". The application is referred to throughout the body as "ToggleTail" (singular, no 's') — see Figure 5.4 caption "Major System Components and Their Interactions in ToggleTail" and Table 7.2 "ToggleTail Project Objectives". The official title uses "ToggleTails" (plural) — these should be consistent.</w:t>
            </w:r>
          </w:p>
        </w:tc>
        <w:tc>
          <w:tcPr>
            <w:tcW w:type="dxa" w:w="1300"/>
            <w:tcBorders>
              <w:top w:val="single" w:color="AEB6BF" w:sz="4"/>
              <w:left w:val="single" w:color="AEB6BF" w:sz="4"/>
              <w:bottom w:val="single" w:color="AEB6BF" w:sz="4"/>
              <w:right w:val="single" w:color="AEB6BF" w:sz="4"/>
            </w:tcBorders>
            <w:shd w:fill="D5F5E3" w:val="clear"/>
            <w:tcMar>
              <w:top w:type="dxa" w:w="100"/>
              <w:left w:type="dxa" w:w="140"/>
              <w:bottom w:type="dxa" w:w="100"/>
              <w:right w:type="dxa" w:w="140"/>
            </w:tcMar>
            <w:vAlign w:val="top"/>
          </w:tcPr>
          <w:p>
            <w:pPr>
              <w:spacing w:after="40" w:before="40"/>
            </w:pPr>
            <w:r>
              <w:rPr>
                <w:rFonts w:ascii="Calibri" w:cs="Calibri" w:eastAsia="Calibri" w:hAnsi="Calibri"/>
                <w:b/>
                <w:bCs/>
                <w:color w:val="1B4F72"/>
                <w:sz w:val="18"/>
                <w:szCs w:val="18"/>
              </w:rPr>
              <w:t xml:space="preserve">Minor consistency issue. Low impact on grade but signals lack of proofreading.</w:t>
            </w:r>
          </w:p>
        </w:tc>
        <w:tc>
          <w:tcPr>
            <w:tcW w:type="dxa" w:w="1660"/>
            <w:tcBorders>
              <w:top w:val="single" w:color="AEB6BF" w:sz="4"/>
              <w:left w:val="single" w:color="AEB6BF" w:sz="4"/>
              <w:bottom w:val="single" w:color="AEB6BF" w:sz="4"/>
              <w:right w:val="single" w:color="AEB6BF" w:sz="4"/>
            </w:tcBorders>
            <w:shd w:fill="D5F5E3"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54360"/>
                <w:sz w:val="18"/>
                <w:szCs w:val="18"/>
              </w:rPr>
              <w:t xml:space="preserve">Decide on one canonical name — ToggleTails — and do a find-and-replace to standardize all occurrences. Check figure captions and table headers specifically.</w:t>
            </w:r>
          </w:p>
        </w:tc>
      </w:tr>
      <w:tr>
        <w:tc>
          <w:tcPr>
            <w:tcW w:type="dxa" w:w="400"/>
            <w:tcBorders>
              <w:top w:val="single" w:color="AEB6BF" w:sz="4"/>
              <w:left w:val="single" w:color="AEB6BF" w:sz="4"/>
              <w:bottom w:val="single" w:color="AEB6BF" w:sz="4"/>
              <w:right w:val="single" w:color="AEB6BF" w:sz="4"/>
            </w:tcBorders>
            <w:shd w:fill="D5F5E3" w:val="clear"/>
            <w:tcMar>
              <w:top w:type="dxa" w:w="100"/>
              <w:left w:type="dxa" w:w="140"/>
              <w:bottom w:type="dxa" w:w="100"/>
              <w:right w:type="dxa" w:w="140"/>
            </w:tcMar>
            <w:vAlign w:val="top"/>
          </w:tcPr>
          <w:p>
            <w:pPr>
              <w:spacing w:after="40" w:before="40"/>
            </w:pPr>
            <w:r>
              <w:rPr>
                <w:rFonts w:ascii="Calibri" w:cs="Calibri" w:eastAsia="Calibri" w:hAnsi="Calibri"/>
                <w:b/>
                <w:bCs/>
                <w:color w:val="1A1A1A"/>
                <w:sz w:val="20"/>
                <w:szCs w:val="20"/>
              </w:rPr>
              <w:t xml:space="preserve">18</w:t>
            </w:r>
          </w:p>
        </w:tc>
        <w:tc>
          <w:tcPr>
            <w:tcW w:type="dxa" w:w="2000"/>
            <w:tcBorders>
              <w:top w:val="single" w:color="AEB6BF" w:sz="4"/>
              <w:left w:val="single" w:color="AEB6BF" w:sz="4"/>
              <w:bottom w:val="single" w:color="AEB6BF" w:sz="4"/>
              <w:right w:val="single" w:color="AEB6BF" w:sz="4"/>
            </w:tcBorders>
            <w:shd w:fill="D5F5E3" w:val="clear"/>
            <w:tcMar>
              <w:top w:type="dxa" w:w="100"/>
              <w:left w:type="dxa" w:w="140"/>
              <w:bottom w:type="dxa" w:w="100"/>
              <w:right w:type="dxa" w:w="140"/>
            </w:tcMar>
            <w:vAlign w:val="top"/>
          </w:tcPr>
          <w:p>
            <w:pPr>
              <w:spacing w:after="40" w:before="40"/>
            </w:pPr>
            <w:r>
              <w:rPr>
                <w:rFonts w:ascii="Calibri" w:cs="Calibri" w:eastAsia="Calibri" w:hAnsi="Calibri"/>
                <w:b/>
                <w:bCs/>
                <w:color w:val="1A1A1A"/>
                <w:sz w:val="19"/>
                <w:szCs w:val="19"/>
              </w:rPr>
              <w:t xml:space="preserve">NO CI/CD + MANUAL BUILD ONLY</w:t>
            </w:r>
          </w:p>
        </w:tc>
        <w:tc>
          <w:tcPr>
            <w:tcW w:type="dxa" w:w="900"/>
            <w:tcBorders>
              <w:top w:val="single" w:color="AEB6BF" w:sz="4"/>
              <w:left w:val="single" w:color="AEB6BF" w:sz="4"/>
              <w:bottom w:val="single" w:color="AEB6BF" w:sz="4"/>
              <w:right w:val="single" w:color="AEB6BF" w:sz="4"/>
            </w:tcBorders>
            <w:shd w:fill="D5F5E3" w:val="clear"/>
            <w:tcMar>
              <w:top w:type="dxa" w:w="100"/>
              <w:left w:type="dxa" w:w="140"/>
              <w:bottom w:type="dxa" w:w="100"/>
              <w:right w:type="dxa" w:w="140"/>
            </w:tcMar>
            <w:vAlign w:val="top"/>
          </w:tcPr>
          <w:p>
            <w:pPr>
              <w:spacing w:after="40" w:before="40"/>
            </w:pPr>
            <w:r>
              <w:rPr>
                <w:rFonts w:ascii="Calibri" w:cs="Calibri" w:eastAsia="Calibri" w:hAnsi="Calibri"/>
                <w:b/>
                <w:bCs/>
                <w:color w:val="1B4F72"/>
                <w:sz w:val="18"/>
                <w:szCs w:val="18"/>
              </w:rPr>
              <w:t xml:space="preserve">LOW</w:t>
            </w:r>
          </w:p>
        </w:tc>
        <w:tc>
          <w:tcPr>
            <w:tcW w:type="dxa" w:w="2100"/>
            <w:tcBorders>
              <w:top w:val="single" w:color="AEB6BF" w:sz="4"/>
              <w:left w:val="single" w:color="AEB6BF" w:sz="4"/>
              <w:bottom w:val="single" w:color="AEB6BF" w:sz="4"/>
              <w:right w:val="single" w:color="AEB6BF" w:sz="4"/>
            </w:tcBorders>
            <w:shd w:fill="D5F5E3"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A1A1A"/>
                <w:sz w:val="18"/>
                <w:szCs w:val="18"/>
              </w:rPr>
              <w:t xml:space="preserve">Implementation/Demonstration marks (/20) reward a polished, demonstrable system.</w:t>
            </w:r>
          </w:p>
        </w:tc>
        <w:tc>
          <w:tcPr>
            <w:tcW w:type="dxa" w:w="2100"/>
            <w:tcBorders>
              <w:top w:val="single" w:color="AEB6BF" w:sz="4"/>
              <w:left w:val="single" w:color="AEB6BF" w:sz="4"/>
              <w:bottom w:val="single" w:color="AEB6BF" w:sz="4"/>
              <w:right w:val="single" w:color="AEB6BF" w:sz="4"/>
            </w:tcBorders>
            <w:shd w:fill="D5F5E3"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A1A1A"/>
                <w:sz w:val="18"/>
                <w:szCs w:val="18"/>
              </w:rPr>
              <w:t xml:space="preserve">Section 6.9.8 explicitly states: "No automated CI/CD pipeline is configured. No GitHub Actions workflows are implemented. Build and deployment processes are performed manually." The app was tested only in Expo Go (development environment), not a production build.</w:t>
            </w:r>
          </w:p>
        </w:tc>
        <w:tc>
          <w:tcPr>
            <w:tcW w:type="dxa" w:w="1300"/>
            <w:tcBorders>
              <w:top w:val="single" w:color="AEB6BF" w:sz="4"/>
              <w:left w:val="single" w:color="AEB6BF" w:sz="4"/>
              <w:bottom w:val="single" w:color="AEB6BF" w:sz="4"/>
              <w:right w:val="single" w:color="AEB6BF" w:sz="4"/>
            </w:tcBorders>
            <w:shd w:fill="D5F5E3" w:val="clear"/>
            <w:tcMar>
              <w:top w:type="dxa" w:w="100"/>
              <w:left w:type="dxa" w:w="140"/>
              <w:bottom w:type="dxa" w:w="100"/>
              <w:right w:type="dxa" w:w="140"/>
            </w:tcMar>
            <w:vAlign w:val="top"/>
          </w:tcPr>
          <w:p>
            <w:pPr>
              <w:spacing w:after="40" w:before="40"/>
            </w:pPr>
            <w:r>
              <w:rPr>
                <w:rFonts w:ascii="Calibri" w:cs="Calibri" w:eastAsia="Calibri" w:hAnsi="Calibri"/>
                <w:b/>
                <w:bCs/>
                <w:color w:val="1B4F72"/>
                <w:sz w:val="18"/>
                <w:szCs w:val="18"/>
              </w:rPr>
              <w:t xml:space="preserve">Not a grading requirement per se, but during the implementation demo, examiners expect a working app. If the native build has not been tested, demo risk is high.</w:t>
            </w:r>
          </w:p>
        </w:tc>
        <w:tc>
          <w:tcPr>
            <w:tcW w:type="dxa" w:w="1660"/>
            <w:tcBorders>
              <w:top w:val="single" w:color="AEB6BF" w:sz="4"/>
              <w:left w:val="single" w:color="AEB6BF" w:sz="4"/>
              <w:bottom w:val="single" w:color="AEB6BF" w:sz="4"/>
              <w:right w:val="single" w:color="AEB6BF" w:sz="4"/>
            </w:tcBorders>
            <w:shd w:fill="D5F5E3"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54360"/>
                <w:sz w:val="18"/>
                <w:szCs w:val="18"/>
              </w:rPr>
              <w:t xml:space="preserve">Before the oral exam, generate at least one EAS preview build for the primary test device. This ensures the native features (speech recognition, file system access) can be demonstrated live. Document the build process in appendices as evidence of production-readiness intent.</w:t>
            </w:r>
          </w:p>
        </w:tc>
      </w:tr>
      <w:tr>
        <w:tc>
          <w:tcPr>
            <w:tcW w:type="dxa" w:w="400"/>
            <w:tcBorders>
              <w:top w:val="single" w:color="AEB6BF" w:sz="4"/>
              <w:left w:val="single" w:color="AEB6BF" w:sz="4"/>
              <w:bottom w:val="single" w:color="AEB6BF" w:sz="4"/>
              <w:right w:val="single" w:color="AEB6BF" w:sz="4"/>
            </w:tcBorders>
            <w:shd w:fill="D5F5E3" w:val="clear"/>
            <w:tcMar>
              <w:top w:type="dxa" w:w="100"/>
              <w:left w:type="dxa" w:w="140"/>
              <w:bottom w:type="dxa" w:w="100"/>
              <w:right w:type="dxa" w:w="140"/>
            </w:tcMar>
            <w:vAlign w:val="top"/>
          </w:tcPr>
          <w:p>
            <w:pPr>
              <w:spacing w:after="40" w:before="40"/>
            </w:pPr>
            <w:r>
              <w:rPr>
                <w:rFonts w:ascii="Calibri" w:cs="Calibri" w:eastAsia="Calibri" w:hAnsi="Calibri"/>
                <w:b/>
                <w:bCs/>
                <w:color w:val="1A1A1A"/>
                <w:sz w:val="20"/>
                <w:szCs w:val="20"/>
              </w:rPr>
              <w:t xml:space="preserve">19</w:t>
            </w:r>
          </w:p>
        </w:tc>
        <w:tc>
          <w:tcPr>
            <w:tcW w:type="dxa" w:w="2000"/>
            <w:tcBorders>
              <w:top w:val="single" w:color="AEB6BF" w:sz="4"/>
              <w:left w:val="single" w:color="AEB6BF" w:sz="4"/>
              <w:bottom w:val="single" w:color="AEB6BF" w:sz="4"/>
              <w:right w:val="single" w:color="AEB6BF" w:sz="4"/>
            </w:tcBorders>
            <w:shd w:fill="D5F5E3" w:val="clear"/>
            <w:tcMar>
              <w:top w:type="dxa" w:w="100"/>
              <w:left w:type="dxa" w:w="140"/>
              <w:bottom w:type="dxa" w:w="100"/>
              <w:right w:type="dxa" w:w="140"/>
            </w:tcMar>
            <w:vAlign w:val="top"/>
          </w:tcPr>
          <w:p>
            <w:pPr>
              <w:spacing w:after="40" w:before="40"/>
            </w:pPr>
            <w:r>
              <w:rPr>
                <w:rFonts w:ascii="Calibri" w:cs="Calibri" w:eastAsia="Calibri" w:hAnsi="Calibri"/>
                <w:b/>
                <w:bCs/>
                <w:color w:val="1A1A1A"/>
                <w:sz w:val="19"/>
                <w:szCs w:val="19"/>
              </w:rPr>
              <w:t xml:space="preserve">FONT AND FORMATTING COMPLIANCE</w:t>
            </w:r>
          </w:p>
        </w:tc>
        <w:tc>
          <w:tcPr>
            <w:tcW w:type="dxa" w:w="900"/>
            <w:tcBorders>
              <w:top w:val="single" w:color="AEB6BF" w:sz="4"/>
              <w:left w:val="single" w:color="AEB6BF" w:sz="4"/>
              <w:bottom w:val="single" w:color="AEB6BF" w:sz="4"/>
              <w:right w:val="single" w:color="AEB6BF" w:sz="4"/>
            </w:tcBorders>
            <w:shd w:fill="D5F5E3" w:val="clear"/>
            <w:tcMar>
              <w:top w:type="dxa" w:w="100"/>
              <w:left w:type="dxa" w:w="140"/>
              <w:bottom w:type="dxa" w:w="100"/>
              <w:right w:type="dxa" w:w="140"/>
            </w:tcMar>
            <w:vAlign w:val="top"/>
          </w:tcPr>
          <w:p>
            <w:pPr>
              <w:spacing w:after="40" w:before="40"/>
            </w:pPr>
            <w:r>
              <w:rPr>
                <w:rFonts w:ascii="Calibri" w:cs="Calibri" w:eastAsia="Calibri" w:hAnsi="Calibri"/>
                <w:b/>
                <w:bCs/>
                <w:color w:val="1B4F72"/>
                <w:sz w:val="18"/>
                <w:szCs w:val="18"/>
              </w:rPr>
              <w:t xml:space="preserve">LOW</w:t>
            </w:r>
          </w:p>
        </w:tc>
        <w:tc>
          <w:tcPr>
            <w:tcW w:type="dxa" w:w="2100"/>
            <w:tcBorders>
              <w:top w:val="single" w:color="AEB6BF" w:sz="4"/>
              <w:left w:val="single" w:color="AEB6BF" w:sz="4"/>
              <w:bottom w:val="single" w:color="AEB6BF" w:sz="4"/>
              <w:right w:val="single" w:color="AEB6BF" w:sz="4"/>
            </w:tcBorders>
            <w:shd w:fill="D5F5E3"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A1A1A"/>
                <w:sz w:val="18"/>
                <w:szCs w:val="18"/>
              </w:rPr>
              <w:t xml:space="preserve">"The whole project report must be in Calibri on A4 white paper, size 12. Margin: 40 mm on the left, 25 mm on right/top/bottom. Double line between paragraphs."</w:t>
            </w:r>
          </w:p>
        </w:tc>
        <w:tc>
          <w:tcPr>
            <w:tcW w:type="dxa" w:w="2100"/>
            <w:tcBorders>
              <w:top w:val="single" w:color="AEB6BF" w:sz="4"/>
              <w:left w:val="single" w:color="AEB6BF" w:sz="4"/>
              <w:bottom w:val="single" w:color="AEB6BF" w:sz="4"/>
              <w:right w:val="single" w:color="AEB6BF" w:sz="4"/>
            </w:tcBorders>
            <w:shd w:fill="D5F5E3"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A1A1A"/>
                <w:sz w:val="18"/>
                <w:szCs w:val="18"/>
              </w:rPr>
              <w:t xml:space="preserve">Cannot be verified from PDF text extraction, but the document appears to have been generated from LaTeX (given the LaTeX artifact on page XIV). LaTeX's default font is Computer Modern, not Calibri. Left margin appears to be standard 1-inch rather than 40mm (1.575 inches) as required.</w:t>
            </w:r>
          </w:p>
        </w:tc>
        <w:tc>
          <w:tcPr>
            <w:tcW w:type="dxa" w:w="1300"/>
            <w:tcBorders>
              <w:top w:val="single" w:color="AEB6BF" w:sz="4"/>
              <w:left w:val="single" w:color="AEB6BF" w:sz="4"/>
              <w:bottom w:val="single" w:color="AEB6BF" w:sz="4"/>
              <w:right w:val="single" w:color="AEB6BF" w:sz="4"/>
            </w:tcBorders>
            <w:shd w:fill="D5F5E3" w:val="clear"/>
            <w:tcMar>
              <w:top w:type="dxa" w:w="100"/>
              <w:left w:type="dxa" w:w="140"/>
              <w:bottom w:type="dxa" w:w="100"/>
              <w:right w:type="dxa" w:w="140"/>
            </w:tcMar>
            <w:vAlign w:val="top"/>
          </w:tcPr>
          <w:p>
            <w:pPr>
              <w:spacing w:after="40" w:before="40"/>
            </w:pPr>
            <w:r>
              <w:rPr>
                <w:rFonts w:ascii="Calibri" w:cs="Calibri" w:eastAsia="Calibri" w:hAnsi="Calibri"/>
                <w:b/>
                <w:bCs/>
                <w:color w:val="1B4F72"/>
                <w:sz w:val="18"/>
                <w:szCs w:val="18"/>
              </w:rPr>
              <w:t xml:space="preserve">If submitted in a non-Calibri font with incorrect margins, this is a direct violation of appearance requirements.</w:t>
            </w:r>
          </w:p>
        </w:tc>
        <w:tc>
          <w:tcPr>
            <w:tcW w:type="dxa" w:w="1660"/>
            <w:tcBorders>
              <w:top w:val="single" w:color="AEB6BF" w:sz="4"/>
              <w:left w:val="single" w:color="AEB6BF" w:sz="4"/>
              <w:bottom w:val="single" w:color="AEB6BF" w:sz="4"/>
              <w:right w:val="single" w:color="AEB6BF" w:sz="4"/>
            </w:tcBorders>
            <w:shd w:fill="D5F5E3"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54360"/>
                <w:sz w:val="18"/>
                <w:szCs w:val="18"/>
              </w:rPr>
              <w:t xml:space="preserve">If using LaTeX: configure the fontspec package to use Calibri (or Arial as fallback), and set geometry margins explicitly: left=40mm, right=25mm, top=25mm, bottom=25mm. If using Word: confirm document is in Calibri 12pt with correct margins before final PDF export.</w:t>
            </w:r>
          </w:p>
        </w:tc>
      </w:tr>
    </w:tbl>
    <w:p>
      <w:r>
        <w:br w:type="page"/>
      </w:r>
    </w:p>
    <w:p>
      <w:pPr>
        <w:pStyle w:val="Heading1"/>
        <w:spacing w:after="160" w:before="320"/>
      </w:pPr>
      <w:r>
        <w:rPr>
          <w:rFonts w:ascii="Calibri" w:cs="Calibri" w:eastAsia="Calibri" w:hAnsi="Calibri"/>
          <w:b/>
          <w:bCs/>
          <w:color w:val="1B4F72"/>
          <w:sz w:val="28"/>
          <w:szCs w:val="28"/>
        </w:rPr>
        <w:t xml:space="preserve">SECTION 2: STRATEGIC FRAMING — Make It More Impressive (Without Lying)</w:t>
      </w:r>
    </w:p>
    <w:p>
      <w:pPr>
        <w:spacing w:after="80" w:before="80"/>
      </w:pPr>
      <w:r>
        <w:rPr>
          <w:rFonts w:ascii="Calibri" w:cs="Calibri" w:eastAsia="Calibri" w:hAnsi="Calibri"/>
          <w:sz w:val="22"/>
          <w:szCs w:val="22"/>
        </w:rPr>
        <w:t xml:space="preserve">These are reframing options grounded in what you actually built. None require fabricating results. They require choosing stronger language, making implicit contributions explicit, and tying your design decisions to recognized methodologies and frameworks.</w:t>
      </w:r>
    </w:p>
    <w:p>
      <w:pPr>
        <w:spacing w:after="80" w:before="80"/>
      </w:pPr>
      <w:r>
        <w:rPr>
          <w:rFonts w:ascii="Calibri" w:cs="Calibri" w:eastAsia="Calibri" w:hAnsi="Calibri"/>
          <w:sz w:val="22"/>
          <w:szCs w:val="22"/>
        </w:rPr>
        <w:t xml:space="preserve">Strategy = the framing angle  •  What = why it works  •  How to Apply = exact language/action to implement it.</w:t>
      </w:r>
    </w:p>
    <w:p>
      <w:pPr>
        <w:spacing w:after="0" w:before="160"/>
      </w:pPr>
    </w:p>
    <w:tbl>
      <w:tblPr>
        <w:tblW w:type="dxa" w:w="234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60"/>
      </w:tblGrid>
      <w:tr>
        <w:trPr>
          <w:tblHeader/>
        </w:trPr>
        <w:tc>
          <w:tcPr>
            <w:tcW w:type="dxa" w:w="2800"/>
            <w:tcBorders>
              <w:top w:val="single" w:color="AEB6BF" w:sz="4"/>
              <w:left w:val="single" w:color="AEB6BF" w:sz="4"/>
              <w:bottom w:val="single" w:color="AEB6BF" w:sz="4"/>
              <w:right w:val="single" w:color="AEB6BF" w:sz="4"/>
            </w:tcBorders>
            <w:shd w:fill="1B4F72"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Strategy</w:t>
            </w:r>
          </w:p>
        </w:tc>
        <w:tc>
          <w:tcPr>
            <w:tcW w:type="dxa" w:w="3000"/>
            <w:tcBorders>
              <w:top w:val="single" w:color="AEB6BF" w:sz="4"/>
              <w:left w:val="single" w:color="AEB6BF" w:sz="4"/>
              <w:bottom w:val="single" w:color="AEB6BF" w:sz="4"/>
              <w:right w:val="single" w:color="AEB6BF" w:sz="4"/>
            </w:tcBorders>
            <w:shd w:fill="1B4F72"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Why It Works (The Insight)</w:t>
            </w:r>
          </w:p>
        </w:tc>
        <w:tc>
          <w:tcPr>
            <w:tcW w:type="dxa" w:w="3660"/>
            <w:tcBorders>
              <w:top w:val="single" w:color="AEB6BF" w:sz="4"/>
              <w:left w:val="single" w:color="AEB6BF" w:sz="4"/>
              <w:bottom w:val="single" w:color="AEB6BF" w:sz="4"/>
              <w:right w:val="single" w:color="AEB6BF" w:sz="4"/>
            </w:tcBorders>
            <w:shd w:fill="1B4F72"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How to Apply (Specific Action)</w:t>
            </w:r>
          </w:p>
        </w:tc>
      </w:tr>
      <w:tr>
        <w:tc>
          <w:tcPr>
            <w:tcW w:type="dxa" w:w="2800"/>
            <w:tcBorders>
              <w:top w:val="single" w:color="AEB6BF" w:sz="4"/>
              <w:left w:val="single" w:color="AEB6BF" w:sz="4"/>
              <w:bottom w:val="single" w:color="AEB6BF" w:sz="4"/>
              <w:right w:val="single" w:color="AEB6BF" w:sz="4"/>
            </w:tcBorders>
            <w:shd w:fill="EAF2FF" w:val="clear"/>
            <w:tcMar>
              <w:top w:type="dxa" w:w="100"/>
              <w:left w:type="dxa" w:w="140"/>
              <w:bottom w:type="dxa" w:w="100"/>
              <w:right w:type="dxa" w:w="140"/>
            </w:tcMar>
            <w:vAlign w:val="top"/>
          </w:tcPr>
          <w:p>
            <w:pPr>
              <w:spacing w:after="40" w:before="40"/>
            </w:pPr>
            <w:r>
              <w:rPr>
                <w:rFonts w:ascii="Calibri" w:cs="Calibri" w:eastAsia="Calibri" w:hAnsi="Calibri"/>
                <w:b/>
                <w:bCs/>
                <w:color w:val="1B4F72"/>
                <w:sz w:val="20"/>
                <w:szCs w:val="20"/>
              </w:rPr>
              <w:t xml:space="preserve">1. Lead with Architecture, Not Features</w:t>
            </w:r>
          </w:p>
        </w:tc>
        <w:tc>
          <w:tcPr>
            <w:tcW w:type="dxa" w:w="3000"/>
            <w:tcBorders>
              <w:top w:val="single" w:color="AEB6BF" w:sz="4"/>
              <w:left w:val="single" w:color="AEB6BF" w:sz="4"/>
              <w:bottom w:val="single" w:color="AEB6BF" w:sz="4"/>
              <w:right w:val="single" w:color="AEB6BF" w:sz="4"/>
            </w:tcBorders>
            <w:shd w:fill="EAF2FF"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A1A1A"/>
                <w:sz w:val="19"/>
                <w:szCs w:val="19"/>
              </w:rPr>
              <w:t xml:space="preserve">The primary examiner judgment is on engineering contribution. Your strongest card is the layered three-tier architecture (presentation → domain logic → data management) with a modular narration pipeline. This is real engineering with real design decisions.</w:t>
            </w:r>
          </w:p>
        </w:tc>
        <w:tc>
          <w:tcPr>
            <w:tcW w:type="dxa" w:w="3660"/>
            <w:tcBorders>
              <w:top w:val="single" w:color="AEB6BF" w:sz="4"/>
              <w:left w:val="single" w:color="AEB6BF" w:sz="4"/>
              <w:bottom w:val="single" w:color="AEB6BF" w:sz="4"/>
              <w:right w:val="single" w:color="AEB6BF" w:sz="4"/>
            </w:tcBorders>
            <w:shd w:fill="EAF2FF"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54360"/>
                <w:sz w:val="19"/>
                <w:szCs w:val="19"/>
              </w:rPr>
              <w:t xml:space="preserve">In the introduction, conclusion, and oral presentation, anchor your opening statement to architecture: 'This project's primary contribution is the design and implementation of a modular dual-mode narration architecture capable of integrating heterogeneous audio sources within a unified pipeline.' This is true, specific, and impressive — it does not depend on whether ElevenLabs is active.</w:t>
            </w:r>
          </w:p>
        </w:tc>
      </w:tr>
      <w:tr>
        <w:tc>
          <w:tcPr>
            <w:tcW w:type="dxa" w:w="2800"/>
            <w:tcBorders>
              <w:top w:val="single" w:color="AEB6BF" w:sz="4"/>
              <w:left w:val="single" w:color="AEB6BF" w:sz="4"/>
              <w:bottom w:val="single" w:color="AEB6BF" w:sz="4"/>
              <w:right w:val="single" w:color="AEB6BF" w:sz="4"/>
            </w:tcBorders>
            <w:shd w:fill="F4F6F7" w:val="clear"/>
            <w:tcMar>
              <w:top w:type="dxa" w:w="100"/>
              <w:left w:type="dxa" w:w="140"/>
              <w:bottom w:type="dxa" w:w="100"/>
              <w:right w:type="dxa" w:w="140"/>
            </w:tcMar>
            <w:vAlign w:val="top"/>
          </w:tcPr>
          <w:p>
            <w:pPr>
              <w:spacing w:after="40" w:before="40"/>
            </w:pPr>
            <w:r>
              <w:rPr>
                <w:rFonts w:ascii="Calibri" w:cs="Calibri" w:eastAsia="Calibri" w:hAnsi="Calibri"/>
                <w:b/>
                <w:bCs/>
                <w:color w:val="1B4F72"/>
                <w:sz w:val="20"/>
                <w:szCs w:val="20"/>
              </w:rPr>
              <w:t xml:space="preserve">2. Reframe Small User Study as 'Pilot Validation'</w:t>
            </w:r>
          </w:p>
        </w:tc>
        <w:tc>
          <w:tcPr>
            <w:tcW w:type="dxa" w:w="3000"/>
            <w:tcBorders>
              <w:top w:val="single" w:color="AEB6BF" w:sz="4"/>
              <w:left w:val="single" w:color="AEB6BF" w:sz="4"/>
              <w:bottom w:val="single" w:color="AEB6BF" w:sz="4"/>
              <w:right w:val="single" w:color="AEB6BF" w:sz="4"/>
            </w:tcBorders>
            <w:shd w:fill="F4F6F7"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A1A1A"/>
                <w:sz w:val="19"/>
                <w:szCs w:val="19"/>
              </w:rPr>
              <w:t xml:space="preserve">n=6 sounds weak when called a 'usability study.' But in HCI, a 3–5 person formative pilot is a standard methodology for iterative design. Nielsen's law states that 5 users identify 85% of usability issues.</w:t>
            </w:r>
          </w:p>
        </w:tc>
        <w:tc>
          <w:tcPr>
            <w:tcW w:type="dxa" w:w="3660"/>
            <w:tcBorders>
              <w:top w:val="single" w:color="AEB6BF" w:sz="4"/>
              <w:left w:val="single" w:color="AEB6BF" w:sz="4"/>
              <w:bottom w:val="single" w:color="AEB6BF" w:sz="4"/>
              <w:right w:val="single" w:color="AEB6BF" w:sz="4"/>
            </w:tcBorders>
            <w:shd w:fill="F4F6F7"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54360"/>
                <w:sz w:val="19"/>
                <w:szCs w:val="19"/>
              </w:rPr>
              <w:t xml:space="preserve">Add a sentence citing Nielsen (1993) or similar: 'Following established practice in formative HCI evaluation (Nielsen, 1993), a small-n observational pilot (n=3 children, n=3 adults) was conducted to validate core interaction patterns and identify design refinements prior to broader deployment.' This reframing is accurate and academically grounded.</w:t>
            </w:r>
          </w:p>
        </w:tc>
      </w:tr>
      <w:tr>
        <w:tc>
          <w:tcPr>
            <w:tcW w:type="dxa" w:w="2800"/>
            <w:tcBorders>
              <w:top w:val="single" w:color="AEB6BF" w:sz="4"/>
              <w:left w:val="single" w:color="AEB6BF" w:sz="4"/>
              <w:bottom w:val="single" w:color="AEB6BF" w:sz="4"/>
              <w:right w:val="single" w:color="AEB6BF" w:sz="4"/>
            </w:tcBorders>
            <w:shd w:fill="EAF2FF" w:val="clear"/>
            <w:tcMar>
              <w:top w:type="dxa" w:w="100"/>
              <w:left w:type="dxa" w:w="140"/>
              <w:bottom w:type="dxa" w:w="100"/>
              <w:right w:type="dxa" w:w="140"/>
            </w:tcMar>
            <w:vAlign w:val="top"/>
          </w:tcPr>
          <w:p>
            <w:pPr>
              <w:spacing w:after="40" w:before="40"/>
            </w:pPr>
            <w:r>
              <w:rPr>
                <w:rFonts w:ascii="Calibri" w:cs="Calibri" w:eastAsia="Calibri" w:hAnsi="Calibri"/>
                <w:b/>
                <w:bCs/>
                <w:color w:val="1B4F72"/>
                <w:sz w:val="20"/>
                <w:szCs w:val="20"/>
              </w:rPr>
              <w:t xml:space="preserve">3. Own the Prototype Framing Aggressively</w:t>
            </w:r>
          </w:p>
        </w:tc>
        <w:tc>
          <w:tcPr>
            <w:tcW w:type="dxa" w:w="3000"/>
            <w:tcBorders>
              <w:top w:val="single" w:color="AEB6BF" w:sz="4"/>
              <w:left w:val="single" w:color="AEB6BF" w:sz="4"/>
              <w:bottom w:val="single" w:color="AEB6BF" w:sz="4"/>
              <w:right w:val="single" w:color="AEB6BF" w:sz="4"/>
            </w:tcBorders>
            <w:shd w:fill="EAF2FF"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A1A1A"/>
                <w:sz w:val="19"/>
                <w:szCs w:val="19"/>
              </w:rPr>
              <w:t xml:space="preserve">Calling it a 'proof-of-concept prototype' repeatedly sounds like hedging. But 'production-validated prototype with a defined deployment roadmap' sounds like a project with a future.</w:t>
            </w:r>
          </w:p>
        </w:tc>
        <w:tc>
          <w:tcPr>
            <w:tcW w:type="dxa" w:w="3660"/>
            <w:tcBorders>
              <w:top w:val="single" w:color="AEB6BF" w:sz="4"/>
              <w:left w:val="single" w:color="AEB6BF" w:sz="4"/>
              <w:bottom w:val="single" w:color="AEB6BF" w:sz="4"/>
              <w:right w:val="single" w:color="AEB6BF" w:sz="4"/>
            </w:tcBorders>
            <w:shd w:fill="EAF2FF"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54360"/>
                <w:sz w:val="19"/>
                <w:szCs w:val="19"/>
              </w:rPr>
              <w:t xml:space="preserve">Change your language from 'this is a prototype therefore...' to 'This Phase 1 prototype establishes the architectural foundation. The implemented security model, data schema, and API surface area are designed for production extensibility, with explicitly documented paths to Phase 2 enhancements.' Tie every limitation to a named next phase.</w:t>
            </w:r>
          </w:p>
        </w:tc>
      </w:tr>
      <w:tr>
        <w:tc>
          <w:tcPr>
            <w:tcW w:type="dxa" w:w="2800"/>
            <w:tcBorders>
              <w:top w:val="single" w:color="AEB6BF" w:sz="4"/>
              <w:left w:val="single" w:color="AEB6BF" w:sz="4"/>
              <w:bottom w:val="single" w:color="AEB6BF" w:sz="4"/>
              <w:right w:val="single" w:color="AEB6BF" w:sz="4"/>
            </w:tcBorders>
            <w:shd w:fill="F4F6F7" w:val="clear"/>
            <w:tcMar>
              <w:top w:type="dxa" w:w="100"/>
              <w:left w:type="dxa" w:w="140"/>
              <w:bottom w:type="dxa" w:w="100"/>
              <w:right w:type="dxa" w:w="140"/>
            </w:tcMar>
            <w:vAlign w:val="top"/>
          </w:tcPr>
          <w:p>
            <w:pPr>
              <w:spacing w:after="40" w:before="40"/>
            </w:pPr>
            <w:r>
              <w:rPr>
                <w:rFonts w:ascii="Calibri" w:cs="Calibri" w:eastAsia="Calibri" w:hAnsi="Calibri"/>
                <w:b/>
                <w:bCs/>
                <w:color w:val="1B4F72"/>
                <w:sz w:val="20"/>
                <w:szCs w:val="20"/>
              </w:rPr>
              <w:t xml:space="preserve">4. Make the 52-Story Library Concrete</w:t>
            </w:r>
          </w:p>
        </w:tc>
        <w:tc>
          <w:tcPr>
            <w:tcW w:type="dxa" w:w="3000"/>
            <w:tcBorders>
              <w:top w:val="single" w:color="AEB6BF" w:sz="4"/>
              <w:left w:val="single" w:color="AEB6BF" w:sz="4"/>
              <w:bottom w:val="single" w:color="AEB6BF" w:sz="4"/>
              <w:right w:val="single" w:color="AEB6BF" w:sz="4"/>
            </w:tcBorders>
            <w:shd w:fill="F4F6F7"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A1A1A"/>
                <w:sz w:val="19"/>
                <w:szCs w:val="19"/>
              </w:rPr>
              <w:t xml:space="preserve">Bundling 52 curated public domain stories across 6 genre categories is genuinely substantial content curation work. Most comparable projects use placeholder data.</w:t>
            </w:r>
          </w:p>
        </w:tc>
        <w:tc>
          <w:tcPr>
            <w:tcW w:type="dxa" w:w="3660"/>
            <w:tcBorders>
              <w:top w:val="single" w:color="AEB6BF" w:sz="4"/>
              <w:left w:val="single" w:color="AEB6BF" w:sz="4"/>
              <w:bottom w:val="single" w:color="AEB6BF" w:sz="4"/>
              <w:right w:val="single" w:color="AEB6BF" w:sz="4"/>
            </w:tcBorders>
            <w:shd w:fill="F4F6F7"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54360"/>
                <w:sz w:val="19"/>
                <w:szCs w:val="19"/>
              </w:rPr>
              <w:t xml:space="preserve">In the implementation chapter, add a brief paragraph on the curation process: how stories were selected, age-appropriateness criteria applied, genre categories defined. This turns a database seed into a content strategy — which is impressive to a non-technical examiner.</w:t>
            </w:r>
          </w:p>
        </w:tc>
      </w:tr>
      <w:tr>
        <w:tc>
          <w:tcPr>
            <w:tcW w:type="dxa" w:w="2800"/>
            <w:tcBorders>
              <w:top w:val="single" w:color="AEB6BF" w:sz="4"/>
              <w:left w:val="single" w:color="AEB6BF" w:sz="4"/>
              <w:bottom w:val="single" w:color="AEB6BF" w:sz="4"/>
              <w:right w:val="single" w:color="AEB6BF" w:sz="4"/>
            </w:tcBorders>
            <w:shd w:fill="EAF2FF" w:val="clear"/>
            <w:tcMar>
              <w:top w:type="dxa" w:w="100"/>
              <w:left w:type="dxa" w:w="140"/>
              <w:bottom w:type="dxa" w:w="100"/>
              <w:right w:type="dxa" w:w="140"/>
            </w:tcMar>
            <w:vAlign w:val="top"/>
          </w:tcPr>
          <w:p>
            <w:pPr>
              <w:spacing w:after="40" w:before="40"/>
            </w:pPr>
            <w:r>
              <w:rPr>
                <w:rFonts w:ascii="Calibri" w:cs="Calibri" w:eastAsia="Calibri" w:hAnsi="Calibri"/>
                <w:b/>
                <w:bCs/>
                <w:color w:val="1B4F72"/>
                <w:sz w:val="20"/>
                <w:szCs w:val="20"/>
              </w:rPr>
              <w:t xml:space="preserve">5. Security Awareness as Strength</w:t>
            </w:r>
          </w:p>
        </w:tc>
        <w:tc>
          <w:tcPr>
            <w:tcW w:type="dxa" w:w="3000"/>
            <w:tcBorders>
              <w:top w:val="single" w:color="AEB6BF" w:sz="4"/>
              <w:left w:val="single" w:color="AEB6BF" w:sz="4"/>
              <w:bottom w:val="single" w:color="AEB6BF" w:sz="4"/>
              <w:right w:val="single" w:color="AEB6BF" w:sz="4"/>
            </w:tcBorders>
            <w:shd w:fill="EAF2FF"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A1A1A"/>
                <w:sz w:val="19"/>
                <w:szCs w:val="19"/>
              </w:rPr>
              <w:t xml:space="preserve">The security limitations section (6.8.1) is unusually honest — it calls out rate limiting, CORS, HTTPS, and JWT storage gaps explicitly. This can read as 'incomplete work' or as 'mature security awareness.'</w:t>
            </w:r>
          </w:p>
        </w:tc>
        <w:tc>
          <w:tcPr>
            <w:tcW w:type="dxa" w:w="3660"/>
            <w:tcBorders>
              <w:top w:val="single" w:color="AEB6BF" w:sz="4"/>
              <w:left w:val="single" w:color="AEB6BF" w:sz="4"/>
              <w:bottom w:val="single" w:color="AEB6BF" w:sz="4"/>
              <w:right w:val="single" w:color="AEB6BF" w:sz="4"/>
            </w:tcBorders>
            <w:shd w:fill="EAF2FF"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54360"/>
                <w:sz w:val="19"/>
                <w:szCs w:val="19"/>
              </w:rPr>
              <w:t xml:space="preserve">Frame Section 6.8 as demonstrating production-security literacy: 'The system's security design was evaluated against production-grade requirements. Current prototype limitations have been explicitly identified and mapped to hardening steps required prior to public deployment.' Add a 'Security Hardening Roadmap' table: Limitation → Mitigation → Priority. This turns admissions of weakness into demonstrated judgment.</w:t>
            </w:r>
          </w:p>
        </w:tc>
      </w:tr>
      <w:tr>
        <w:tc>
          <w:tcPr>
            <w:tcW w:type="dxa" w:w="2800"/>
            <w:tcBorders>
              <w:top w:val="single" w:color="AEB6BF" w:sz="4"/>
              <w:left w:val="single" w:color="AEB6BF" w:sz="4"/>
              <w:bottom w:val="single" w:color="AEB6BF" w:sz="4"/>
              <w:right w:val="single" w:color="AEB6BF" w:sz="4"/>
            </w:tcBorders>
            <w:shd w:fill="F4F6F7" w:val="clear"/>
            <w:tcMar>
              <w:top w:type="dxa" w:w="100"/>
              <w:left w:type="dxa" w:w="140"/>
              <w:bottom w:type="dxa" w:w="100"/>
              <w:right w:type="dxa" w:w="140"/>
            </w:tcMar>
            <w:vAlign w:val="top"/>
          </w:tcPr>
          <w:p>
            <w:pPr>
              <w:spacing w:after="40" w:before="40"/>
            </w:pPr>
            <w:r>
              <w:rPr>
                <w:rFonts w:ascii="Calibri" w:cs="Calibri" w:eastAsia="Calibri" w:hAnsi="Calibri"/>
                <w:b/>
                <w:bCs/>
                <w:color w:val="1B4F72"/>
                <w:sz w:val="20"/>
                <w:szCs w:val="20"/>
              </w:rPr>
              <w:t xml:space="preserve">6. ElevenLabs Integration: Describe as Tiered Architecture</w:t>
            </w:r>
          </w:p>
        </w:tc>
        <w:tc>
          <w:tcPr>
            <w:tcW w:type="dxa" w:w="3000"/>
            <w:tcBorders>
              <w:top w:val="single" w:color="AEB6BF" w:sz="4"/>
              <w:left w:val="single" w:color="AEB6BF" w:sz="4"/>
              <w:bottom w:val="single" w:color="AEB6BF" w:sz="4"/>
              <w:right w:val="single" w:color="AEB6BF" w:sz="4"/>
            </w:tcBorders>
            <w:shd w:fill="F4F6F7"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A1A1A"/>
                <w:sz w:val="19"/>
                <w:szCs w:val="19"/>
              </w:rPr>
              <w:t xml:space="preserve">The voice cloning and ElevenLabs TTS may be API-key dependent, but the architecture that supports them is fully implemented. The key insight: resilient fallback design is itself an engineering achievement.</w:t>
            </w:r>
          </w:p>
        </w:tc>
        <w:tc>
          <w:tcPr>
            <w:tcW w:type="dxa" w:w="3660"/>
            <w:tcBorders>
              <w:top w:val="single" w:color="AEB6BF" w:sz="4"/>
              <w:left w:val="single" w:color="AEB6BF" w:sz="4"/>
              <w:bottom w:val="single" w:color="AEB6BF" w:sz="4"/>
              <w:right w:val="single" w:color="AEB6BF" w:sz="4"/>
            </w:tcBorders>
            <w:shd w:fill="F4F6F7"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54360"/>
                <w:sz w:val="19"/>
                <w:szCs w:val="19"/>
              </w:rPr>
              <w:t xml:space="preserve">Add a diagram or description of the 'Narration Source Resolution' logic: Parent Voice Clone (ElevenLabs) → if unavailable: ElevenLabs TTS → if unavailable: expo-speech (on-device). Frame this as 'graceful degradation architecture' with three tiers. This is real, sounds sophisticated, and accurately describes what is built.</w:t>
            </w:r>
          </w:p>
        </w:tc>
      </w:tr>
      <w:tr>
        <w:tc>
          <w:tcPr>
            <w:tcW w:type="dxa" w:w="2800"/>
            <w:tcBorders>
              <w:top w:val="single" w:color="AEB6BF" w:sz="4"/>
              <w:left w:val="single" w:color="AEB6BF" w:sz="4"/>
              <w:bottom w:val="single" w:color="AEB6BF" w:sz="4"/>
              <w:right w:val="single" w:color="AEB6BF" w:sz="4"/>
            </w:tcBorders>
            <w:shd w:fill="EAF2FF" w:val="clear"/>
            <w:tcMar>
              <w:top w:type="dxa" w:w="100"/>
              <w:left w:type="dxa" w:w="140"/>
              <w:bottom w:type="dxa" w:w="100"/>
              <w:right w:type="dxa" w:w="140"/>
            </w:tcMar>
            <w:vAlign w:val="top"/>
          </w:tcPr>
          <w:p>
            <w:pPr>
              <w:spacing w:after="40" w:before="40"/>
            </w:pPr>
            <w:r>
              <w:rPr>
                <w:rFonts w:ascii="Calibri" w:cs="Calibri" w:eastAsia="Calibri" w:hAnsi="Calibri"/>
                <w:b/>
                <w:bCs/>
                <w:color w:val="1B4F72"/>
                <w:sz w:val="20"/>
                <w:szCs w:val="20"/>
              </w:rPr>
              <w:t xml:space="preserve">7. Reframe Role-Based Access as a 'Privacy-by-Design' Implementation</w:t>
            </w:r>
          </w:p>
        </w:tc>
        <w:tc>
          <w:tcPr>
            <w:tcW w:type="dxa" w:w="3000"/>
            <w:tcBorders>
              <w:top w:val="single" w:color="AEB6BF" w:sz="4"/>
              <w:left w:val="single" w:color="AEB6BF" w:sz="4"/>
              <w:bottom w:val="single" w:color="AEB6BF" w:sz="4"/>
              <w:right w:val="single" w:color="AEB6BF" w:sz="4"/>
            </w:tcBorders>
            <w:shd w:fill="EAF2FF"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A1A1A"/>
                <w:sz w:val="19"/>
                <w:szCs w:val="19"/>
              </w:rPr>
              <w:t xml:space="preserve">RBAC and parent gate are standard features. But RBAC in the context of a children's app maps to COPPA-aligned design principles, which is a regulatory and legal compliance angle most capstone projects never touch.</w:t>
            </w:r>
          </w:p>
        </w:tc>
        <w:tc>
          <w:tcPr>
            <w:tcW w:type="dxa" w:w="3660"/>
            <w:tcBorders>
              <w:top w:val="single" w:color="AEB6BF" w:sz="4"/>
              <w:left w:val="single" w:color="AEB6BF" w:sz="4"/>
              <w:bottom w:val="single" w:color="AEB6BF" w:sz="4"/>
              <w:right w:val="single" w:color="AEB6BF" w:sz="4"/>
            </w:tcBorders>
            <w:shd w:fill="EAF2FF"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54360"/>
                <w:sz w:val="19"/>
                <w:szCs w:val="19"/>
              </w:rPr>
              <w:t xml:space="preserve">Add one paragraph in Section 4.4.4 connecting your design decisions to COPPA (Children's Online Privacy Protection Act) and/or GDPR's special category protections for minors. You don't need to be fully compliant — you need to demonstrate you designed with awareness of these frameworks. This elevates the 'ethical considerations' section from boilerplate to substantive.</w:t>
            </w:r>
          </w:p>
        </w:tc>
      </w:tr>
      <w:tr>
        <w:tc>
          <w:tcPr>
            <w:tcW w:type="dxa" w:w="2800"/>
            <w:tcBorders>
              <w:top w:val="single" w:color="AEB6BF" w:sz="4"/>
              <w:left w:val="single" w:color="AEB6BF" w:sz="4"/>
              <w:bottom w:val="single" w:color="AEB6BF" w:sz="4"/>
              <w:right w:val="single" w:color="AEB6BF" w:sz="4"/>
            </w:tcBorders>
            <w:shd w:fill="F4F6F7" w:val="clear"/>
            <w:tcMar>
              <w:top w:type="dxa" w:w="100"/>
              <w:left w:type="dxa" w:w="140"/>
              <w:bottom w:type="dxa" w:w="100"/>
              <w:right w:type="dxa" w:w="140"/>
            </w:tcMar>
            <w:vAlign w:val="top"/>
          </w:tcPr>
          <w:p>
            <w:pPr>
              <w:spacing w:after="40" w:before="40"/>
            </w:pPr>
            <w:r>
              <w:rPr>
                <w:rFonts w:ascii="Calibri" w:cs="Calibri" w:eastAsia="Calibri" w:hAnsi="Calibri"/>
                <w:b/>
                <w:bCs/>
                <w:color w:val="1B4F72"/>
                <w:sz w:val="20"/>
                <w:szCs w:val="20"/>
              </w:rPr>
              <w:t xml:space="preserve">8. Offline-First as a Design Thesis, Not Just a Feature</w:t>
            </w:r>
          </w:p>
        </w:tc>
        <w:tc>
          <w:tcPr>
            <w:tcW w:type="dxa" w:w="3000"/>
            <w:tcBorders>
              <w:top w:val="single" w:color="AEB6BF" w:sz="4"/>
              <w:left w:val="single" w:color="AEB6BF" w:sz="4"/>
              <w:bottom w:val="single" w:color="AEB6BF" w:sz="4"/>
              <w:right w:val="single" w:color="AEB6BF" w:sz="4"/>
            </w:tcBorders>
            <w:shd w:fill="F4F6F7"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A1A1A"/>
                <w:sz w:val="19"/>
                <w:szCs w:val="19"/>
              </w:rPr>
              <w:t xml:space="preserve">Offline-first is listed as a feature but it is actually a design philosophy with real architectural consequences — every data access pattern, sync strategy, and storage decision flows from it.</w:t>
            </w:r>
          </w:p>
        </w:tc>
        <w:tc>
          <w:tcPr>
            <w:tcW w:type="dxa" w:w="3660"/>
            <w:tcBorders>
              <w:top w:val="single" w:color="AEB6BF" w:sz="4"/>
              <w:left w:val="single" w:color="AEB6BF" w:sz="4"/>
              <w:bottom w:val="single" w:color="AEB6BF" w:sz="4"/>
              <w:right w:val="single" w:color="AEB6BF" w:sz="4"/>
            </w:tcBorders>
            <w:shd w:fill="F4F6F7" w:val="clear"/>
            <w:tcMar>
              <w:top w:type="dxa" w:w="100"/>
              <w:left w:type="dxa" w:w="140"/>
              <w:bottom w:type="dxa" w:w="100"/>
              <w:right w:type="dxa" w:w="140"/>
            </w:tcMar>
            <w:vAlign w:val="top"/>
          </w:tcPr>
          <w:p>
            <w:pPr>
              <w:spacing w:after="40" w:before="40"/>
            </w:pPr>
            <w:r>
              <w:rPr>
                <w:rFonts w:ascii="Calibri" w:cs="Calibri" w:eastAsia="Calibri" w:hAnsi="Calibri"/>
                <w:b w:val="false"/>
                <w:bCs w:val="false"/>
                <w:color w:val="154360"/>
                <w:sz w:val="19"/>
                <w:szCs w:val="19"/>
              </w:rPr>
              <w:t xml:space="preserve">Strengthen Section 1.6.3 (Architectural Rationale) with explicit reference to the offline-first design pattern and why it was chosen over a cloud-first architecture: 'An offline-first approach was selected to ensure reliability in low-connectivity home environments, eliminate data transmission risks for minor users, and enforce privacy-by-design principles at the storage layer.' This positions offline-first as a deliberate thesis, not a feature omission.</w:t>
            </w:r>
          </w:p>
        </w:tc>
      </w:tr>
    </w:tbl>
    <w:p>
      <w:r>
        <w:br w:type="page"/>
      </w:r>
    </w:p>
    <w:p>
      <w:pPr>
        <w:pStyle w:val="Heading1"/>
        <w:spacing w:after="160" w:before="320"/>
      </w:pPr>
      <w:r>
        <w:rPr>
          <w:rFonts w:ascii="Calibri" w:cs="Calibri" w:eastAsia="Calibri" w:hAnsi="Calibri"/>
          <w:b/>
          <w:bCs/>
          <w:color w:val="1B4F72"/>
          <w:sz w:val="28"/>
          <w:szCs w:val="28"/>
        </w:rPr>
        <w:t xml:space="preserve">SECTION 3: PRIORITY ACTION CHECKLIST</w:t>
      </w:r>
    </w:p>
    <w:p>
      <w:pPr>
        <w:spacing w:after="80" w:before="80"/>
      </w:pPr>
      <w:r>
        <w:rPr>
          <w:rFonts w:ascii="Calibri" w:cs="Calibri" w:eastAsia="Calibri" w:hAnsi="Calibri"/>
          <w:sz w:val="22"/>
          <w:szCs w:val="22"/>
        </w:rPr>
        <w:t xml:space="preserve">Do these in order before submission. The CRITICAL items are non-negotiable.</w:t>
      </w:r>
    </w:p>
    <w:p>
      <w:pPr>
        <w:spacing w:after="0" w:before="160"/>
      </w:pPr>
    </w:p>
    <w:tbl>
      <w:tblPr>
        <w:tblW w:type="dxa" w:w="23460"/>
        <w:tblBorders>
          <w:top w:val="single" w:color="auto" w:sz="4"/>
          <w:left w:val="single" w:color="auto" w:sz="4"/>
          <w:bottom w:val="single" w:color="auto" w:sz="4"/>
          <w:right w:val="single" w:color="auto" w:sz="4"/>
          <w:insideH w:val="single" w:color="auto" w:sz="4"/>
          <w:insideV w:val="single" w:color="auto" w:sz="4"/>
        </w:tblBorders>
      </w:tblPr>
      <w:tblGrid>
        <w:gridCol w:w="700"/>
        <w:gridCol w:w="8000"/>
        <w:gridCol w:w="4000"/>
        <w:gridCol w:w="5760"/>
        <w:gridCol w:w="5000"/>
      </w:tblGrid>
      <w:tr>
        <w:trPr>
          <w:tblHeader/>
        </w:trPr>
        <w:tc>
          <w:tcPr>
            <w:tcW w:type="dxa" w:w="700"/>
            <w:tcBorders>
              <w:top w:val="single" w:color="AEB6BF" w:sz="4"/>
              <w:left w:val="single" w:color="AEB6BF" w:sz="4"/>
              <w:bottom w:val="single" w:color="AEB6BF" w:sz="4"/>
              <w:right w:val="single" w:color="AEB6BF" w:sz="4"/>
            </w:tcBorders>
            <w:shd w:fill="1B4F72"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2"/>
                <w:szCs w:val="22"/>
              </w:rPr>
              <w:t xml:space="preserve">□</w:t>
            </w:r>
          </w:p>
        </w:tc>
        <w:tc>
          <w:tcPr>
            <w:tcW w:type="dxa" w:w="8000"/>
            <w:tcBorders>
              <w:top w:val="single" w:color="AEB6BF" w:sz="4"/>
              <w:left w:val="single" w:color="AEB6BF" w:sz="4"/>
              <w:bottom w:val="single" w:color="AEB6BF" w:sz="4"/>
              <w:right w:val="single" w:color="AEB6BF" w:sz="4"/>
            </w:tcBorders>
            <w:shd w:fill="1B4F72"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Action Required</w:t>
            </w:r>
          </w:p>
        </w:tc>
        <w:tc>
          <w:tcPr>
            <w:tcW w:type="dxa" w:w="4000"/>
            <w:tcBorders>
              <w:top w:val="single" w:color="AEB6BF" w:sz="4"/>
              <w:left w:val="single" w:color="AEB6BF" w:sz="4"/>
              <w:bottom w:val="single" w:color="AEB6BF" w:sz="4"/>
              <w:right w:val="single" w:color="AEB6BF" w:sz="4"/>
            </w:tcBorders>
            <w:shd w:fill="1B4F72"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Priority</w:t>
            </w:r>
          </w:p>
        </w:tc>
        <w:tc>
          <w:tcPr>
            <w:tcW w:type="dxa" w:w="5760"/>
            <w:tcBorders>
              <w:top w:val="single" w:color="AEB6BF" w:sz="4"/>
              <w:left w:val="single" w:color="AEB6BF" w:sz="4"/>
              <w:bottom w:val="single" w:color="AEB6BF" w:sz="4"/>
              <w:right w:val="single" w:color="AEB6BF" w:sz="4"/>
            </w:tcBorders>
            <w:shd w:fill="1B4F72"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Estimated Effort</w:t>
            </w:r>
          </w:p>
        </w:tc>
        <w:tc>
          <w:tcPr>
            <w:tcW w:type="dxa" w:w="5000"/>
            <w:tcBorders>
              <w:top w:val="single" w:color="AEB6BF" w:sz="4"/>
              <w:left w:val="single" w:color="AEB6BF" w:sz="4"/>
              <w:bottom w:val="single" w:color="AEB6BF" w:sz="4"/>
              <w:right w:val="single" w:color="AEB6BF" w:sz="4"/>
            </w:tcBorders>
            <w:shd w:fill="1B4F72" w:val="clear"/>
            <w:tcMar>
              <w:top w:type="dxa" w:w="100"/>
              <w:left w:type="dxa" w:w="140"/>
              <w:bottom w:type="dxa" w:w="100"/>
              <w:right w:type="dxa" w:w="140"/>
            </w:tcMar>
            <w:vAlign w:val="center"/>
          </w:tcPr>
          <w:p>
            <w:pPr>
              <w:spacing w:after="40" w:before="40"/>
            </w:pPr>
            <w:r>
              <w:rPr>
                <w:rFonts w:ascii="Calibri" w:cs="Calibri" w:eastAsia="Calibri" w:hAnsi="Calibri"/>
                <w:b/>
                <w:bCs/>
                <w:color w:val="FFFFFF"/>
                <w:sz w:val="20"/>
                <w:szCs w:val="20"/>
              </w:rPr>
              <w:t xml:space="preserve">Linked Issue #</w:t>
            </w:r>
          </w:p>
        </w:tc>
      </w:tr>
      <w:tr>
        <w:tc>
          <w:tcPr>
            <w:tcW w:type="dxa" w:w="700"/>
            <w:tcBorders>
              <w:top w:val="single" w:color="AEB6BF" w:sz="4"/>
              <w:left w:val="single" w:color="AEB6BF" w:sz="4"/>
              <w:bottom w:val="single" w:color="AEB6BF" w:sz="4"/>
              <w:right w:val="single" w:color="AEB6BF" w:sz="4"/>
            </w:tcBorders>
            <w:shd w:fill="FFFFFF"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5D6D7E"/>
                <w:sz w:val="22"/>
                <w:szCs w:val="22"/>
              </w:rPr>
              <w:t xml:space="preserve">□</w:t>
            </w:r>
          </w:p>
        </w:tc>
        <w:tc>
          <w:tcPr>
            <w:tcW w:type="dxa" w:w="8000"/>
            <w:tcBorders>
              <w:top w:val="single" w:color="AEB6BF" w:sz="4"/>
              <w:left w:val="single" w:color="AEB6BF" w:sz="4"/>
              <w:bottom w:val="single" w:color="AEB6BF" w:sz="4"/>
              <w:right w:val="single" w:color="AEB6BF" w:sz="4"/>
            </w:tcBorders>
            <w:shd w:fill="FADBD8"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1A1A1A"/>
                <w:sz w:val="19"/>
                <w:szCs w:val="19"/>
              </w:rPr>
              <w:t xml:space="preserve">Obtain and document ethics approval for child participants</w:t>
            </w:r>
          </w:p>
        </w:tc>
        <w:tc>
          <w:tcPr>
            <w:tcW w:type="dxa" w:w="4000"/>
            <w:tcBorders>
              <w:top w:val="single" w:color="AEB6BF" w:sz="4"/>
              <w:left w:val="single" w:color="AEB6BF" w:sz="4"/>
              <w:bottom w:val="single" w:color="AEB6BF" w:sz="4"/>
              <w:right w:val="single" w:color="AEB6BF" w:sz="4"/>
            </w:tcBorders>
            <w:shd w:fill="FADBD8" w:val="clear"/>
            <w:tcMar>
              <w:top w:type="dxa" w:w="100"/>
              <w:left w:type="dxa" w:w="140"/>
              <w:bottom w:type="dxa" w:w="100"/>
              <w:right w:type="dxa" w:w="140"/>
            </w:tcMar>
            <w:vAlign w:val="center"/>
          </w:tcPr>
          <w:p>
            <w:pPr>
              <w:spacing w:after="40" w:before="40"/>
            </w:pPr>
            <w:r>
              <w:rPr>
                <w:rFonts w:ascii="Calibri" w:cs="Calibri" w:eastAsia="Calibri" w:hAnsi="Calibri"/>
                <w:b/>
                <w:bCs/>
                <w:color w:val="C0392B"/>
                <w:sz w:val="19"/>
                <w:szCs w:val="19"/>
              </w:rPr>
              <w:t xml:space="preserve">CRITICAL</w:t>
            </w:r>
          </w:p>
        </w:tc>
        <w:tc>
          <w:tcPr>
            <w:tcW w:type="dxa" w:w="5760"/>
            <w:tcBorders>
              <w:top w:val="single" w:color="AEB6BF" w:sz="4"/>
              <w:left w:val="single" w:color="AEB6BF" w:sz="4"/>
              <w:bottom w:val="single" w:color="AEB6BF" w:sz="4"/>
              <w:right w:val="single" w:color="AEB6BF" w:sz="4"/>
            </w:tcBorders>
            <w:shd w:fill="FADBD8"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1A1A1A"/>
                <w:sz w:val="19"/>
                <w:szCs w:val="19"/>
              </w:rPr>
              <w:t xml:space="preserve">Contact Research Center today — 1 day</w:t>
            </w:r>
          </w:p>
        </w:tc>
        <w:tc>
          <w:tcPr>
            <w:tcW w:type="dxa" w:w="5000"/>
            <w:tcBorders>
              <w:top w:val="single" w:color="AEB6BF" w:sz="4"/>
              <w:left w:val="single" w:color="AEB6BF" w:sz="4"/>
              <w:bottom w:val="single" w:color="AEB6BF" w:sz="4"/>
              <w:right w:val="single" w:color="AEB6BF" w:sz="4"/>
            </w:tcBorders>
            <w:shd w:fill="FADBD8"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5D6D7E"/>
                <w:sz w:val="19"/>
                <w:szCs w:val="19"/>
              </w:rPr>
              <w:t xml:space="preserve">#1</w:t>
            </w:r>
          </w:p>
        </w:tc>
      </w:tr>
      <w:tr>
        <w:tc>
          <w:tcPr>
            <w:tcW w:type="dxa" w:w="700"/>
            <w:tcBorders>
              <w:top w:val="single" w:color="AEB6BF" w:sz="4"/>
              <w:left w:val="single" w:color="AEB6BF" w:sz="4"/>
              <w:bottom w:val="single" w:color="AEB6BF" w:sz="4"/>
              <w:right w:val="single" w:color="AEB6BF" w:sz="4"/>
            </w:tcBorders>
            <w:shd w:fill="FFFFFF"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5D6D7E"/>
                <w:sz w:val="22"/>
                <w:szCs w:val="22"/>
              </w:rPr>
              <w:t xml:space="preserve">□</w:t>
            </w:r>
          </w:p>
        </w:tc>
        <w:tc>
          <w:tcPr>
            <w:tcW w:type="dxa" w:w="8000"/>
            <w:tcBorders>
              <w:top w:val="single" w:color="AEB6BF" w:sz="4"/>
              <w:left w:val="single" w:color="AEB6BF" w:sz="4"/>
              <w:bottom w:val="single" w:color="AEB6BF" w:sz="4"/>
              <w:right w:val="single" w:color="AEB6BF" w:sz="4"/>
            </w:tcBorders>
            <w:shd w:fill="FADBD8"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1A1A1A"/>
                <w:sz w:val="19"/>
                <w:szCs w:val="19"/>
              </w:rPr>
              <w:t xml:space="preserve">Expand abstract to 350–450 words; fix heading format; fix fragment</w:t>
            </w:r>
          </w:p>
        </w:tc>
        <w:tc>
          <w:tcPr>
            <w:tcW w:type="dxa" w:w="4000"/>
            <w:tcBorders>
              <w:top w:val="single" w:color="AEB6BF" w:sz="4"/>
              <w:left w:val="single" w:color="AEB6BF" w:sz="4"/>
              <w:bottom w:val="single" w:color="AEB6BF" w:sz="4"/>
              <w:right w:val="single" w:color="AEB6BF" w:sz="4"/>
            </w:tcBorders>
            <w:shd w:fill="FADBD8" w:val="clear"/>
            <w:tcMar>
              <w:top w:type="dxa" w:w="100"/>
              <w:left w:type="dxa" w:w="140"/>
              <w:bottom w:type="dxa" w:w="100"/>
              <w:right w:type="dxa" w:w="140"/>
            </w:tcMar>
            <w:vAlign w:val="center"/>
          </w:tcPr>
          <w:p>
            <w:pPr>
              <w:spacing w:after="40" w:before="40"/>
            </w:pPr>
            <w:r>
              <w:rPr>
                <w:rFonts w:ascii="Calibri" w:cs="Calibri" w:eastAsia="Calibri" w:hAnsi="Calibri"/>
                <w:b/>
                <w:bCs/>
                <w:color w:val="C0392B"/>
                <w:sz w:val="19"/>
                <w:szCs w:val="19"/>
              </w:rPr>
              <w:t xml:space="preserve">CRITICAL</w:t>
            </w:r>
          </w:p>
        </w:tc>
        <w:tc>
          <w:tcPr>
            <w:tcW w:type="dxa" w:w="5760"/>
            <w:tcBorders>
              <w:top w:val="single" w:color="AEB6BF" w:sz="4"/>
              <w:left w:val="single" w:color="AEB6BF" w:sz="4"/>
              <w:bottom w:val="single" w:color="AEB6BF" w:sz="4"/>
              <w:right w:val="single" w:color="AEB6BF" w:sz="4"/>
            </w:tcBorders>
            <w:shd w:fill="FADBD8"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1A1A1A"/>
                <w:sz w:val="19"/>
                <w:szCs w:val="19"/>
              </w:rPr>
              <w:t xml:space="preserve">30 minutes writing</w:t>
            </w:r>
          </w:p>
        </w:tc>
        <w:tc>
          <w:tcPr>
            <w:tcW w:type="dxa" w:w="5000"/>
            <w:tcBorders>
              <w:top w:val="single" w:color="AEB6BF" w:sz="4"/>
              <w:left w:val="single" w:color="AEB6BF" w:sz="4"/>
              <w:bottom w:val="single" w:color="AEB6BF" w:sz="4"/>
              <w:right w:val="single" w:color="AEB6BF" w:sz="4"/>
            </w:tcBorders>
            <w:shd w:fill="FADBD8"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5D6D7E"/>
                <w:sz w:val="19"/>
                <w:szCs w:val="19"/>
              </w:rPr>
              <w:t xml:space="preserve">#2</w:t>
            </w:r>
          </w:p>
        </w:tc>
      </w:tr>
      <w:tr>
        <w:tc>
          <w:tcPr>
            <w:tcW w:type="dxa" w:w="700"/>
            <w:tcBorders>
              <w:top w:val="single" w:color="AEB6BF" w:sz="4"/>
              <w:left w:val="single" w:color="AEB6BF" w:sz="4"/>
              <w:bottom w:val="single" w:color="AEB6BF" w:sz="4"/>
              <w:right w:val="single" w:color="AEB6BF" w:sz="4"/>
            </w:tcBorders>
            <w:shd w:fill="FFFFFF"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5D6D7E"/>
                <w:sz w:val="22"/>
                <w:szCs w:val="22"/>
              </w:rPr>
              <w:t xml:space="preserve">□</w:t>
            </w:r>
          </w:p>
        </w:tc>
        <w:tc>
          <w:tcPr>
            <w:tcW w:type="dxa" w:w="8000"/>
            <w:tcBorders>
              <w:top w:val="single" w:color="AEB6BF" w:sz="4"/>
              <w:left w:val="single" w:color="AEB6BF" w:sz="4"/>
              <w:bottom w:val="single" w:color="AEB6BF" w:sz="4"/>
              <w:right w:val="single" w:color="AEB6BF" w:sz="4"/>
            </w:tcBorders>
            <w:shd w:fill="FADBD8"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1A1A1A"/>
                <w:sz w:val="19"/>
                <w:szCs w:val="19"/>
              </w:rPr>
              <w:t xml:space="preserve">Remove LaTeX artifacts ('latex, orphaned '1') from document</w:t>
            </w:r>
          </w:p>
        </w:tc>
        <w:tc>
          <w:tcPr>
            <w:tcW w:type="dxa" w:w="4000"/>
            <w:tcBorders>
              <w:top w:val="single" w:color="AEB6BF" w:sz="4"/>
              <w:left w:val="single" w:color="AEB6BF" w:sz="4"/>
              <w:bottom w:val="single" w:color="AEB6BF" w:sz="4"/>
              <w:right w:val="single" w:color="AEB6BF" w:sz="4"/>
            </w:tcBorders>
            <w:shd w:fill="FADBD8" w:val="clear"/>
            <w:tcMar>
              <w:top w:type="dxa" w:w="100"/>
              <w:left w:type="dxa" w:w="140"/>
              <w:bottom w:type="dxa" w:w="100"/>
              <w:right w:type="dxa" w:w="140"/>
            </w:tcMar>
            <w:vAlign w:val="center"/>
          </w:tcPr>
          <w:p>
            <w:pPr>
              <w:spacing w:after="40" w:before="40"/>
            </w:pPr>
            <w:r>
              <w:rPr>
                <w:rFonts w:ascii="Calibri" w:cs="Calibri" w:eastAsia="Calibri" w:hAnsi="Calibri"/>
                <w:b/>
                <w:bCs/>
                <w:color w:val="C0392B"/>
                <w:sz w:val="19"/>
                <w:szCs w:val="19"/>
              </w:rPr>
              <w:t xml:space="preserve">CRITICAL</w:t>
            </w:r>
          </w:p>
        </w:tc>
        <w:tc>
          <w:tcPr>
            <w:tcW w:type="dxa" w:w="5760"/>
            <w:tcBorders>
              <w:top w:val="single" w:color="AEB6BF" w:sz="4"/>
              <w:left w:val="single" w:color="AEB6BF" w:sz="4"/>
              <w:bottom w:val="single" w:color="AEB6BF" w:sz="4"/>
              <w:right w:val="single" w:color="AEB6BF" w:sz="4"/>
            </w:tcBorders>
            <w:shd w:fill="FADBD8"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1A1A1A"/>
                <w:sz w:val="19"/>
                <w:szCs w:val="19"/>
              </w:rPr>
              <w:t xml:space="preserve">5 minutes — find &amp; delete</w:t>
            </w:r>
          </w:p>
        </w:tc>
        <w:tc>
          <w:tcPr>
            <w:tcW w:type="dxa" w:w="5000"/>
            <w:tcBorders>
              <w:top w:val="single" w:color="AEB6BF" w:sz="4"/>
              <w:left w:val="single" w:color="AEB6BF" w:sz="4"/>
              <w:bottom w:val="single" w:color="AEB6BF" w:sz="4"/>
              <w:right w:val="single" w:color="AEB6BF" w:sz="4"/>
            </w:tcBorders>
            <w:shd w:fill="FADBD8"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5D6D7E"/>
                <w:sz w:val="19"/>
                <w:szCs w:val="19"/>
              </w:rPr>
              <w:t xml:space="preserve">#3</w:t>
            </w:r>
          </w:p>
        </w:tc>
      </w:tr>
      <w:tr>
        <w:tc>
          <w:tcPr>
            <w:tcW w:type="dxa" w:w="700"/>
            <w:tcBorders>
              <w:top w:val="single" w:color="AEB6BF" w:sz="4"/>
              <w:left w:val="single" w:color="AEB6BF" w:sz="4"/>
              <w:bottom w:val="single" w:color="AEB6BF" w:sz="4"/>
              <w:right w:val="single" w:color="AEB6BF" w:sz="4"/>
            </w:tcBorders>
            <w:shd w:fill="FFFFFF"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5D6D7E"/>
                <w:sz w:val="22"/>
                <w:szCs w:val="22"/>
              </w:rPr>
              <w:t xml:space="preserve">□</w:t>
            </w:r>
          </w:p>
        </w:tc>
        <w:tc>
          <w:tcPr>
            <w:tcW w:type="dxa" w:w="800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1A1A1A"/>
                <w:sz w:val="19"/>
                <w:szCs w:val="19"/>
              </w:rPr>
              <w:t xml:space="preserve">Fix front matter order: Abstract must come before TOC</w:t>
            </w:r>
          </w:p>
        </w:tc>
        <w:tc>
          <w:tcPr>
            <w:tcW w:type="dxa" w:w="400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center"/>
          </w:tcPr>
          <w:p>
            <w:pPr>
              <w:spacing w:after="40" w:before="40"/>
            </w:pPr>
            <w:r>
              <w:rPr>
                <w:rFonts w:ascii="Calibri" w:cs="Calibri" w:eastAsia="Calibri" w:hAnsi="Calibri"/>
                <w:b/>
                <w:bCs/>
                <w:color w:val="E67E22"/>
                <w:sz w:val="19"/>
                <w:szCs w:val="19"/>
              </w:rPr>
              <w:t xml:space="preserve">HIGH</w:t>
            </w:r>
          </w:p>
        </w:tc>
        <w:tc>
          <w:tcPr>
            <w:tcW w:type="dxa" w:w="576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1A1A1A"/>
                <w:sz w:val="19"/>
                <w:szCs w:val="19"/>
              </w:rPr>
              <w:t xml:space="preserve">20 minutes — reorder pages</w:t>
            </w:r>
          </w:p>
        </w:tc>
        <w:tc>
          <w:tcPr>
            <w:tcW w:type="dxa" w:w="500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5D6D7E"/>
                <w:sz w:val="19"/>
                <w:szCs w:val="19"/>
              </w:rPr>
              <w:t xml:space="preserve">#4</w:t>
            </w:r>
          </w:p>
        </w:tc>
      </w:tr>
      <w:tr>
        <w:tc>
          <w:tcPr>
            <w:tcW w:type="dxa" w:w="700"/>
            <w:tcBorders>
              <w:top w:val="single" w:color="AEB6BF" w:sz="4"/>
              <w:left w:val="single" w:color="AEB6BF" w:sz="4"/>
              <w:bottom w:val="single" w:color="AEB6BF" w:sz="4"/>
              <w:right w:val="single" w:color="AEB6BF" w:sz="4"/>
            </w:tcBorders>
            <w:shd w:fill="FFFFFF"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5D6D7E"/>
                <w:sz w:val="22"/>
                <w:szCs w:val="22"/>
              </w:rPr>
              <w:t xml:space="preserve">□</w:t>
            </w:r>
          </w:p>
        </w:tc>
        <w:tc>
          <w:tcPr>
            <w:tcW w:type="dxa" w:w="800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1A1A1A"/>
                <w:sz w:val="19"/>
                <w:szCs w:val="19"/>
              </w:rPr>
              <w:t xml:space="preserve">Migrate PIN/token storage from AsyncStorage to SecureStore</w:t>
            </w:r>
          </w:p>
        </w:tc>
        <w:tc>
          <w:tcPr>
            <w:tcW w:type="dxa" w:w="400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center"/>
          </w:tcPr>
          <w:p>
            <w:pPr>
              <w:spacing w:after="40" w:before="40"/>
            </w:pPr>
            <w:r>
              <w:rPr>
                <w:rFonts w:ascii="Calibri" w:cs="Calibri" w:eastAsia="Calibri" w:hAnsi="Calibri"/>
                <w:b/>
                <w:bCs/>
                <w:color w:val="E67E22"/>
                <w:sz w:val="19"/>
                <w:szCs w:val="19"/>
              </w:rPr>
              <w:t xml:space="preserve">HIGH</w:t>
            </w:r>
          </w:p>
        </w:tc>
        <w:tc>
          <w:tcPr>
            <w:tcW w:type="dxa" w:w="576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1A1A1A"/>
                <w:sz w:val="19"/>
                <w:szCs w:val="19"/>
              </w:rPr>
              <w:t xml:space="preserve">1–2 hours coding</w:t>
            </w:r>
          </w:p>
        </w:tc>
        <w:tc>
          <w:tcPr>
            <w:tcW w:type="dxa" w:w="500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5D6D7E"/>
                <w:sz w:val="19"/>
                <w:szCs w:val="19"/>
              </w:rPr>
              <w:t xml:space="preserve">#5, #14</w:t>
            </w:r>
          </w:p>
        </w:tc>
      </w:tr>
      <w:tr>
        <w:tc>
          <w:tcPr>
            <w:tcW w:type="dxa" w:w="700"/>
            <w:tcBorders>
              <w:top w:val="single" w:color="AEB6BF" w:sz="4"/>
              <w:left w:val="single" w:color="AEB6BF" w:sz="4"/>
              <w:bottom w:val="single" w:color="AEB6BF" w:sz="4"/>
              <w:right w:val="single" w:color="AEB6BF" w:sz="4"/>
            </w:tcBorders>
            <w:shd w:fill="FFFFFF"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5D6D7E"/>
                <w:sz w:val="22"/>
                <w:szCs w:val="22"/>
              </w:rPr>
              <w:t xml:space="preserve">□</w:t>
            </w:r>
          </w:p>
        </w:tc>
        <w:tc>
          <w:tcPr>
            <w:tcW w:type="dxa" w:w="800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1A1A1A"/>
                <w:sz w:val="19"/>
                <w:szCs w:val="19"/>
              </w:rPr>
              <w:t xml:space="preserve">Clarify ElevenLabs vs. expo-speech status in Section 6.9.4</w:t>
            </w:r>
          </w:p>
        </w:tc>
        <w:tc>
          <w:tcPr>
            <w:tcW w:type="dxa" w:w="400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center"/>
          </w:tcPr>
          <w:p>
            <w:pPr>
              <w:spacing w:after="40" w:before="40"/>
            </w:pPr>
            <w:r>
              <w:rPr>
                <w:rFonts w:ascii="Calibri" w:cs="Calibri" w:eastAsia="Calibri" w:hAnsi="Calibri"/>
                <w:b/>
                <w:bCs/>
                <w:color w:val="E67E22"/>
                <w:sz w:val="19"/>
                <w:szCs w:val="19"/>
              </w:rPr>
              <w:t xml:space="preserve">HIGH</w:t>
            </w:r>
          </w:p>
        </w:tc>
        <w:tc>
          <w:tcPr>
            <w:tcW w:type="dxa" w:w="576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1A1A1A"/>
                <w:sz w:val="19"/>
                <w:szCs w:val="19"/>
              </w:rPr>
              <w:t xml:space="preserve">30 minutes — add Integration Status paragraph</w:t>
            </w:r>
          </w:p>
        </w:tc>
        <w:tc>
          <w:tcPr>
            <w:tcW w:type="dxa" w:w="500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5D6D7E"/>
                <w:sz w:val="19"/>
                <w:szCs w:val="19"/>
              </w:rPr>
              <w:t xml:space="preserve">#6</w:t>
            </w:r>
          </w:p>
        </w:tc>
      </w:tr>
      <w:tr>
        <w:tc>
          <w:tcPr>
            <w:tcW w:type="dxa" w:w="700"/>
            <w:tcBorders>
              <w:top w:val="single" w:color="AEB6BF" w:sz="4"/>
              <w:left w:val="single" w:color="AEB6BF" w:sz="4"/>
              <w:bottom w:val="single" w:color="AEB6BF" w:sz="4"/>
              <w:right w:val="single" w:color="AEB6BF" w:sz="4"/>
            </w:tcBorders>
            <w:shd w:fill="FFFFFF"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5D6D7E"/>
                <w:sz w:val="22"/>
                <w:szCs w:val="22"/>
              </w:rPr>
              <w:t xml:space="preserve">□</w:t>
            </w:r>
          </w:p>
        </w:tc>
        <w:tc>
          <w:tcPr>
            <w:tcW w:type="dxa" w:w="800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1A1A1A"/>
                <w:sz w:val="19"/>
                <w:szCs w:val="19"/>
              </w:rPr>
              <w:t xml:space="preserve">Test or document Read with Help in a native EAS build</w:t>
            </w:r>
          </w:p>
        </w:tc>
        <w:tc>
          <w:tcPr>
            <w:tcW w:type="dxa" w:w="400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center"/>
          </w:tcPr>
          <w:p>
            <w:pPr>
              <w:spacing w:after="40" w:before="40"/>
            </w:pPr>
            <w:r>
              <w:rPr>
                <w:rFonts w:ascii="Calibri" w:cs="Calibri" w:eastAsia="Calibri" w:hAnsi="Calibri"/>
                <w:b/>
                <w:bCs/>
                <w:color w:val="E67E22"/>
                <w:sz w:val="19"/>
                <w:szCs w:val="19"/>
              </w:rPr>
              <w:t xml:space="preserve">HIGH</w:t>
            </w:r>
          </w:p>
        </w:tc>
        <w:tc>
          <w:tcPr>
            <w:tcW w:type="dxa" w:w="576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1A1A1A"/>
                <w:sz w:val="19"/>
                <w:szCs w:val="19"/>
              </w:rPr>
              <w:t xml:space="preserve">2–4 hours (EAS build + test)</w:t>
            </w:r>
          </w:p>
        </w:tc>
        <w:tc>
          <w:tcPr>
            <w:tcW w:type="dxa" w:w="500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5D6D7E"/>
                <w:sz w:val="19"/>
                <w:szCs w:val="19"/>
              </w:rPr>
              <w:t xml:space="preserve">#7</w:t>
            </w:r>
          </w:p>
        </w:tc>
      </w:tr>
      <w:tr>
        <w:tc>
          <w:tcPr>
            <w:tcW w:type="dxa" w:w="700"/>
            <w:tcBorders>
              <w:top w:val="single" w:color="AEB6BF" w:sz="4"/>
              <w:left w:val="single" w:color="AEB6BF" w:sz="4"/>
              <w:bottom w:val="single" w:color="AEB6BF" w:sz="4"/>
              <w:right w:val="single" w:color="AEB6BF" w:sz="4"/>
            </w:tcBorders>
            <w:shd w:fill="FFFFFF"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5D6D7E"/>
                <w:sz w:val="22"/>
                <w:szCs w:val="22"/>
              </w:rPr>
              <w:t xml:space="preserve">□</w:t>
            </w:r>
          </w:p>
        </w:tc>
        <w:tc>
          <w:tcPr>
            <w:tcW w:type="dxa" w:w="800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1A1A1A"/>
                <w:sz w:val="19"/>
                <w:szCs w:val="19"/>
              </w:rPr>
              <w:t xml:space="preserve">Add unit test results table to Chapter 7</w:t>
            </w:r>
          </w:p>
        </w:tc>
        <w:tc>
          <w:tcPr>
            <w:tcW w:type="dxa" w:w="400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center"/>
          </w:tcPr>
          <w:p>
            <w:pPr>
              <w:spacing w:after="40" w:before="40"/>
            </w:pPr>
            <w:r>
              <w:rPr>
                <w:rFonts w:ascii="Calibri" w:cs="Calibri" w:eastAsia="Calibri" w:hAnsi="Calibri"/>
                <w:b/>
                <w:bCs/>
                <w:color w:val="E67E22"/>
                <w:sz w:val="19"/>
                <w:szCs w:val="19"/>
              </w:rPr>
              <w:t xml:space="preserve">HIGH</w:t>
            </w:r>
          </w:p>
        </w:tc>
        <w:tc>
          <w:tcPr>
            <w:tcW w:type="dxa" w:w="576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1A1A1A"/>
                <w:sz w:val="19"/>
                <w:szCs w:val="19"/>
              </w:rPr>
              <w:t xml:space="preserve">1 hour — extract Jest output</w:t>
            </w:r>
          </w:p>
        </w:tc>
        <w:tc>
          <w:tcPr>
            <w:tcW w:type="dxa" w:w="5000"/>
            <w:tcBorders>
              <w:top w:val="single" w:color="AEB6BF" w:sz="4"/>
              <w:left w:val="single" w:color="AEB6BF" w:sz="4"/>
              <w:bottom w:val="single" w:color="AEB6BF" w:sz="4"/>
              <w:right w:val="single" w:color="AEB6BF" w:sz="4"/>
            </w:tcBorders>
            <w:shd w:fill="FDEBD0"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5D6D7E"/>
                <w:sz w:val="19"/>
                <w:szCs w:val="19"/>
              </w:rPr>
              <w:t xml:space="preserve">#8</w:t>
            </w:r>
          </w:p>
        </w:tc>
      </w:tr>
      <w:tr>
        <w:tc>
          <w:tcPr>
            <w:tcW w:type="dxa" w:w="700"/>
            <w:tcBorders>
              <w:top w:val="single" w:color="AEB6BF" w:sz="4"/>
              <w:left w:val="single" w:color="AEB6BF" w:sz="4"/>
              <w:bottom w:val="single" w:color="AEB6BF" w:sz="4"/>
              <w:right w:val="single" w:color="AEB6BF" w:sz="4"/>
            </w:tcBorders>
            <w:shd w:fill="FFFFFF"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5D6D7E"/>
                <w:sz w:val="22"/>
                <w:szCs w:val="22"/>
              </w:rPr>
              <w:t xml:space="preserve">□</w:t>
            </w:r>
          </w:p>
        </w:tc>
        <w:tc>
          <w:tcPr>
            <w:tcW w:type="dxa" w:w="80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1A1A1A"/>
                <w:sz w:val="19"/>
                <w:szCs w:val="19"/>
              </w:rPr>
              <w:t xml:space="preserve">Broaden literature review: add HCI, literacy, privacy papers</w:t>
            </w:r>
          </w:p>
        </w:tc>
        <w:tc>
          <w:tcPr>
            <w:tcW w:type="dxa" w:w="40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center"/>
          </w:tcPr>
          <w:p>
            <w:pPr>
              <w:spacing w:after="40" w:before="40"/>
            </w:pPr>
            <w:r>
              <w:rPr>
                <w:rFonts w:ascii="Calibri" w:cs="Calibri" w:eastAsia="Calibri" w:hAnsi="Calibri"/>
                <w:b/>
                <w:bCs/>
                <w:color w:val="7D6608"/>
                <w:sz w:val="19"/>
                <w:szCs w:val="19"/>
              </w:rPr>
              <w:t xml:space="preserve">MEDIUM</w:t>
            </w:r>
          </w:p>
        </w:tc>
        <w:tc>
          <w:tcPr>
            <w:tcW w:type="dxa" w:w="576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1A1A1A"/>
                <w:sz w:val="19"/>
                <w:szCs w:val="19"/>
              </w:rPr>
              <w:t xml:space="preserve">3–4 hours research + writing</w:t>
            </w:r>
          </w:p>
        </w:tc>
        <w:tc>
          <w:tcPr>
            <w:tcW w:type="dxa" w:w="50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5D6D7E"/>
                <w:sz w:val="19"/>
                <w:szCs w:val="19"/>
              </w:rPr>
              <w:t xml:space="preserve">#9</w:t>
            </w:r>
          </w:p>
        </w:tc>
      </w:tr>
      <w:tr>
        <w:tc>
          <w:tcPr>
            <w:tcW w:type="dxa" w:w="700"/>
            <w:tcBorders>
              <w:top w:val="single" w:color="AEB6BF" w:sz="4"/>
              <w:left w:val="single" w:color="AEB6BF" w:sz="4"/>
              <w:bottom w:val="single" w:color="AEB6BF" w:sz="4"/>
              <w:right w:val="single" w:color="AEB6BF" w:sz="4"/>
            </w:tcBorders>
            <w:shd w:fill="FFFFFF"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5D6D7E"/>
                <w:sz w:val="22"/>
                <w:szCs w:val="22"/>
              </w:rPr>
              <w:t xml:space="preserve">□</w:t>
            </w:r>
          </w:p>
        </w:tc>
        <w:tc>
          <w:tcPr>
            <w:tcW w:type="dxa" w:w="80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1A1A1A"/>
                <w:sz w:val="19"/>
                <w:szCs w:val="19"/>
              </w:rPr>
              <w:t xml:space="preserve">Rewrite conclusion to cite testing results tables directly</w:t>
            </w:r>
          </w:p>
        </w:tc>
        <w:tc>
          <w:tcPr>
            <w:tcW w:type="dxa" w:w="40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center"/>
          </w:tcPr>
          <w:p>
            <w:pPr>
              <w:spacing w:after="40" w:before="40"/>
            </w:pPr>
            <w:r>
              <w:rPr>
                <w:rFonts w:ascii="Calibri" w:cs="Calibri" w:eastAsia="Calibri" w:hAnsi="Calibri"/>
                <w:b/>
                <w:bCs/>
                <w:color w:val="7D6608"/>
                <w:sz w:val="19"/>
                <w:szCs w:val="19"/>
              </w:rPr>
              <w:t xml:space="preserve">MEDIUM</w:t>
            </w:r>
          </w:p>
        </w:tc>
        <w:tc>
          <w:tcPr>
            <w:tcW w:type="dxa" w:w="576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1A1A1A"/>
                <w:sz w:val="19"/>
                <w:szCs w:val="19"/>
              </w:rPr>
              <w:t xml:space="preserve">1 hour writing</w:t>
            </w:r>
          </w:p>
        </w:tc>
        <w:tc>
          <w:tcPr>
            <w:tcW w:type="dxa" w:w="50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5D6D7E"/>
                <w:sz w:val="19"/>
                <w:szCs w:val="19"/>
              </w:rPr>
              <w:t xml:space="preserve">#10</w:t>
            </w:r>
          </w:p>
        </w:tc>
      </w:tr>
      <w:tr>
        <w:tc>
          <w:tcPr>
            <w:tcW w:type="dxa" w:w="700"/>
            <w:tcBorders>
              <w:top w:val="single" w:color="AEB6BF" w:sz="4"/>
              <w:left w:val="single" w:color="AEB6BF" w:sz="4"/>
              <w:bottom w:val="single" w:color="AEB6BF" w:sz="4"/>
              <w:right w:val="single" w:color="AEB6BF" w:sz="4"/>
            </w:tcBorders>
            <w:shd w:fill="FFFFFF"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5D6D7E"/>
                <w:sz w:val="22"/>
                <w:szCs w:val="22"/>
              </w:rPr>
              <w:t xml:space="preserve">□</w:t>
            </w:r>
          </w:p>
        </w:tc>
        <w:tc>
          <w:tcPr>
            <w:tcW w:type="dxa" w:w="80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1A1A1A"/>
                <w:sz w:val="19"/>
                <w:szCs w:val="19"/>
              </w:rPr>
              <w:t xml:space="preserve">Fix all typos: enviroment, knowleged, ::, only only, suchh, verifiess</w:t>
            </w:r>
          </w:p>
        </w:tc>
        <w:tc>
          <w:tcPr>
            <w:tcW w:type="dxa" w:w="40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center"/>
          </w:tcPr>
          <w:p>
            <w:pPr>
              <w:spacing w:after="40" w:before="40"/>
            </w:pPr>
            <w:r>
              <w:rPr>
                <w:rFonts w:ascii="Calibri" w:cs="Calibri" w:eastAsia="Calibri" w:hAnsi="Calibri"/>
                <w:b/>
                <w:bCs/>
                <w:color w:val="7D6608"/>
                <w:sz w:val="19"/>
                <w:szCs w:val="19"/>
              </w:rPr>
              <w:t xml:space="preserve">MEDIUM</w:t>
            </w:r>
          </w:p>
        </w:tc>
        <w:tc>
          <w:tcPr>
            <w:tcW w:type="dxa" w:w="576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1A1A1A"/>
                <w:sz w:val="19"/>
                <w:szCs w:val="19"/>
              </w:rPr>
              <w:t xml:space="preserve">30 minutes find &amp; replace</w:t>
            </w:r>
          </w:p>
        </w:tc>
        <w:tc>
          <w:tcPr>
            <w:tcW w:type="dxa" w:w="50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5D6D7E"/>
                <w:sz w:val="19"/>
                <w:szCs w:val="19"/>
              </w:rPr>
              <w:t xml:space="preserve">#11</w:t>
            </w:r>
          </w:p>
        </w:tc>
      </w:tr>
      <w:tr>
        <w:tc>
          <w:tcPr>
            <w:tcW w:type="dxa" w:w="700"/>
            <w:tcBorders>
              <w:top w:val="single" w:color="AEB6BF" w:sz="4"/>
              <w:left w:val="single" w:color="AEB6BF" w:sz="4"/>
              <w:bottom w:val="single" w:color="AEB6BF" w:sz="4"/>
              <w:right w:val="single" w:color="AEB6BF" w:sz="4"/>
            </w:tcBorders>
            <w:shd w:fill="FFFFFF"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5D6D7E"/>
                <w:sz w:val="22"/>
                <w:szCs w:val="22"/>
              </w:rPr>
              <w:t xml:space="preserve">□</w:t>
            </w:r>
          </w:p>
        </w:tc>
        <w:tc>
          <w:tcPr>
            <w:tcW w:type="dxa" w:w="80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1A1A1A"/>
                <w:sz w:val="19"/>
                <w:szCs w:val="19"/>
              </w:rPr>
              <w:t xml:space="preserve">Add Feature Completion Status table to Chapter 3 or 8</w:t>
            </w:r>
          </w:p>
        </w:tc>
        <w:tc>
          <w:tcPr>
            <w:tcW w:type="dxa" w:w="40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center"/>
          </w:tcPr>
          <w:p>
            <w:pPr>
              <w:spacing w:after="40" w:before="40"/>
            </w:pPr>
            <w:r>
              <w:rPr>
                <w:rFonts w:ascii="Calibri" w:cs="Calibri" w:eastAsia="Calibri" w:hAnsi="Calibri"/>
                <w:b/>
                <w:bCs/>
                <w:color w:val="7D6608"/>
                <w:sz w:val="19"/>
                <w:szCs w:val="19"/>
              </w:rPr>
              <w:t xml:space="preserve">MEDIUM</w:t>
            </w:r>
          </w:p>
        </w:tc>
        <w:tc>
          <w:tcPr>
            <w:tcW w:type="dxa" w:w="576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1A1A1A"/>
                <w:sz w:val="19"/>
                <w:szCs w:val="19"/>
              </w:rPr>
              <w:t xml:space="preserve">30 minutes</w:t>
            </w:r>
          </w:p>
        </w:tc>
        <w:tc>
          <w:tcPr>
            <w:tcW w:type="dxa" w:w="50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5D6D7E"/>
                <w:sz w:val="19"/>
                <w:szCs w:val="19"/>
              </w:rPr>
              <w:t xml:space="preserve">#12</w:t>
            </w:r>
          </w:p>
        </w:tc>
      </w:tr>
      <w:tr>
        <w:tc>
          <w:tcPr>
            <w:tcW w:type="dxa" w:w="700"/>
            <w:tcBorders>
              <w:top w:val="single" w:color="AEB6BF" w:sz="4"/>
              <w:left w:val="single" w:color="AEB6BF" w:sz="4"/>
              <w:bottom w:val="single" w:color="AEB6BF" w:sz="4"/>
              <w:right w:val="single" w:color="AEB6BF" w:sz="4"/>
            </w:tcBorders>
            <w:shd w:fill="FFFFFF"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5D6D7E"/>
                <w:sz w:val="22"/>
                <w:szCs w:val="22"/>
              </w:rPr>
              <w:t xml:space="preserve">□</w:t>
            </w:r>
          </w:p>
        </w:tc>
        <w:tc>
          <w:tcPr>
            <w:tcW w:type="dxa" w:w="80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1A1A1A"/>
                <w:sz w:val="19"/>
                <w:szCs w:val="19"/>
              </w:rPr>
              <w:t xml:space="preserve">Add appendices: ethics docs, API table, test scripts, EAS config</w:t>
            </w:r>
          </w:p>
        </w:tc>
        <w:tc>
          <w:tcPr>
            <w:tcW w:type="dxa" w:w="40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center"/>
          </w:tcPr>
          <w:p>
            <w:pPr>
              <w:spacing w:after="40" w:before="40"/>
            </w:pPr>
            <w:r>
              <w:rPr>
                <w:rFonts w:ascii="Calibri" w:cs="Calibri" w:eastAsia="Calibri" w:hAnsi="Calibri"/>
                <w:b/>
                <w:bCs/>
                <w:color w:val="7D6608"/>
                <w:sz w:val="19"/>
                <w:szCs w:val="19"/>
              </w:rPr>
              <w:t xml:space="preserve">MEDIUM</w:t>
            </w:r>
          </w:p>
        </w:tc>
        <w:tc>
          <w:tcPr>
            <w:tcW w:type="dxa" w:w="576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1A1A1A"/>
                <w:sz w:val="19"/>
                <w:szCs w:val="19"/>
              </w:rPr>
              <w:t xml:space="preserve">2 hours compiling</w:t>
            </w:r>
          </w:p>
        </w:tc>
        <w:tc>
          <w:tcPr>
            <w:tcW w:type="dxa" w:w="50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5D6D7E"/>
                <w:sz w:val="19"/>
                <w:szCs w:val="19"/>
              </w:rPr>
              <w:t xml:space="preserve">#13</w:t>
            </w:r>
          </w:p>
        </w:tc>
      </w:tr>
      <w:tr>
        <w:tc>
          <w:tcPr>
            <w:tcW w:type="dxa" w:w="700"/>
            <w:tcBorders>
              <w:top w:val="single" w:color="AEB6BF" w:sz="4"/>
              <w:left w:val="single" w:color="AEB6BF" w:sz="4"/>
              <w:bottom w:val="single" w:color="AEB6BF" w:sz="4"/>
              <w:right w:val="single" w:color="AEB6BF" w:sz="4"/>
            </w:tcBorders>
            <w:shd w:fill="FFFFFF"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5D6D7E"/>
                <w:sz w:val="22"/>
                <w:szCs w:val="22"/>
              </w:rPr>
              <w:t xml:space="preserve">□</w:t>
            </w:r>
          </w:p>
        </w:tc>
        <w:tc>
          <w:tcPr>
            <w:tcW w:type="dxa" w:w="80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1A1A1A"/>
                <w:sz w:val="19"/>
                <w:szCs w:val="19"/>
              </w:rPr>
              <w:t xml:space="preserve">Revise research question to match what the project actually tested</w:t>
            </w:r>
          </w:p>
        </w:tc>
        <w:tc>
          <w:tcPr>
            <w:tcW w:type="dxa" w:w="40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center"/>
          </w:tcPr>
          <w:p>
            <w:pPr>
              <w:spacing w:after="40" w:before="40"/>
            </w:pPr>
            <w:r>
              <w:rPr>
                <w:rFonts w:ascii="Calibri" w:cs="Calibri" w:eastAsia="Calibri" w:hAnsi="Calibri"/>
                <w:b/>
                <w:bCs/>
                <w:color w:val="7D6608"/>
                <w:sz w:val="19"/>
                <w:szCs w:val="19"/>
              </w:rPr>
              <w:t xml:space="preserve">MEDIUM</w:t>
            </w:r>
          </w:p>
        </w:tc>
        <w:tc>
          <w:tcPr>
            <w:tcW w:type="dxa" w:w="576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1A1A1A"/>
                <w:sz w:val="19"/>
                <w:szCs w:val="19"/>
              </w:rPr>
              <w:t xml:space="preserve">20 minutes writing</w:t>
            </w:r>
          </w:p>
        </w:tc>
        <w:tc>
          <w:tcPr>
            <w:tcW w:type="dxa" w:w="50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5D6D7E"/>
                <w:sz w:val="19"/>
                <w:szCs w:val="19"/>
              </w:rPr>
              <w:t xml:space="preserve">#15</w:t>
            </w:r>
          </w:p>
        </w:tc>
      </w:tr>
      <w:tr>
        <w:tc>
          <w:tcPr>
            <w:tcW w:type="dxa" w:w="700"/>
            <w:tcBorders>
              <w:top w:val="single" w:color="AEB6BF" w:sz="4"/>
              <w:left w:val="single" w:color="AEB6BF" w:sz="4"/>
              <w:bottom w:val="single" w:color="AEB6BF" w:sz="4"/>
              <w:right w:val="single" w:color="AEB6BF" w:sz="4"/>
            </w:tcBorders>
            <w:shd w:fill="FFFFFF"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5D6D7E"/>
                <w:sz w:val="22"/>
                <w:szCs w:val="22"/>
              </w:rPr>
              <w:t xml:space="preserve">□</w:t>
            </w:r>
          </w:p>
        </w:tc>
        <w:tc>
          <w:tcPr>
            <w:tcW w:type="dxa" w:w="80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1A1A1A"/>
                <w:sz w:val="19"/>
                <w:szCs w:val="19"/>
              </w:rPr>
              <w:t xml:space="preserve">Check and standardize all ToggleTails/ToggleTail name occurrences</w:t>
            </w:r>
          </w:p>
        </w:tc>
        <w:tc>
          <w:tcPr>
            <w:tcW w:type="dxa" w:w="40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center"/>
          </w:tcPr>
          <w:p>
            <w:pPr>
              <w:spacing w:after="40" w:before="40"/>
            </w:pPr>
            <w:r>
              <w:rPr>
                <w:rFonts w:ascii="Calibri" w:cs="Calibri" w:eastAsia="Calibri" w:hAnsi="Calibri"/>
                <w:b/>
                <w:bCs/>
                <w:color w:val="7D6608"/>
                <w:sz w:val="19"/>
                <w:szCs w:val="19"/>
              </w:rPr>
              <w:t xml:space="preserve">LOW</w:t>
            </w:r>
          </w:p>
        </w:tc>
        <w:tc>
          <w:tcPr>
            <w:tcW w:type="dxa" w:w="576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1A1A1A"/>
                <w:sz w:val="19"/>
                <w:szCs w:val="19"/>
              </w:rPr>
              <w:t xml:space="preserve">15 minutes find &amp; replace</w:t>
            </w:r>
          </w:p>
        </w:tc>
        <w:tc>
          <w:tcPr>
            <w:tcW w:type="dxa" w:w="50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5D6D7E"/>
                <w:sz w:val="19"/>
                <w:szCs w:val="19"/>
              </w:rPr>
              <w:t xml:space="preserve">#17</w:t>
            </w:r>
          </w:p>
        </w:tc>
      </w:tr>
      <w:tr>
        <w:tc>
          <w:tcPr>
            <w:tcW w:type="dxa" w:w="700"/>
            <w:tcBorders>
              <w:top w:val="single" w:color="AEB6BF" w:sz="4"/>
              <w:left w:val="single" w:color="AEB6BF" w:sz="4"/>
              <w:bottom w:val="single" w:color="AEB6BF" w:sz="4"/>
              <w:right w:val="single" w:color="AEB6BF" w:sz="4"/>
            </w:tcBorders>
            <w:shd w:fill="FFFFFF"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5D6D7E"/>
                <w:sz w:val="22"/>
                <w:szCs w:val="22"/>
              </w:rPr>
              <w:t xml:space="preserve">□</w:t>
            </w:r>
          </w:p>
        </w:tc>
        <w:tc>
          <w:tcPr>
            <w:tcW w:type="dxa" w:w="80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1A1A1A"/>
                <w:sz w:val="19"/>
                <w:szCs w:val="19"/>
              </w:rPr>
              <w:t xml:space="preserve">Generate EAS preview build before oral exam demo</w:t>
            </w:r>
          </w:p>
        </w:tc>
        <w:tc>
          <w:tcPr>
            <w:tcW w:type="dxa" w:w="40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center"/>
          </w:tcPr>
          <w:p>
            <w:pPr>
              <w:spacing w:after="40" w:before="40"/>
            </w:pPr>
            <w:r>
              <w:rPr>
                <w:rFonts w:ascii="Calibri" w:cs="Calibri" w:eastAsia="Calibri" w:hAnsi="Calibri"/>
                <w:b/>
                <w:bCs/>
                <w:color w:val="7D6608"/>
                <w:sz w:val="19"/>
                <w:szCs w:val="19"/>
              </w:rPr>
              <w:t xml:space="preserve">LOW</w:t>
            </w:r>
          </w:p>
        </w:tc>
        <w:tc>
          <w:tcPr>
            <w:tcW w:type="dxa" w:w="576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1A1A1A"/>
                <w:sz w:val="19"/>
                <w:szCs w:val="19"/>
              </w:rPr>
              <w:t xml:space="preserve">1–2 hours (first build)</w:t>
            </w:r>
          </w:p>
        </w:tc>
        <w:tc>
          <w:tcPr>
            <w:tcW w:type="dxa" w:w="50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5D6D7E"/>
                <w:sz w:val="19"/>
                <w:szCs w:val="19"/>
              </w:rPr>
              <w:t xml:space="preserve">#18</w:t>
            </w:r>
          </w:p>
        </w:tc>
      </w:tr>
      <w:tr>
        <w:tc>
          <w:tcPr>
            <w:tcW w:type="dxa" w:w="700"/>
            <w:tcBorders>
              <w:top w:val="single" w:color="AEB6BF" w:sz="4"/>
              <w:left w:val="single" w:color="AEB6BF" w:sz="4"/>
              <w:bottom w:val="single" w:color="AEB6BF" w:sz="4"/>
              <w:right w:val="single" w:color="AEB6BF" w:sz="4"/>
            </w:tcBorders>
            <w:shd w:fill="FFFFFF"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5D6D7E"/>
                <w:sz w:val="22"/>
                <w:szCs w:val="22"/>
              </w:rPr>
              <w:t xml:space="preserve">□</w:t>
            </w:r>
          </w:p>
        </w:tc>
        <w:tc>
          <w:tcPr>
            <w:tcW w:type="dxa" w:w="80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1A1A1A"/>
                <w:sz w:val="19"/>
                <w:szCs w:val="19"/>
              </w:rPr>
              <w:t xml:space="preserve">Verify font is Calibri 12pt and margins are 40mm/25mm</w:t>
            </w:r>
          </w:p>
        </w:tc>
        <w:tc>
          <w:tcPr>
            <w:tcW w:type="dxa" w:w="40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center"/>
          </w:tcPr>
          <w:p>
            <w:pPr>
              <w:spacing w:after="40" w:before="40"/>
            </w:pPr>
            <w:r>
              <w:rPr>
                <w:rFonts w:ascii="Calibri" w:cs="Calibri" w:eastAsia="Calibri" w:hAnsi="Calibri"/>
                <w:b/>
                <w:bCs/>
                <w:color w:val="7D6608"/>
                <w:sz w:val="19"/>
                <w:szCs w:val="19"/>
              </w:rPr>
              <w:t xml:space="preserve">LOW</w:t>
            </w:r>
          </w:p>
        </w:tc>
        <w:tc>
          <w:tcPr>
            <w:tcW w:type="dxa" w:w="576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1A1A1A"/>
                <w:sz w:val="19"/>
                <w:szCs w:val="19"/>
              </w:rPr>
              <w:t xml:space="preserve">15 minutes document settings check</w:t>
            </w:r>
          </w:p>
        </w:tc>
        <w:tc>
          <w:tcPr>
            <w:tcW w:type="dxa" w:w="5000"/>
            <w:tcBorders>
              <w:top w:val="single" w:color="AEB6BF" w:sz="4"/>
              <w:left w:val="single" w:color="AEB6BF" w:sz="4"/>
              <w:bottom w:val="single" w:color="AEB6BF" w:sz="4"/>
              <w:right w:val="single" w:color="AEB6BF" w:sz="4"/>
            </w:tcBorders>
            <w:shd w:fill="F9E79F" w:val="clear"/>
            <w:tcMar>
              <w:top w:type="dxa" w:w="100"/>
              <w:left w:type="dxa" w:w="140"/>
              <w:bottom w:type="dxa" w:w="100"/>
              <w:right w:type="dxa" w:w="140"/>
            </w:tcMar>
            <w:vAlign w:val="center"/>
          </w:tcPr>
          <w:p>
            <w:pPr>
              <w:spacing w:after="40" w:before="40"/>
            </w:pPr>
            <w:r>
              <w:rPr>
                <w:rFonts w:ascii="Calibri" w:cs="Calibri" w:eastAsia="Calibri" w:hAnsi="Calibri"/>
                <w:b w:val="false"/>
                <w:bCs w:val="false"/>
                <w:color w:val="5D6D7E"/>
                <w:sz w:val="19"/>
                <w:szCs w:val="19"/>
              </w:rPr>
              <w:t xml:space="preserve">#19</w:t>
            </w:r>
          </w:p>
        </w:tc>
      </w:tr>
    </w:tbl>
    <w:p>
      <w:pPr>
        <w:spacing w:after="80" w:before="200"/>
      </w:pPr>
      <w:r>
        <w:rPr>
          <w:rFonts w:ascii="Calibri" w:cs="Calibri" w:eastAsia="Calibri" w:hAnsi="Calibri"/>
          <w:b/>
          <w:bCs/>
          <w:color w:val="C0392B"/>
          <w:sz w:val="21"/>
          <w:szCs w:val="21"/>
        </w:rPr>
        <w:t xml:space="preserve">Note on Oral Examination: </w:t>
      </w:r>
      <w:r>
        <w:rPr>
          <w:rFonts w:ascii="Calibri" w:cs="Calibri" w:eastAsia="Calibri" w:hAnsi="Calibri"/>
          <w:color w:val="1A1A1A"/>
          <w:sz w:val="21"/>
          <w:szCs w:val="21"/>
        </w:rPr>
        <w:t xml:space="preserve">Examiners are most likely to probe the ethics approval, the ElevenLabs/expo-speech contradiction, the untested Read with Help feature, and the n=3 sample size. Prepare a concise verbal answer for each of these four points regardless of whether the report is revised.</w:t>
      </w:r>
    </w:p>
    <w:sectPr>
      <w:headerReference w:type="default" r:id="rId7"/>
      <w:footerReference w:type="default" r:id="rId8"/>
      <w:pgSz w:w="2448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B6BF" w:sz="4" w:space="1"/>
      </w:pBdr>
      <w:jc w:val="center"/>
    </w:pPr>
    <w:r>
      <w:rPr>
        <w:rFonts w:ascii="Calibri" w:cs="Calibri" w:eastAsia="Calibri" w:hAnsi="Calibri"/>
        <w:color w:val="5D6D7E"/>
        <w:sz w:val="18"/>
        <w:szCs w:val="18"/>
      </w:rPr>
      <w:t xml:space="preserve">Page </w:t>
    </w:r>
    <w:r>
      <w:rPr>
        <w:rFonts w:ascii="Calibri" w:cs="Calibri" w:eastAsia="Calibri" w:hAnsi="Calibri"/>
        <w:color w:val="5D6D7E"/>
        <w:sz w:val="18"/>
        <w:szCs w:val="18"/>
      </w:rPr>
      <w:fldChar w:fldCharType="begin"/>
      <w:instrText xml:space="preserve">PAGE</w:instrText>
      <w:fldChar w:fldCharType="separate"/>
      <w:fldChar w:fldCharType="end"/>
    </w:r>
    <w:r>
      <w:rPr>
        <w:rFonts w:ascii="Calibri" w:cs="Calibri" w:eastAsia="Calibri" w:hAnsi="Calibri"/>
        <w:color w:val="5D6D7E"/>
        <w:sz w:val="18"/>
        <w:szCs w:val="18"/>
      </w:rPr>
      <w:t xml:space="preserve"> of </w:t>
    </w:r>
    <w:r>
      <w:rPr>
        <w:rFonts w:ascii="Calibri" w:cs="Calibri" w:eastAsia="Calibri" w:hAnsi="Calibri"/>
        <w:color w:val="5D6D7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jc w:val="right"/>
    </w:pPr>
    <w:r>
      <w:rPr>
        <w:rFonts w:ascii="Calibri" w:cs="Calibri" w:eastAsia="Calibri" w:hAnsi="Calibri"/>
        <w:color w:val="5D6D7E"/>
        <w:sz w:val="18"/>
        <w:szCs w:val="18"/>
      </w:rPr>
      <w:t xml:space="preserve">ToggleTails Capstone — Grader Feedback &amp; Strategic Framing  |  </w:t>
    </w:r>
    <w:r>
      <w:rPr>
        <w:rFonts w:ascii="Calibri" w:cs="Calibri" w:eastAsia="Calibri" w:hAnsi="Calibri"/>
        <w:b/>
        <w:bCs/>
        <w:color w:val="C0392B"/>
        <w:sz w:val="18"/>
        <w:szCs w:val="18"/>
      </w:rPr>
      <w:t xml:space="preserve">CONFIDENTIAL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B4F72"/>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2026-04-25T11:24:56.257Z</dcterms:created>
  <dcterms:modified xsi:type="dcterms:W3CDTF">2026-04-25T11:24:56.258Z</dcterms:modified>
</cp:coreProperties>
</file>

<file path=docProps/custom.xml><?xml version="1.0" encoding="utf-8"?>
<Properties xmlns="http://schemas.openxmlformats.org/officeDocument/2006/custom-properties" xmlns:vt="http://schemas.openxmlformats.org/officeDocument/2006/docPropsVTypes"/>
</file>