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56"/>
        </w:rPr>
        <w:t>Compliance &amp; Operations AI Assistant</w:t>
      </w:r>
    </w:p>
    <w:p>
      <w:pPr>
        <w:jc w:val="center"/>
      </w:pPr>
      <w:r>
        <w:rPr>
          <w:i/>
          <w:color w:val="3B5F8A"/>
          <w:sz w:val="36"/>
        </w:rPr>
        <w:t>for Mobile Food Vendors in Suffolk County, NY</w:t>
      </w:r>
    </w:p>
    <w:p/>
    <w:p/>
    <w:p>
      <w:pPr>
        <w:jc w:val="center"/>
      </w:pPr>
      <w:r>
        <w:rPr>
          <w:sz w:val="26"/>
        </w:rPr>
        <w:t>A Multi-Agent Pipeline Integrating Public Data, NLP Rule Extraction,</w:t>
        <w:br/>
        <w:t>Predictive Modeling, and Retrieval-Augmented Generation</w:t>
      </w:r>
    </w:p>
    <w:p/>
    <w:p/>
    <w:p/>
    <w:p/>
    <w:p/>
    <w:p/>
    <w:p>
      <w:pPr>
        <w:jc w:val="center"/>
      </w:pPr>
      <w:r>
        <w:rPr>
          <w:b/>
          <w:sz w:val="24"/>
        </w:rPr>
        <w:t>Technical Report</w:t>
        <w:br/>
        <w:t>April 2026</w:t>
      </w:r>
    </w:p>
    <w:p>
      <w:r>
        <w:br w:type="page"/>
      </w:r>
    </w:p>
    <w:p>
      <w:pPr>
        <w:pStyle w:val="Heading1"/>
      </w:pPr>
      <w:r>
        <w:rPr>
          <w:color w:val="1F3A5F"/>
        </w:rPr>
        <w:t>Executive Summary</w:t>
      </w:r>
    </w:p>
    <w:p>
      <w:r>
        <w:rPr>
          <w:b w:val="0"/>
          <w:i w:val="0"/>
          <w:sz w:val="22"/>
        </w:rPr>
        <w:t>This report documents the design, implementation, and evaluation of an agentic AI system that automates compliance assessment for mobile food vendors operating in Suffolk County, New York. The system ingests real public inspection data, extracts regulatory rules via natural language processing, predicts inspection risk using a gradient-boosted classifier, and exposes results through a Streamlit interface that includes a retrieval-augmented (RAG) chatbot powered by Anthropic's Claude model.</w:t>
      </w:r>
    </w:p>
    <w:p>
      <w:r>
        <w:rPr>
          <w:b/>
          <w:i w:val="0"/>
          <w:sz w:val="24"/>
        </w:rPr>
        <w:t>Key results</w:t>
      </w:r>
    </w:p>
    <w:p>
      <w:pPr>
        <w:pStyle w:val="ListBullet"/>
      </w:pPr>
      <w:r>
        <w:rPr>
          <w:sz w:val="22"/>
        </w:rPr>
        <w:t>Ingested 107,843 real inspection violation records spanning 2024–2025 across 4,977 unique food-service facilities in Suffolk County.</w:t>
      </w:r>
    </w:p>
    <w:p>
      <w:pPr>
        <w:pStyle w:val="ListBullet"/>
      </w:pPr>
      <w:r>
        <w:rPr>
          <w:sz w:val="22"/>
        </w:rPr>
        <w:t>Extracted 21 structured regulatory rules, of which 20 (95%) are verifiably grounded in source documents.</w:t>
      </w:r>
    </w:p>
    <w:p>
      <w:pPr>
        <w:pStyle w:val="ListBullet"/>
      </w:pPr>
      <w:r>
        <w:rPr>
          <w:sz w:val="22"/>
        </w:rPr>
        <w:t>Trained a Gradient Boosting classifier achieving ROC AUC = 0.859 and PR AUC = 0.673 on a temporally-held-out test set — a 2.5× lift over the base-rate baseline.</w:t>
      </w:r>
    </w:p>
    <w:p>
      <w:pPr>
        <w:pStyle w:val="ListBullet"/>
      </w:pPr>
      <w:r>
        <w:rPr>
          <w:sz w:val="22"/>
        </w:rPr>
        <w:t>Deployed an end-to-end Streamlit UI with seven tabs including a live RAG chatbot that cites source documents for every answer.</w:t>
      </w:r>
    </w:p>
    <w:p>
      <w:pPr>
        <w:pStyle w:val="ListBullet"/>
      </w:pPr>
      <w:r>
        <w:rPr>
          <w:sz w:val="22"/>
        </w:rPr>
        <w:t>Every pipeline stage writes a validation report with an explicit status flag (ok / degraded), supporting auditability and reproducibility.</w:t>
      </w:r>
    </w:p>
    <w:p>
      <w:r>
        <w:rPr>
          <w:b/>
          <w:i w:val="0"/>
          <w:sz w:val="24"/>
        </w:rPr>
        <w:t>Intended users</w:t>
      </w:r>
    </w:p>
    <w:p>
      <w:r>
        <w:rPr>
          <w:b w:val="0"/>
          <w:i w:val="0"/>
          <w:sz w:val="22"/>
        </w:rPr>
        <w:t>Prospective and current mobile food vendors who need to understand permit obligations; regulatory staff who triage inspection resources; and third-party compliance consultants who advise vendors on operational risk reduction.</w:t>
      </w:r>
    </w:p>
    <w:p>
      <w:r>
        <w:br w:type="page"/>
      </w:r>
    </w:p>
    <w:p>
      <w:pPr>
        <w:pStyle w:val="Heading1"/>
      </w:pPr>
      <w:r>
        <w:rPr>
          <w:color w:val="1F3A5F"/>
        </w:rPr>
        <w:t>1. Introduction</w:t>
      </w:r>
    </w:p>
    <w:p>
      <w:pPr>
        <w:pStyle w:val="Heading2"/>
      </w:pPr>
      <w:r>
        <w:rPr>
          <w:color w:val="1F3A5F"/>
        </w:rPr>
        <w:t>1.1 Problem Statement</w:t>
      </w:r>
    </w:p>
    <w:p>
      <w:r>
        <w:rPr>
          <w:b w:val="0"/>
          <w:i w:val="0"/>
          <w:sz w:val="22"/>
        </w:rPr>
        <w:t>Mobile food vendors — food trucks, pushcarts, trailers, and temporary event units — face a fragmented regulatory landscape. In Suffolk County alone, a single operator must navigate permits issued by the County Department of Health Services, NY State Tax Department, local town clerks, fire marshals, and the Department of Motor Vehicles, while complying with NY State Sanitary Code Subpart 14-4. The consequences of non-compliance range from fines and permit suspension to foodborne illness outbreaks that damage both public health and operator livelihoods.</w:t>
      </w:r>
    </w:p>
    <w:p>
      <w:r>
        <w:rPr>
          <w:b w:val="0"/>
          <w:i w:val="0"/>
          <w:sz w:val="22"/>
        </w:rPr>
        <w:t>Inspection data is public but difficult to use. Suffolk County publishes violation records through an ArcGIS Hub portal; NY State Sanitary Code text is distributed across multiple PDF and HTML documents; weather data that correlates with food-safety risk lives in NOAA's NCEI service. No single interface helps a vendor — or an advisor — synthesize these sources into an actionable compliance picture.</w:t>
      </w:r>
    </w:p>
    <w:p>
      <w:pPr>
        <w:pStyle w:val="Heading2"/>
      </w:pPr>
      <w:r>
        <w:rPr>
          <w:color w:val="1F3A5F"/>
        </w:rPr>
        <w:t>1.2 Objectives</w:t>
      </w:r>
    </w:p>
    <w:p>
      <w:pPr>
        <w:pStyle w:val="ListNumber"/>
      </w:pPr>
      <w:r>
        <w:rPr>
          <w:sz w:val="22"/>
        </w:rPr>
        <w:t>Ingest real, public, programmatically-accessible data from at least three independent sources.</w:t>
      </w:r>
    </w:p>
    <w:p>
      <w:pPr>
        <w:pStyle w:val="ListNumber"/>
      </w:pPr>
      <w:r>
        <w:rPr>
          <w:sz w:val="22"/>
        </w:rPr>
        <w:t>Extract regulatory rules from unstructured regulatory text using NLP, with every rule grounded in a verifiable source span.</w:t>
      </w:r>
    </w:p>
    <w:p>
      <w:pPr>
        <w:pStyle w:val="ListNumber"/>
      </w:pPr>
      <w:r>
        <w:rPr>
          <w:sz w:val="22"/>
        </w:rPr>
        <w:t>Train a predictive model that beats a base-rate baseline on a temporally-held-out test set.</w:t>
      </w:r>
    </w:p>
    <w:p>
      <w:pPr>
        <w:pStyle w:val="ListNumber"/>
      </w:pPr>
      <w:r>
        <w:rPr>
          <w:sz w:val="22"/>
        </w:rPr>
        <w:t>Produce an interactive interface in which an end user can search historical inspection data, score a what-if vendor scenario, view a tailored permit checklist, and ask free-form questions of a RAG-grounded chatbot.</w:t>
      </w:r>
    </w:p>
    <w:p>
      <w:pPr>
        <w:pStyle w:val="ListNumber"/>
      </w:pPr>
      <w:r>
        <w:rPr>
          <w:sz w:val="22"/>
        </w:rPr>
        <w:t>Enforce a validation checkpoint after every pipeline stage, with failures surfaced through structured status reports.</w:t>
      </w:r>
    </w:p>
    <w:p>
      <w:pPr>
        <w:pStyle w:val="Heading2"/>
      </w:pPr>
      <w:r>
        <w:rPr>
          <w:color w:val="1F3A5F"/>
        </w:rPr>
        <w:t>1.3 Scope and Non-Goals</w:t>
      </w:r>
    </w:p>
    <w:p>
      <w:r>
        <w:rPr>
          <w:b w:val="0"/>
          <w:i w:val="0"/>
          <w:sz w:val="22"/>
        </w:rPr>
        <w:t>In scope: Suffolk County, NY mobile food vendors; inspection history from 2024–2025; NY State Subpart 14-4 and NYC DOH mobile-food-vendor guidance (as a proxy for town-specific rules); weather data from Islip MacArthur Airport.</w:t>
      </w:r>
    </w:p>
    <w:p>
      <w:r>
        <w:rPr>
          <w:b w:val="0"/>
          <w:i w:val="0"/>
          <w:sz w:val="22"/>
        </w:rPr>
        <w:t>Out of scope: real-time inspection scheduling; multi-jurisdiction deployment; integration with county-issued licensing systems; personal financial or identity data handling.</w:t>
      </w:r>
    </w:p>
    <w:p>
      <w:r>
        <w:br w:type="page"/>
      </w:r>
    </w:p>
    <w:p>
      <w:pPr>
        <w:pStyle w:val="Heading1"/>
      </w:pPr>
      <w:r>
        <w:rPr>
          <w:color w:val="1F3A5F"/>
        </w:rPr>
        <w:t>2. Background and Related Work</w:t>
      </w:r>
    </w:p>
    <w:p>
      <w:pPr>
        <w:pStyle w:val="Heading2"/>
      </w:pPr>
      <w:r>
        <w:rPr>
          <w:color w:val="1F3A5F"/>
        </w:rPr>
        <w:t>2.1 Regulatory Context</w:t>
      </w:r>
    </w:p>
    <w:p>
      <w:r>
        <w:rPr>
          <w:b w:val="0"/>
          <w:i w:val="0"/>
          <w:sz w:val="22"/>
        </w:rPr>
        <w:t>New York State regulates food-service establishments under Title 10 NYCRR Part 14 of the State Sanitary Code. Subpart 14-4 specifically governs mobile food service establishments and pushcarts, covering food supplies, protection, transportation, water supply, handwashing, and pest control. Counties such as Suffolk administer the permit-issuance and inspection function through their local Department of Health Services, adding county-specific sanitary codes on top of the state minimum [1][2].</w:t>
      </w:r>
    </w:p>
    <w:p>
      <w:pPr>
        <w:pStyle w:val="Heading2"/>
      </w:pPr>
      <w:r>
        <w:rPr>
          <w:color w:val="1F3A5F"/>
        </w:rPr>
        <w:t>2.2 Predictive Inspection Models in Food Safety</w:t>
      </w:r>
    </w:p>
    <w:p>
      <w:r>
        <w:rPr>
          <w:b w:val="0"/>
          <w:i w:val="0"/>
          <w:sz w:val="22"/>
        </w:rPr>
        <w:t>The use of machine learning to prioritize food-safety inspections has precedent. Kang et al. (2013) demonstrated that Yelp review text could predict hygiene violations in Seattle restaurants [3]. The City of Chicago's 2015 model used gradient-boosted trees over inspection history, sanitation complaint data, and weather to move critical violation detection to earlier in the inspection week, finding violations an average of seven days sooner than the previous schedule [4]. These precedents motivate the choice of gradient boosting as the base estimator in this project.</w:t>
      </w:r>
    </w:p>
    <w:p>
      <w:pPr>
        <w:pStyle w:val="Heading2"/>
      </w:pPr>
      <w:r>
        <w:rPr>
          <w:color w:val="1F3A5F"/>
        </w:rPr>
        <w:t>2.3 Retrieval-Augmented Generation</w:t>
      </w:r>
    </w:p>
    <w:p>
      <w:r>
        <w:rPr>
          <w:b w:val="0"/>
          <w:i w:val="0"/>
          <w:sz w:val="22"/>
        </w:rPr>
        <w:t>Retrieval-augmented generation (RAG), introduced by Lewis et al. (2020), combines a dense or sparse retriever with a sequence-to-sequence generator to answer open-domain questions while reducing hallucination [5]. In domains like legal and regulatory compliance, where answers must be traceable to authoritative sources, RAG is preferred over direct LLM prompting because each generated claim can be linked back to a retrieved passage [6]. This system adopts that pattern: a TF-IDF retriever produces the top-k passages from a knowledge base of regulations, permits, and common violations, and an LLM (Claude Haiku 4.5) produces a cited answer.</w:t>
      </w:r>
    </w:p>
    <w:p>
      <w:pPr>
        <w:pStyle w:val="Heading2"/>
      </w:pPr>
      <w:r>
        <w:rPr>
          <w:color w:val="1F3A5F"/>
        </w:rPr>
        <w:t>2.4 Multi-Agent Pipeline Architectures</w:t>
      </w:r>
    </w:p>
    <w:p>
      <w:r>
        <w:rPr>
          <w:b w:val="0"/>
          <w:i w:val="0"/>
          <w:sz w:val="22"/>
        </w:rPr>
        <w:t>Recent work in agentic AI systems favors pipelines in which each stage has a narrow responsibility and writes structured output that the next stage validates. This mirrors the 'unix philosophy' of small composable programs and supports auditability — a property increasingly demanded of systems that touch public services and regulated industries [7]. The architecture described in Section 3 follows this pattern with explicit validation checkpoints between stages.</w:t>
      </w:r>
    </w:p>
    <w:p>
      <w:r>
        <w:br w:type="page"/>
      </w:r>
    </w:p>
    <w:p>
      <w:pPr>
        <w:pStyle w:val="Heading1"/>
      </w:pPr>
      <w:r>
        <w:rPr>
          <w:color w:val="1F3A5F"/>
        </w:rPr>
        <w:t>3. System Architecture</w:t>
      </w:r>
    </w:p>
    <w:p>
      <w:r>
        <w:rPr>
          <w:b w:val="0"/>
          <w:i w:val="0"/>
          <w:sz w:val="22"/>
        </w:rPr>
        <w:t>The system is organized as a six-stage data pipeline plus a user-facing interface layer. Each stage is implemented as a standalone Python module in src/, reads from the previous stage's outputs, writes its own outputs, and emits a JSON validation report.</w:t>
      </w:r>
    </w:p>
    <w:p>
      <w:pPr>
        <w:pStyle w:val="Heading2"/>
      </w:pPr>
      <w:r>
        <w:rPr>
          <w:color w:val="1F3A5F"/>
        </w:rPr>
        <w:t>3.1 Pipeline Stages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576"/>
            <w:shd w:val="clear" w:color="auto" w:fill="1F3A5F"/>
          </w:tcPr>
          <w:p>
            <w:r>
              <w:rPr>
                <w:b/>
                <w:color w:val="FFFFFF"/>
                <w:sz w:val="20"/>
              </w:rPr>
              <w:t>#</w:t>
            </w:r>
          </w:p>
        </w:tc>
        <w:tc>
          <w:tcPr>
            <w:tcW w:type="dxa" w:w="2592"/>
            <w:shd w:val="clear" w:color="auto" w:fill="1F3A5F"/>
          </w:tcPr>
          <w:p>
            <w:r>
              <w:rPr>
                <w:b/>
                <w:color w:val="FFFFFF"/>
                <w:sz w:val="20"/>
              </w:rPr>
              <w:t>Stage</w:t>
            </w:r>
          </w:p>
        </w:tc>
        <w:tc>
          <w:tcPr>
            <w:tcW w:type="dxa" w:w="3168"/>
            <w:shd w:val="clear" w:color="auto" w:fill="1F3A5F"/>
          </w:tcPr>
          <w:p>
            <w:r>
              <w:rPr>
                <w:b/>
                <w:color w:val="FFFFFF"/>
                <w:sz w:val="20"/>
              </w:rPr>
              <w:t>Module</w:t>
            </w:r>
          </w:p>
        </w:tc>
        <w:tc>
          <w:tcPr>
            <w:tcW w:type="dxa" w:w="3168"/>
            <w:shd w:val="clear" w:color="auto" w:fill="1F3A5F"/>
          </w:tcPr>
          <w:p>
            <w:r>
              <w:rPr>
                <w:b/>
                <w:color w:val="FFFFFF"/>
                <w:sz w:val="20"/>
              </w:rPr>
              <w:t>Primary Output</w:t>
            </w:r>
          </w:p>
        </w:tc>
      </w:tr>
      <w:tr>
        <w:tc>
          <w:tcPr>
            <w:tcW w:type="dxa" w:w="576"/>
          </w:tcPr>
          <w:p>
            <w:r>
              <w:rPr>
                <w:sz w:val="20"/>
              </w:rPr>
              <w:t>1</w:t>
            </w:r>
          </w:p>
        </w:tc>
        <w:tc>
          <w:tcPr>
            <w:tcW w:type="dxa" w:w="2592"/>
          </w:tcPr>
          <w:p>
            <w:r>
              <w:rPr>
                <w:sz w:val="20"/>
              </w:rPr>
              <w:t>Data Ingestion</w:t>
            </w:r>
          </w:p>
        </w:tc>
        <w:tc>
          <w:tcPr>
            <w:tcW w:type="dxa" w:w="3168"/>
          </w:tcPr>
          <w:p>
            <w:r>
              <w:rPr>
                <w:sz w:val="20"/>
              </w:rPr>
              <w:t>src/01_ingest.py</w:t>
            </w:r>
          </w:p>
        </w:tc>
        <w:tc>
          <w:tcPr>
            <w:tcW w:type="dxa" w:w="3168"/>
          </w:tcPr>
          <w:p>
            <w:r>
              <w:rPr>
                <w:sz w:val="20"/>
              </w:rPr>
              <w:t>Raw CSVs + regulation PDF</w:t>
            </w:r>
          </w:p>
        </w:tc>
      </w:tr>
      <w:tr>
        <w:tc>
          <w:tcPr>
            <w:tcW w:type="dxa" w:w="576"/>
          </w:tcPr>
          <w:p>
            <w:r>
              <w:rPr>
                <w:sz w:val="20"/>
              </w:rPr>
              <w:t>2</w:t>
            </w:r>
          </w:p>
        </w:tc>
        <w:tc>
          <w:tcPr>
            <w:tcW w:type="dxa" w:w="2592"/>
          </w:tcPr>
          <w:p>
            <w:r>
              <w:rPr>
                <w:sz w:val="20"/>
              </w:rPr>
              <w:t>Cleaning &amp; Normalization</w:t>
            </w:r>
          </w:p>
        </w:tc>
        <w:tc>
          <w:tcPr>
            <w:tcW w:type="dxa" w:w="3168"/>
          </w:tcPr>
          <w:p>
            <w:r>
              <w:rPr>
                <w:sz w:val="20"/>
              </w:rPr>
              <w:t>src/02_clean.py</w:t>
            </w:r>
          </w:p>
        </w:tc>
        <w:tc>
          <w:tcPr>
            <w:tcW w:type="dxa" w:w="3168"/>
          </w:tcPr>
          <w:p>
            <w:r>
              <w:rPr>
                <w:sz w:val="20"/>
              </w:rPr>
              <w:t>Processed CSVs</w:t>
            </w:r>
          </w:p>
        </w:tc>
      </w:tr>
      <w:tr>
        <w:tc>
          <w:tcPr>
            <w:tcW w:type="dxa" w:w="576"/>
          </w:tcPr>
          <w:p>
            <w:r>
              <w:rPr>
                <w:sz w:val="20"/>
              </w:rPr>
              <w:t>3</w:t>
            </w:r>
          </w:p>
        </w:tc>
        <w:tc>
          <w:tcPr>
            <w:tcW w:type="dxa" w:w="2592"/>
          </w:tcPr>
          <w:p>
            <w:r>
              <w:rPr>
                <w:sz w:val="20"/>
              </w:rPr>
              <w:t>Rule Extraction (RAG-style)</w:t>
            </w:r>
          </w:p>
        </w:tc>
        <w:tc>
          <w:tcPr>
            <w:tcW w:type="dxa" w:w="3168"/>
          </w:tcPr>
          <w:p>
            <w:r>
              <w:rPr>
                <w:sz w:val="20"/>
              </w:rPr>
              <w:t>src/03_extract_rules.py</w:t>
            </w:r>
          </w:p>
        </w:tc>
        <w:tc>
          <w:tcPr>
            <w:tcW w:type="dxa" w:w="3168"/>
          </w:tcPr>
          <w:p>
            <w:r>
              <w:rPr>
                <w:sz w:val="20"/>
              </w:rPr>
              <w:t>rules/extracted_rules.json</w:t>
            </w:r>
          </w:p>
        </w:tc>
      </w:tr>
      <w:tr>
        <w:tc>
          <w:tcPr>
            <w:tcW w:type="dxa" w:w="576"/>
          </w:tcPr>
          <w:p>
            <w:r>
              <w:rPr>
                <w:sz w:val="20"/>
              </w:rPr>
              <w:t>4</w:t>
            </w:r>
          </w:p>
        </w:tc>
        <w:tc>
          <w:tcPr>
            <w:tcW w:type="dxa" w:w="2592"/>
          </w:tcPr>
          <w:p>
            <w:r>
              <w:rPr>
                <w:sz w:val="20"/>
              </w:rPr>
              <w:t>Feature Engineering</w:t>
            </w:r>
          </w:p>
        </w:tc>
        <w:tc>
          <w:tcPr>
            <w:tcW w:type="dxa" w:w="3168"/>
          </w:tcPr>
          <w:p>
            <w:r>
              <w:rPr>
                <w:sz w:val="20"/>
              </w:rPr>
              <w:t>src/04_features.py</w:t>
            </w:r>
          </w:p>
        </w:tc>
        <w:tc>
          <w:tcPr>
            <w:tcW w:type="dxa" w:w="3168"/>
          </w:tcPr>
          <w:p>
            <w:r>
              <w:rPr>
                <w:sz w:val="20"/>
              </w:rPr>
              <w:t>features.csv</w:t>
            </w:r>
          </w:p>
        </w:tc>
      </w:tr>
      <w:tr>
        <w:tc>
          <w:tcPr>
            <w:tcW w:type="dxa" w:w="576"/>
          </w:tcPr>
          <w:p>
            <w:r>
              <w:rPr>
                <w:sz w:val="20"/>
              </w:rPr>
              <w:t>5</w:t>
            </w:r>
          </w:p>
        </w:tc>
        <w:tc>
          <w:tcPr>
            <w:tcW w:type="dxa" w:w="2592"/>
          </w:tcPr>
          <w:p>
            <w:r>
              <w:rPr>
                <w:sz w:val="20"/>
              </w:rPr>
              <w:t>Predictive Modeling</w:t>
            </w:r>
          </w:p>
        </w:tc>
        <w:tc>
          <w:tcPr>
            <w:tcW w:type="dxa" w:w="3168"/>
          </w:tcPr>
          <w:p>
            <w:r>
              <w:rPr>
                <w:sz w:val="20"/>
              </w:rPr>
              <w:t>src/05_model.py</w:t>
            </w:r>
          </w:p>
        </w:tc>
        <w:tc>
          <w:tcPr>
            <w:tcW w:type="dxa" w:w="3168"/>
          </w:tcPr>
          <w:p>
            <w:r>
              <w:rPr>
                <w:sz w:val="20"/>
              </w:rPr>
              <w:t>risk_model.joblib</w:t>
            </w:r>
          </w:p>
        </w:tc>
      </w:tr>
      <w:tr>
        <w:tc>
          <w:tcPr>
            <w:tcW w:type="dxa" w:w="576"/>
          </w:tcPr>
          <w:p>
            <w:r>
              <w:rPr>
                <w:sz w:val="20"/>
              </w:rPr>
              <w:t>6</w:t>
            </w:r>
          </w:p>
        </w:tc>
        <w:tc>
          <w:tcPr>
            <w:tcW w:type="dxa" w:w="2592"/>
          </w:tcPr>
          <w:p>
            <w:r>
              <w:rPr>
                <w:sz w:val="20"/>
              </w:rPr>
              <w:t>Output / Prediction API</w:t>
            </w:r>
          </w:p>
        </w:tc>
        <w:tc>
          <w:tcPr>
            <w:tcW w:type="dxa" w:w="3168"/>
          </w:tcPr>
          <w:p>
            <w:r>
              <w:rPr>
                <w:sz w:val="20"/>
              </w:rPr>
              <w:t>src/06_predict.py</w:t>
            </w:r>
          </w:p>
        </w:tc>
        <w:tc>
          <w:tcPr>
            <w:tcW w:type="dxa" w:w="3168"/>
          </w:tcPr>
          <w:p>
            <w:r>
              <w:rPr>
                <w:sz w:val="20"/>
              </w:rPr>
              <w:t>stage6_predictions.json</w:t>
            </w:r>
          </w:p>
        </w:tc>
      </w:tr>
      <w:tr>
        <w:tc>
          <w:tcPr>
            <w:tcW w:type="dxa" w:w="576"/>
          </w:tcPr>
          <w:p>
            <w:r>
              <w:rPr>
                <w:sz w:val="20"/>
              </w:rPr>
              <w:t>UI</w:t>
            </w:r>
          </w:p>
        </w:tc>
        <w:tc>
          <w:tcPr>
            <w:tcW w:type="dxa" w:w="2592"/>
          </w:tcPr>
          <w:p>
            <w:r>
              <w:rPr>
                <w:sz w:val="20"/>
              </w:rPr>
              <w:t>Streamlit + RAG Chatbot</w:t>
            </w:r>
          </w:p>
        </w:tc>
        <w:tc>
          <w:tcPr>
            <w:tcW w:type="dxa" w:w="3168"/>
          </w:tcPr>
          <w:p>
            <w:r>
              <w:rPr>
                <w:sz w:val="20"/>
              </w:rPr>
              <w:t>app.py + src/07_rag.py</w:t>
            </w:r>
          </w:p>
        </w:tc>
        <w:tc>
          <w:tcPr>
            <w:tcW w:type="dxa" w:w="3168"/>
          </w:tcPr>
          <w:p>
            <w:r>
              <w:rPr>
                <w:sz w:val="20"/>
              </w:rPr>
              <w:t>Interactive web app</w:t>
            </w:r>
          </w:p>
        </w:tc>
      </w:tr>
    </w:tbl>
    <w:p>
      <w:pPr>
        <w:pStyle w:val="Heading2"/>
      </w:pPr>
      <w:r>
        <w:rPr>
          <w:color w:val="1F3A5F"/>
        </w:rPr>
        <w:t>3.2 Validation Checkpoints</w:t>
      </w:r>
    </w:p>
    <w:p>
      <w:r>
        <w:rPr>
          <w:b w:val="0"/>
          <w:i w:val="0"/>
          <w:sz w:val="22"/>
        </w:rPr>
        <w:t>Between every two stages, the pipeline writes a structured JSON report containing (a) input row counts, (b) output row counts, (c) schema-level quality checks, and (d) a top-level status field that is either ok or degraded. The interface layer reads these reports to display system health on the Model Info tab. This supports reproducibility: a new team member can diff two stage reports to see what changed between runs.</w:t>
      </w:r>
    </w:p>
    <w:p>
      <w:pPr>
        <w:pStyle w:val="Heading2"/>
      </w:pPr>
      <w:r>
        <w:rPr>
          <w:color w:val="1F3A5F"/>
        </w:rPr>
        <w:t>3.3 Data Flow</w:t>
      </w:r>
    </w:p>
    <w:p>
      <w:r>
        <w:rPr>
          <w:b w:val="0"/>
          <w:i w:val="0"/>
          <w:sz w:val="22"/>
        </w:rPr>
        <w:t>Stage 1 fetches Suffolk County restaurant violation records directly from the ArcGIS FeatureServer REST endpoint, NOAA daily-summary weather from the NCEI Access Data Service, and the NYC Department of Health mobile food vendor PDF. Stage 2 normalizes column names across duplicated CamelCase/snake_case fields (a quirk of the Suffolk service), parses epoch-millisecond timestamps into pandas datetimes, and deduplicates on (facility_id, inspection_date, code_section, violation_text). Stage 3 chunks the regulation text, builds a TF-IDF index, and queries it with curated keyword lists for ten risk categories. Stage 4 constructs per-visit features using only information available before the current visit to prevent target leakage. Stage 5 trains a Gradient Boosting classifier with a chronological train/test split. Stage 6 exposes a scoring function that accepts a vendor scenario dict and returns a compliance score, risk band, prioritized actions, and a traceability block listing every data source that fed the decision.</w:t>
      </w:r>
    </w:p>
    <w:p>
      <w:r>
        <w:br w:type="page"/>
      </w:r>
    </w:p>
    <w:p>
      <w:pPr>
        <w:pStyle w:val="Heading1"/>
      </w:pPr>
      <w:r>
        <w:rPr>
          <w:color w:val="1F3A5F"/>
        </w:rPr>
        <w:t>4. Data Sources</w:t>
      </w:r>
    </w:p>
    <w:p>
      <w:r>
        <w:rPr>
          <w:b w:val="0"/>
          <w:i w:val="0"/>
          <w:sz w:val="22"/>
        </w:rPr>
        <w:t>All data used by this project is real, public, and programmatically retrievable without an API key (with the exception of the optional Anthropic API key used for the LLM chatbot tier). No simulated or synthetic records are used in the training pipeline.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3168"/>
            <w:shd w:val="clear" w:color="auto" w:fill="1F3A5F"/>
          </w:tcPr>
          <w:p>
            <w:r>
              <w:rPr>
                <w:b/>
                <w:color w:val="FFFFFF"/>
                <w:sz w:val="20"/>
              </w:rPr>
              <w:t>Dataset</w:t>
            </w:r>
          </w:p>
        </w:tc>
        <w:tc>
          <w:tcPr>
            <w:tcW w:type="dxa" w:w="2592"/>
            <w:shd w:val="clear" w:color="auto" w:fill="1F3A5F"/>
          </w:tcPr>
          <w:p>
            <w:r>
              <w:rPr>
                <w:b/>
                <w:color w:val="FFFFFF"/>
                <w:sz w:val="20"/>
              </w:rPr>
              <w:t>Source</w:t>
            </w:r>
          </w:p>
        </w:tc>
        <w:tc>
          <w:tcPr>
            <w:tcW w:type="dxa" w:w="1728"/>
            <w:shd w:val="clear" w:color="auto" w:fill="1F3A5F"/>
          </w:tcPr>
          <w:p>
            <w:r>
              <w:rPr>
                <w:b/>
                <w:color w:val="FFFFFF"/>
                <w:sz w:val="20"/>
              </w:rPr>
              <w:t>Volume</w:t>
            </w:r>
          </w:p>
        </w:tc>
        <w:tc>
          <w:tcPr>
            <w:tcW w:type="dxa" w:w="2592"/>
            <w:shd w:val="clear" w:color="auto" w:fill="1F3A5F"/>
          </w:tcPr>
          <w:p>
            <w:r>
              <w:rPr>
                <w:b/>
                <w:color w:val="FFFFFF"/>
                <w:sz w:val="20"/>
              </w:rPr>
              <w:t>Notes</w:t>
            </w:r>
          </w:p>
        </w:tc>
      </w:tr>
      <w:tr>
        <w:tc>
          <w:tcPr>
            <w:tcW w:type="dxa" w:w="3168"/>
          </w:tcPr>
          <w:p>
            <w:r>
              <w:rPr>
                <w:sz w:val="20"/>
              </w:rPr>
              <w:t>Suffolk County Restaurant Violations 2024–2025</w:t>
            </w:r>
          </w:p>
        </w:tc>
        <w:tc>
          <w:tcPr>
            <w:tcW w:type="dxa" w:w="2592"/>
          </w:tcPr>
          <w:p>
            <w:r>
              <w:rPr>
                <w:sz w:val="20"/>
              </w:rPr>
              <w:t>ArcGIS FeatureServer</w:t>
            </w:r>
          </w:p>
        </w:tc>
        <w:tc>
          <w:tcPr>
            <w:tcW w:type="dxa" w:w="1728"/>
          </w:tcPr>
          <w:p>
            <w:r>
              <w:rPr>
                <w:sz w:val="20"/>
              </w:rPr>
              <w:t>107,843 rows</w:t>
            </w:r>
          </w:p>
        </w:tc>
        <w:tc>
          <w:tcPr>
            <w:tcW w:type="dxa" w:w="2592"/>
          </w:tcPr>
          <w:p>
            <w:r>
              <w:rPr>
                <w:sz w:val="20"/>
              </w:rPr>
              <w:t>107k real inspection violations</w:t>
            </w:r>
          </w:p>
        </w:tc>
      </w:tr>
      <w:tr>
        <w:tc>
          <w:tcPr>
            <w:tcW w:type="dxa" w:w="3168"/>
          </w:tcPr>
          <w:p>
            <w:r>
              <w:rPr>
                <w:sz w:val="20"/>
              </w:rPr>
              <w:t>NOAA NCEI Daily Summaries (Islip KISP)</w:t>
            </w:r>
          </w:p>
        </w:tc>
        <w:tc>
          <w:tcPr>
            <w:tcW w:type="dxa" w:w="2592"/>
          </w:tcPr>
          <w:p>
            <w:r>
              <w:rPr>
                <w:sz w:val="20"/>
              </w:rPr>
              <w:t>NCEI Access Data Service</w:t>
            </w:r>
          </w:p>
        </w:tc>
        <w:tc>
          <w:tcPr>
            <w:tcW w:type="dxa" w:w="1728"/>
          </w:tcPr>
          <w:p>
            <w:r>
              <w:rPr>
                <w:sz w:val="20"/>
              </w:rPr>
              <w:t>729 days</w:t>
            </w:r>
          </w:p>
        </w:tc>
        <w:tc>
          <w:tcPr>
            <w:tcW w:type="dxa" w:w="2592"/>
          </w:tcPr>
          <w:p>
            <w:r>
              <w:rPr>
                <w:sz w:val="20"/>
              </w:rPr>
              <w:t>TMAX, TMIN, PRCP, AWND, SNOW</w:t>
            </w:r>
          </w:p>
        </w:tc>
      </w:tr>
      <w:tr>
        <w:tc>
          <w:tcPr>
            <w:tcW w:type="dxa" w:w="3168"/>
          </w:tcPr>
          <w:p>
            <w:r>
              <w:rPr>
                <w:sz w:val="20"/>
              </w:rPr>
              <w:t>NYSDOH Food Service Inspections</w:t>
            </w:r>
          </w:p>
        </w:tc>
        <w:tc>
          <w:tcPr>
            <w:tcW w:type="dxa" w:w="2592"/>
          </w:tcPr>
          <w:p>
            <w:r>
              <w:rPr>
                <w:sz w:val="20"/>
              </w:rPr>
              <w:t>Socrata (health.data.ny.gov)</w:t>
            </w:r>
          </w:p>
        </w:tc>
        <w:tc>
          <w:tcPr>
            <w:tcW w:type="dxa" w:w="1728"/>
          </w:tcPr>
          <w:p>
            <w:r>
              <w:rPr>
                <w:sz w:val="20"/>
              </w:rPr>
              <w:t>21,669 rows</w:t>
            </w:r>
          </w:p>
        </w:tc>
        <w:tc>
          <w:tcPr>
            <w:tcW w:type="dxa" w:w="2592"/>
          </w:tcPr>
          <w:p>
            <w:r>
              <w:rPr>
                <w:sz w:val="20"/>
              </w:rPr>
              <w:t>Context data for Nassau County</w:t>
            </w:r>
          </w:p>
        </w:tc>
      </w:tr>
      <w:tr>
        <w:tc>
          <w:tcPr>
            <w:tcW w:type="dxa" w:w="3168"/>
          </w:tcPr>
          <w:p>
            <w:r>
              <w:rPr>
                <w:sz w:val="20"/>
              </w:rPr>
              <w:t>NYC DOH Mobile Food Vendor Regulations</w:t>
            </w:r>
          </w:p>
        </w:tc>
        <w:tc>
          <w:tcPr>
            <w:tcW w:type="dxa" w:w="2592"/>
          </w:tcPr>
          <w:p>
            <w:r>
              <w:rPr>
                <w:sz w:val="20"/>
              </w:rPr>
              <w:t>nyc.gov PDF</w:t>
            </w:r>
          </w:p>
        </w:tc>
        <w:tc>
          <w:tcPr>
            <w:tcW w:type="dxa" w:w="1728"/>
          </w:tcPr>
          <w:p>
            <w:r>
              <w:rPr>
                <w:sz w:val="20"/>
              </w:rPr>
              <w:t>36 pages</w:t>
            </w:r>
          </w:p>
        </w:tc>
        <w:tc>
          <w:tcPr>
            <w:tcW w:type="dxa" w:w="2592"/>
          </w:tcPr>
          <w:p>
            <w:r>
              <w:rPr>
                <w:sz w:val="20"/>
              </w:rPr>
              <w:t>Primary regulation text for RAG</w:t>
            </w:r>
          </w:p>
        </w:tc>
      </w:tr>
      <w:tr>
        <w:tc>
          <w:tcPr>
            <w:tcW w:type="dxa" w:w="3168"/>
          </w:tcPr>
          <w:p>
            <w:r>
              <w:rPr>
                <w:sz w:val="20"/>
              </w:rPr>
              <w:t>NY State Sanitary Code Subpart 14-4</w:t>
            </w:r>
          </w:p>
        </w:tc>
        <w:tc>
          <w:tcPr>
            <w:tcW w:type="dxa" w:w="2592"/>
          </w:tcPr>
          <w:p>
            <w:r>
              <w:rPr>
                <w:sz w:val="20"/>
              </w:rPr>
              <w:t>Hand-seeded section titles</w:t>
            </w:r>
          </w:p>
        </w:tc>
        <w:tc>
          <w:tcPr>
            <w:tcW w:type="dxa" w:w="1728"/>
          </w:tcPr>
          <w:p>
            <w:r>
              <w:rPr>
                <w:sz w:val="20"/>
              </w:rPr>
              <w:t>11 sections</w:t>
            </w:r>
          </w:p>
        </w:tc>
        <w:tc>
          <w:tcPr>
            <w:tcW w:type="dxa" w:w="2592"/>
          </w:tcPr>
          <w:p>
            <w:r>
              <w:rPr>
                <w:sz w:val="20"/>
              </w:rPr>
              <w:t>Authoritative legal references</w:t>
            </w:r>
          </w:p>
        </w:tc>
      </w:tr>
      <w:tr>
        <w:tc>
          <w:tcPr>
            <w:tcW w:type="dxa" w:w="3168"/>
          </w:tcPr>
          <w:p>
            <w:r>
              <w:rPr>
                <w:sz w:val="20"/>
              </w:rPr>
              <w:t>Permit Bank</w:t>
            </w:r>
          </w:p>
        </w:tc>
        <w:tc>
          <w:tcPr>
            <w:tcW w:type="dxa" w:w="2592"/>
          </w:tcPr>
          <w:p>
            <w:r>
              <w:rPr>
                <w:sz w:val="20"/>
              </w:rPr>
              <w:t>rules/required_permits.json</w:t>
            </w:r>
          </w:p>
        </w:tc>
        <w:tc>
          <w:tcPr>
            <w:tcW w:type="dxa" w:w="1728"/>
          </w:tcPr>
          <w:p>
            <w:r>
              <w:rPr>
                <w:sz w:val="20"/>
              </w:rPr>
              <w:t>10 permit types</w:t>
            </w:r>
          </w:p>
        </w:tc>
        <w:tc>
          <w:tcPr>
            <w:tcW w:type="dxa" w:w="2592"/>
          </w:tcPr>
          <w:p>
            <w:r>
              <w:rPr>
                <w:sz w:val="20"/>
              </w:rPr>
              <w:t>Hand-curated from public agency sources</w:t>
            </w:r>
          </w:p>
        </w:tc>
      </w:tr>
    </w:tbl>
    <w:p>
      <w:pPr>
        <w:pStyle w:val="Heading2"/>
      </w:pPr>
      <w:r>
        <w:rPr>
          <w:color w:val="1F3A5F"/>
        </w:rPr>
        <w:t>4.1 Data Freshness and Refresh</w:t>
      </w:r>
    </w:p>
    <w:p>
      <w:r>
        <w:rPr>
          <w:b w:val="0"/>
          <w:i w:val="0"/>
          <w:sz w:val="22"/>
        </w:rPr>
        <w:t>Stage 1 is idempotent: running it again overwrites the raw files, and the subsequent stages can be re-run in sequence to rebuild the model against refreshed data. The Suffolk FeatureServer returns up to 1,000 records per request, so the ingestion script loops until the service returns a partial page.</w:t>
      </w:r>
    </w:p>
    <w:p>
      <w:r>
        <w:br w:type="page"/>
      </w:r>
    </w:p>
    <w:p>
      <w:pPr>
        <w:pStyle w:val="Heading1"/>
      </w:pPr>
      <w:r>
        <w:rPr>
          <w:color w:val="1F3A5F"/>
        </w:rPr>
        <w:t>5. Methods</w:t>
      </w:r>
    </w:p>
    <w:p>
      <w:pPr>
        <w:pStyle w:val="Heading2"/>
      </w:pPr>
      <w:r>
        <w:rPr>
          <w:color w:val="1F3A5F"/>
        </w:rPr>
        <w:t>5.1 Stage 1: Ingestion</w:t>
      </w:r>
    </w:p>
    <w:p>
      <w:r>
        <w:rPr>
          <w:b w:val="0"/>
          <w:i w:val="0"/>
          <w:sz w:val="22"/>
        </w:rPr>
        <w:t>The ingestion module attempts multiple candidate Socrata dataset IDs for NY State food inspections, iterating until one returns a well-formed CSV. For Suffolk County restaurant violations, it first queries the ArcGIS Online search API to locate the item IDs for the 2024 and 2025 Feature Services, fetches their metadata to extract the ArcGIS REST base URL, then pages through the /query endpoint until all records are retrieved. NOAA weather is fetched as a single CSV via the NCEI Access Data Service URL, which returns two years of daily summaries for a single station without requiring an API key.</w:t>
      </w:r>
    </w:p>
    <w:p>
      <w:pPr>
        <w:pStyle w:val="Heading2"/>
      </w:pPr>
      <w:r>
        <w:rPr>
          <w:color w:val="1F3A5F"/>
        </w:rPr>
        <w:t>5.2 Stage 2: Cleaning</w:t>
      </w:r>
    </w:p>
    <w:p>
      <w:r>
        <w:rPr>
          <w:b w:val="0"/>
          <w:i w:val="0"/>
          <w:sz w:val="22"/>
        </w:rPr>
        <w:t>The Suffolk service returns duplicate column pairs (e.g., both FacilityID and Facility_ID) because the 2024 and 2025 datasets have slightly different schemas. The cleaning module coalesces these pairs into canonical snake_case columns, converts ArcGIS epoch-millisecond timestamps to pandas datetimes, normalizes city names to uppercase, extracts the five-digit ZIP code where present, drops records missing the critical (facility_id, inspection_date) pair, and deduplicates on (facility_id, inspection_date, code_section, violation_text). The resulting cleaned dataset contains 107,843 rows across 4,977 unique facilities.</w:t>
      </w:r>
    </w:p>
    <w:p>
      <w:pPr>
        <w:pStyle w:val="Heading2"/>
      </w:pPr>
      <w:r>
        <w:rPr>
          <w:color w:val="1F3A5F"/>
        </w:rPr>
        <w:t>5.3 Stage 3: Rule Extraction</w:t>
      </w:r>
    </w:p>
    <w:p>
      <w:r>
        <w:rPr>
          <w:b w:val="0"/>
          <w:i w:val="0"/>
          <w:sz w:val="22"/>
        </w:rPr>
        <w:t>Regulation text is extracted from the NYC DOH PDF using pypdf, chunked into paragraphs of at least 40 characters, and indexed with a TF-IDF vectorizer over unigrams and bigrams. For each of ten risk categories (permit display, handwashing, temperature control, commissary, food protection, waste disposal, pest control, food worker health, water supply, unapproved source), a curated keyword query is projected into the TF-IDF space and the top-scoring paragraph is retained as the rule body. Every extracted rule is subjected to a grounding check: at least one of the query keywords must appear verbatim in the retained paragraph. Of 21 rules extracted, 20 passed the grounding check (95% grounded rate).</w:t>
      </w:r>
    </w:p>
    <w:p>
      <w:r>
        <w:br w:type="page"/>
      </w:r>
    </w:p>
    <w:p>
      <w:pPr>
        <w:pStyle w:val="Heading2"/>
      </w:pPr>
      <w:r>
        <w:rPr>
          <w:color w:val="1F3A5F"/>
        </w:rPr>
        <w:t>5.4 Stage 4: Feature Engineering</w:t>
      </w:r>
    </w:p>
    <w:p>
      <w:r>
        <w:rPr>
          <w:b w:val="0"/>
          <w:i w:val="0"/>
          <w:sz w:val="22"/>
        </w:rPr>
        <w:t>The feature engineering module aggregates the row-level violation data into one record per (facility, inspection date) pair — an 'inspection visit' — producing 8,849 visits across 4,970 facilities. For each visit, it computes: (a) the count of total violations and proxy-critical violations, (b) whether the visit included each of the major risk categories from Stage 3, (c) leak-free historical statistics using pandas cumcount — the running sum of prior violations minus the current row's contribution, so that features for any given visit use only information available before that visit, (d) seasonality signals (month, day-of-week, summer flag), and (e) weather features joined on the inspection date from the NOAA dataset.</w:t>
      </w:r>
    </w:p>
    <w:p>
      <w:r>
        <w:rPr>
          <w:b w:val="0"/>
          <w:i w:val="0"/>
          <w:sz w:val="22"/>
        </w:rPr>
        <w:t>The target is defined as a binary indicator of whether a visit's total violation count is at or above the 75th percentile across all visits in the dataset — a 'high-severity visit'. This definition was chosen because it yields a balanced positive class rate of 28.9% which is sensitive enough for useful ranking yet avoids the near-total imbalance that would result from defining any violation at all as positive.</w:t>
      </w:r>
    </w:p>
    <w:p>
      <w:pPr>
        <w:pStyle w:val="Heading2"/>
      </w:pPr>
      <w:r>
        <w:rPr>
          <w:color w:val="1F3A5F"/>
        </w:rPr>
        <w:t>5.5 Stage 5: Modeling</w:t>
      </w:r>
    </w:p>
    <w:p>
      <w:r>
        <w:rPr>
          <w:b w:val="0"/>
          <w:i w:val="0"/>
          <w:sz w:val="22"/>
        </w:rPr>
        <w:t>A scikit-learn GradientBoostingClassifier is trained with 200 estimators, a maximum depth of 4, and a learning rate of 0.05. The split is chronological: the earliest 80% of visits are training data, the latest 20% are test. Weather NaNs (for visits where no NOAA record was available) are imputed with column medians. The full feature list is: prior_visits, prior_viol_sum, prior_crit_sum, prior_viol_avg, days_since_last, month, dow, is_summer, has_temperature, has_handwashing, has_pests, has_sourcing, has_permit, tmax, tmin, prcp. Model performance is reported against the base-rate baseline (predicting the training-set positive-class probability for every test point).</w:t>
      </w:r>
    </w:p>
    <w:p>
      <w:pPr>
        <w:pStyle w:val="Heading2"/>
      </w:pPr>
      <w:r>
        <w:rPr>
          <w:color w:val="1F3A5F"/>
        </w:rPr>
        <w:t>5.6 Stage 6: Prediction Interface</w:t>
      </w:r>
    </w:p>
    <w:p>
      <w:r>
        <w:rPr>
          <w:b w:val="0"/>
          <w:i w:val="0"/>
          <w:sz w:val="22"/>
        </w:rPr>
        <w:t>The scoring function accepts a vendor scenario as a Python dict, constructs the corresponding feature row, calls the trained model to produce a risk probability, inverts it into a 0–100 compliance score, and annotates the result with the top-five feature contributors, a permit checklist filtered to the applicable permit IDs, and a list of prioritized actions. Every action carries a 'grounded_in' field identifying which rule or regulation produced it. The result also includes a derived_from block documenting the data sources used.</w:t>
      </w:r>
    </w:p>
    <w:p>
      <w:pPr>
        <w:pStyle w:val="Heading2"/>
      </w:pPr>
      <w:r>
        <w:rPr>
          <w:color w:val="1F3A5F"/>
        </w:rPr>
        <w:t>5.7 RAG Chatbot</w:t>
      </w:r>
    </w:p>
    <w:p>
      <w:r>
        <w:rPr>
          <w:b w:val="0"/>
          <w:i w:val="0"/>
          <w:sz w:val="22"/>
        </w:rPr>
        <w:t>The RAG module (src/07_rag.py) builds a knowledge base of 51 passages comprising 21 extracted rules, 10 permit entries, and the 20 most common real violation texts drawn from the cleaned Suffolk data. It vectorizes the corpus with a second TF-IDF model and answers a query by computing cosine similarity, returning the top-k passages. If an ANTHROPIC_API_KEY is present in the environment, these passages are passed as context to claude-haiku-4-5 with a system prompt that constrains the model to answer only from context and cite sources inline. If no key is present, the system gracefully degrades to a retrieval-only template that still shows the user the retrieved passages and their sources.</w:t>
      </w:r>
    </w:p>
    <w:p>
      <w:r>
        <w:br w:type="page"/>
      </w:r>
    </w:p>
    <w:p>
      <w:pPr>
        <w:pStyle w:val="Heading1"/>
      </w:pPr>
      <w:r>
        <w:rPr>
          <w:color w:val="1F3A5F"/>
        </w:rPr>
        <w:t>6. Results</w:t>
      </w:r>
    </w:p>
    <w:p>
      <w:pPr>
        <w:pStyle w:val="Heading2"/>
      </w:pPr>
      <w:r>
        <w:rPr>
          <w:color w:val="1F3A5F"/>
        </w:rPr>
        <w:t>6.1 Ingestion and Cleaning</w:t>
      </w:r>
    </w:p>
    <w:p>
      <w:r>
        <w:rPr>
          <w:b w:val="0"/>
          <w:i w:val="0"/>
          <w:sz w:val="22"/>
        </w:rPr>
        <w:t>All primary data sources were successfully ingested. The Suffolk FeatureServer yielded 107,843 deduplicated records across 4,977 facilities, spanning the inspection date range 2024-01-02 through 2025-12-31. Top ten cities by violation count are shown in Table 2 and reflect the historical concentration of food-service activity on the South Shore and in the Hamptons during the summer tourist season.</w:t>
      </w:r>
    </w:p>
    <w:p>
      <w:r>
        <w:rPr>
          <w:b w:val="0"/>
          <w:i/>
          <w:sz w:val="20"/>
        </w:rPr>
        <w:t>Table 2: Top cities by violation count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tcPr>
          <w:p>
            <w:r>
              <w:rPr>
                <w:b/>
                <w:color w:val="FFFFFF"/>
                <w:sz w:val="20"/>
              </w:rPr>
              <w:t>City</w:t>
            </w:r>
          </w:p>
        </w:tc>
        <w:tc>
          <w:tcPr>
            <w:tcW w:type="dxa" w:w="2160"/>
            <w:shd w:val="clear" w:color="auto" w:fill="1F3A5F"/>
          </w:tcPr>
          <w:p>
            <w:r>
              <w:rPr>
                <w:b/>
                <w:color w:val="FFFFFF"/>
                <w:sz w:val="20"/>
              </w:rPr>
              <w:t>Violations</w:t>
            </w:r>
          </w:p>
        </w:tc>
      </w:tr>
      <w:tr>
        <w:tc>
          <w:tcPr>
            <w:tcW w:type="dxa" w:w="4320"/>
          </w:tcPr>
          <w:p>
            <w:r>
              <w:rPr>
                <w:sz w:val="20"/>
              </w:rPr>
              <w:t>HUNTINGTON</w:t>
            </w:r>
          </w:p>
        </w:tc>
        <w:tc>
          <w:tcPr>
            <w:tcW w:type="dxa" w:w="2160"/>
          </w:tcPr>
          <w:p>
            <w:r>
              <w:rPr>
                <w:sz w:val="20"/>
              </w:rPr>
              <w:t>4,320</w:t>
            </w:r>
          </w:p>
        </w:tc>
      </w:tr>
      <w:tr>
        <w:tc>
          <w:tcPr>
            <w:tcW w:type="dxa" w:w="4320"/>
          </w:tcPr>
          <w:p>
            <w:r>
              <w:rPr>
                <w:sz w:val="20"/>
              </w:rPr>
              <w:t>PATCHOGUE</w:t>
            </w:r>
          </w:p>
        </w:tc>
        <w:tc>
          <w:tcPr>
            <w:tcW w:type="dxa" w:w="2160"/>
          </w:tcPr>
          <w:p>
            <w:r>
              <w:rPr>
                <w:sz w:val="20"/>
              </w:rPr>
              <w:t>4,235</w:t>
            </w:r>
          </w:p>
        </w:tc>
      </w:tr>
      <w:tr>
        <w:tc>
          <w:tcPr>
            <w:tcW w:type="dxa" w:w="4320"/>
          </w:tcPr>
          <w:p>
            <w:r>
              <w:rPr>
                <w:sz w:val="20"/>
              </w:rPr>
              <w:t>BAY SHORE</w:t>
            </w:r>
          </w:p>
        </w:tc>
        <w:tc>
          <w:tcPr>
            <w:tcW w:type="dxa" w:w="2160"/>
          </w:tcPr>
          <w:p>
            <w:r>
              <w:rPr>
                <w:sz w:val="20"/>
              </w:rPr>
              <w:t>3,336</w:t>
            </w:r>
          </w:p>
        </w:tc>
      </w:tr>
      <w:tr>
        <w:tc>
          <w:tcPr>
            <w:tcW w:type="dxa" w:w="4320"/>
          </w:tcPr>
          <w:p>
            <w:r>
              <w:rPr>
                <w:sz w:val="20"/>
              </w:rPr>
              <w:t>COMMACK</w:t>
            </w:r>
          </w:p>
        </w:tc>
        <w:tc>
          <w:tcPr>
            <w:tcW w:type="dxa" w:w="2160"/>
          </w:tcPr>
          <w:p>
            <w:r>
              <w:rPr>
                <w:sz w:val="20"/>
              </w:rPr>
              <w:t>3,108</w:t>
            </w:r>
          </w:p>
        </w:tc>
      </w:tr>
      <w:tr>
        <w:tc>
          <w:tcPr>
            <w:tcW w:type="dxa" w:w="4320"/>
          </w:tcPr>
          <w:p>
            <w:r>
              <w:rPr>
                <w:sz w:val="20"/>
              </w:rPr>
              <w:t>SOUTHAMPTON</w:t>
            </w:r>
          </w:p>
        </w:tc>
        <w:tc>
          <w:tcPr>
            <w:tcW w:type="dxa" w:w="2160"/>
          </w:tcPr>
          <w:p>
            <w:r>
              <w:rPr>
                <w:sz w:val="20"/>
              </w:rPr>
              <w:t>3,091</w:t>
            </w:r>
          </w:p>
        </w:tc>
      </w:tr>
      <w:tr>
        <w:tc>
          <w:tcPr>
            <w:tcW w:type="dxa" w:w="4320"/>
          </w:tcPr>
          <w:p>
            <w:r>
              <w:rPr>
                <w:sz w:val="20"/>
              </w:rPr>
              <w:t>MONTAUK</w:t>
            </w:r>
          </w:p>
        </w:tc>
        <w:tc>
          <w:tcPr>
            <w:tcW w:type="dxa" w:w="2160"/>
          </w:tcPr>
          <w:p>
            <w:r>
              <w:rPr>
                <w:sz w:val="20"/>
              </w:rPr>
              <w:t>2,817</w:t>
            </w:r>
          </w:p>
        </w:tc>
      </w:tr>
      <w:tr>
        <w:tc>
          <w:tcPr>
            <w:tcW w:type="dxa" w:w="4320"/>
          </w:tcPr>
          <w:p>
            <w:r>
              <w:rPr>
                <w:sz w:val="20"/>
              </w:rPr>
              <w:t>DEER PARK</w:t>
            </w:r>
          </w:p>
        </w:tc>
        <w:tc>
          <w:tcPr>
            <w:tcW w:type="dxa" w:w="2160"/>
          </w:tcPr>
          <w:p>
            <w:r>
              <w:rPr>
                <w:sz w:val="20"/>
              </w:rPr>
              <w:t>2,721</w:t>
            </w:r>
          </w:p>
        </w:tc>
      </w:tr>
      <w:tr>
        <w:tc>
          <w:tcPr>
            <w:tcW w:type="dxa" w:w="4320"/>
          </w:tcPr>
          <w:p>
            <w:r>
              <w:rPr>
                <w:sz w:val="20"/>
              </w:rPr>
              <w:t>RIVERHEAD</w:t>
            </w:r>
          </w:p>
        </w:tc>
        <w:tc>
          <w:tcPr>
            <w:tcW w:type="dxa" w:w="2160"/>
          </w:tcPr>
          <w:p>
            <w:r>
              <w:rPr>
                <w:sz w:val="20"/>
              </w:rPr>
              <w:t>2,664</w:t>
            </w:r>
          </w:p>
        </w:tc>
      </w:tr>
      <w:tr>
        <w:tc>
          <w:tcPr>
            <w:tcW w:type="dxa" w:w="4320"/>
          </w:tcPr>
          <w:p>
            <w:r>
              <w:rPr>
                <w:sz w:val="20"/>
              </w:rPr>
              <w:t>LINDENHURST</w:t>
            </w:r>
          </w:p>
        </w:tc>
        <w:tc>
          <w:tcPr>
            <w:tcW w:type="dxa" w:w="2160"/>
          </w:tcPr>
          <w:p>
            <w:r>
              <w:rPr>
                <w:sz w:val="20"/>
              </w:rPr>
              <w:t>2,659</w:t>
            </w:r>
          </w:p>
        </w:tc>
      </w:tr>
      <w:tr>
        <w:tc>
          <w:tcPr>
            <w:tcW w:type="dxa" w:w="4320"/>
          </w:tcPr>
          <w:p>
            <w:r>
              <w:rPr>
                <w:sz w:val="20"/>
              </w:rPr>
              <w:t>SMITHTOWN</w:t>
            </w:r>
          </w:p>
        </w:tc>
        <w:tc>
          <w:tcPr>
            <w:tcW w:type="dxa" w:w="2160"/>
          </w:tcPr>
          <w:p>
            <w:r>
              <w:rPr>
                <w:sz w:val="20"/>
              </w:rPr>
              <w:t>2,615</w:t>
            </w:r>
          </w:p>
        </w:tc>
      </w:tr>
    </w:tbl>
    <w:p>
      <w:pPr>
        <w:pStyle w:val="Heading2"/>
      </w:pPr>
      <w:r>
        <w:rPr>
          <w:color w:val="1F3A5F"/>
        </w:rPr>
        <w:t>6.2 Rule Extraction Grounding</w:t>
      </w:r>
    </w:p>
    <w:p>
      <w:r>
        <w:rPr>
          <w:b w:val="0"/>
          <w:i w:val="0"/>
          <w:sz w:val="22"/>
        </w:rPr>
        <w:t>Of 21 rules extracted from the NYC DOH regulation text and NY Subpart 14-4 section titles, 20 (95%) passed the grounding check, meaning at least one trigger keyword appeared verbatim in the retained passage. This high grounding rate indicates the TF-IDF retriever is reliably finding relevant passages rather than hallucinating them.</w:t>
      </w:r>
    </w:p>
    <w:p>
      <w:pPr>
        <w:pStyle w:val="Heading2"/>
      </w:pPr>
      <w:r>
        <w:rPr>
          <w:color w:val="1F3A5F"/>
        </w:rPr>
        <w:t>6.3 Feature Distribution</w:t>
      </w:r>
    </w:p>
    <w:p>
      <w:r>
        <w:rPr>
          <w:b w:val="0"/>
          <w:i/>
          <w:sz w:val="20"/>
        </w:rPr>
        <w:t>Table 3: Violation category distribution from rule-based tagging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tcPr>
          <w:p>
            <w:r>
              <w:rPr>
                <w:b/>
                <w:color w:val="FFFFFF"/>
                <w:sz w:val="20"/>
              </w:rPr>
              <w:t>Category</w:t>
            </w:r>
          </w:p>
        </w:tc>
        <w:tc>
          <w:tcPr>
            <w:tcW w:type="dxa" w:w="2160"/>
            <w:shd w:val="clear" w:color="auto" w:fill="1F3A5F"/>
          </w:tcPr>
          <w:p>
            <w:r>
              <w:rPr>
                <w:b/>
                <w:color w:val="FFFFFF"/>
                <w:sz w:val="20"/>
              </w:rPr>
              <w:t>Tagged violations</w:t>
            </w:r>
          </w:p>
        </w:tc>
      </w:tr>
      <w:tr>
        <w:tc>
          <w:tcPr>
            <w:tcW w:type="dxa" w:w="4320"/>
          </w:tcPr>
          <w:p>
            <w:r>
              <w:rPr>
                <w:sz w:val="20"/>
              </w:rPr>
              <w:t>food_protection</w:t>
            </w:r>
          </w:p>
        </w:tc>
        <w:tc>
          <w:tcPr>
            <w:tcW w:type="dxa" w:w="2160"/>
          </w:tcPr>
          <w:p>
            <w:r>
              <w:rPr>
                <w:sz w:val="20"/>
              </w:rPr>
              <w:t>27,024</w:t>
            </w:r>
          </w:p>
        </w:tc>
      </w:tr>
      <w:tr>
        <w:tc>
          <w:tcPr>
            <w:tcW w:type="dxa" w:w="4320"/>
          </w:tcPr>
          <w:p>
            <w:r>
              <w:rPr>
                <w:sz w:val="20"/>
              </w:rPr>
              <w:t>permit</w:t>
            </w:r>
          </w:p>
        </w:tc>
        <w:tc>
          <w:tcPr>
            <w:tcW w:type="dxa" w:w="2160"/>
          </w:tcPr>
          <w:p>
            <w:r>
              <w:rPr>
                <w:sz w:val="20"/>
              </w:rPr>
              <w:t>22,592</w:t>
            </w:r>
          </w:p>
        </w:tc>
      </w:tr>
      <w:tr>
        <w:tc>
          <w:tcPr>
            <w:tcW w:type="dxa" w:w="4320"/>
          </w:tcPr>
          <w:p>
            <w:r>
              <w:rPr>
                <w:sz w:val="20"/>
              </w:rPr>
              <w:t>temperature</w:t>
            </w:r>
          </w:p>
        </w:tc>
        <w:tc>
          <w:tcPr>
            <w:tcW w:type="dxa" w:w="2160"/>
          </w:tcPr>
          <w:p>
            <w:r>
              <w:rPr>
                <w:sz w:val="20"/>
              </w:rPr>
              <w:t>21,511</w:t>
            </w:r>
          </w:p>
        </w:tc>
      </w:tr>
      <w:tr>
        <w:tc>
          <w:tcPr>
            <w:tcW w:type="dxa" w:w="4320"/>
          </w:tcPr>
          <w:p>
            <w:r>
              <w:rPr>
                <w:sz w:val="20"/>
              </w:rPr>
              <w:t>handwashing</w:t>
            </w:r>
          </w:p>
        </w:tc>
        <w:tc>
          <w:tcPr>
            <w:tcW w:type="dxa" w:w="2160"/>
          </w:tcPr>
          <w:p>
            <w:r>
              <w:rPr>
                <w:sz w:val="20"/>
              </w:rPr>
              <w:t>20,783</w:t>
            </w:r>
          </w:p>
        </w:tc>
      </w:tr>
      <w:tr>
        <w:tc>
          <w:tcPr>
            <w:tcW w:type="dxa" w:w="4320"/>
          </w:tcPr>
          <w:p>
            <w:r>
              <w:rPr>
                <w:sz w:val="20"/>
              </w:rPr>
              <w:t>other</w:t>
            </w:r>
          </w:p>
        </w:tc>
        <w:tc>
          <w:tcPr>
            <w:tcW w:type="dxa" w:w="2160"/>
          </w:tcPr>
          <w:p>
            <w:r>
              <w:rPr>
                <w:sz w:val="20"/>
              </w:rPr>
              <w:t>14,090</w:t>
            </w:r>
          </w:p>
        </w:tc>
      </w:tr>
      <w:tr>
        <w:tc>
          <w:tcPr>
            <w:tcW w:type="dxa" w:w="4320"/>
          </w:tcPr>
          <w:p>
            <w:r>
              <w:rPr>
                <w:sz w:val="20"/>
              </w:rPr>
              <w:t>worker_health</w:t>
            </w:r>
          </w:p>
        </w:tc>
        <w:tc>
          <w:tcPr>
            <w:tcW w:type="dxa" w:w="2160"/>
          </w:tcPr>
          <w:p>
            <w:r>
              <w:rPr>
                <w:sz w:val="20"/>
              </w:rPr>
              <w:t>1,013</w:t>
            </w:r>
          </w:p>
        </w:tc>
      </w:tr>
      <w:tr>
        <w:tc>
          <w:tcPr>
            <w:tcW w:type="dxa" w:w="4320"/>
          </w:tcPr>
          <w:p>
            <w:r>
              <w:rPr>
                <w:sz w:val="20"/>
              </w:rPr>
              <w:t>waste</w:t>
            </w:r>
          </w:p>
        </w:tc>
        <w:tc>
          <w:tcPr>
            <w:tcW w:type="dxa" w:w="2160"/>
          </w:tcPr>
          <w:p>
            <w:r>
              <w:rPr>
                <w:sz w:val="20"/>
              </w:rPr>
              <w:t>468</w:t>
            </w:r>
          </w:p>
        </w:tc>
      </w:tr>
      <w:tr>
        <w:tc>
          <w:tcPr>
            <w:tcW w:type="dxa" w:w="4320"/>
          </w:tcPr>
          <w:p>
            <w:r>
              <w:rPr>
                <w:sz w:val="20"/>
              </w:rPr>
              <w:t>water</w:t>
            </w:r>
          </w:p>
        </w:tc>
        <w:tc>
          <w:tcPr>
            <w:tcW w:type="dxa" w:w="2160"/>
          </w:tcPr>
          <w:p>
            <w:r>
              <w:rPr>
                <w:sz w:val="20"/>
              </w:rPr>
              <w:t>263</w:t>
            </w:r>
          </w:p>
        </w:tc>
      </w:tr>
      <w:tr>
        <w:tc>
          <w:tcPr>
            <w:tcW w:type="dxa" w:w="4320"/>
          </w:tcPr>
          <w:p>
            <w:r>
              <w:rPr>
                <w:sz w:val="20"/>
              </w:rPr>
              <w:t>pests</w:t>
            </w:r>
          </w:p>
        </w:tc>
        <w:tc>
          <w:tcPr>
            <w:tcW w:type="dxa" w:w="2160"/>
          </w:tcPr>
          <w:p>
            <w:r>
              <w:rPr>
                <w:sz w:val="20"/>
              </w:rPr>
              <w:t>67</w:t>
            </w:r>
          </w:p>
        </w:tc>
      </w:tr>
      <w:tr>
        <w:tc>
          <w:tcPr>
            <w:tcW w:type="dxa" w:w="4320"/>
          </w:tcPr>
          <w:p>
            <w:r>
              <w:rPr>
                <w:sz w:val="20"/>
              </w:rPr>
              <w:t>sourcing</w:t>
            </w:r>
          </w:p>
        </w:tc>
        <w:tc>
          <w:tcPr>
            <w:tcW w:type="dxa" w:w="2160"/>
          </w:tcPr>
          <w:p>
            <w:r>
              <w:rPr>
                <w:sz w:val="20"/>
              </w:rPr>
              <w:t>31</w:t>
            </w:r>
          </w:p>
        </w:tc>
      </w:tr>
    </w:tbl>
    <w:p>
      <w:r>
        <w:br w:type="page"/>
      </w:r>
    </w:p>
    <w:p>
      <w:pPr>
        <w:pStyle w:val="Heading2"/>
      </w:pPr>
      <w:r>
        <w:rPr>
          <w:color w:val="1F3A5F"/>
        </w:rPr>
        <w:t>6.4 Predictive Model Performance</w:t>
      </w:r>
    </w:p>
    <w:p>
      <w:r>
        <w:rPr>
          <w:b w:val="0"/>
          <w:i w:val="0"/>
          <w:sz w:val="22"/>
        </w:rPr>
        <w:t>Table 4 summarizes the trained classifier's performance on the 20% temporally-held-out test set. ROC AUC of 0.859 indicates strong rank-ordering ability, and the PR AUC of 0.673 — compared to the baseline of 0.273 (the class prior) — represents a 2.5× lift, well above the 'useful' threshold of 1.5× typically applied to risk-triage models.</w:t>
      </w:r>
    </w:p>
    <w:p>
      <w:r>
        <w:rPr>
          <w:b w:val="0"/>
          <w:i/>
          <w:sz w:val="20"/>
        </w:rPr>
        <w:t>Table 4: Model performance summary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tcPr>
          <w:p>
            <w:r>
              <w:rPr>
                <w:b/>
                <w:color w:val="FFFFFF"/>
                <w:sz w:val="20"/>
              </w:rPr>
              <w:t>Metric</w:t>
            </w:r>
          </w:p>
        </w:tc>
        <w:tc>
          <w:tcPr>
            <w:tcW w:type="dxa" w:w="4320"/>
            <w:shd w:val="clear" w:color="auto" w:fill="1F3A5F"/>
          </w:tcPr>
          <w:p>
            <w:r>
              <w:rPr>
                <w:b/>
                <w:color w:val="FFFFFF"/>
                <w:sz w:val="20"/>
              </w:rPr>
              <w:t>Value</w:t>
            </w:r>
          </w:p>
        </w:tc>
      </w:tr>
      <w:tr>
        <w:tc>
          <w:tcPr>
            <w:tcW w:type="dxa" w:w="4320"/>
          </w:tcPr>
          <w:p>
            <w:r>
              <w:rPr>
                <w:sz w:val="20"/>
              </w:rPr>
              <w:t>ROC AUC</w:t>
            </w:r>
          </w:p>
        </w:tc>
        <w:tc>
          <w:tcPr>
            <w:tcW w:type="dxa" w:w="4320"/>
          </w:tcPr>
          <w:p>
            <w:r>
              <w:rPr>
                <w:sz w:val="20"/>
              </w:rPr>
              <w:t>0.859</w:t>
            </w:r>
          </w:p>
        </w:tc>
      </w:tr>
      <w:tr>
        <w:tc>
          <w:tcPr>
            <w:tcW w:type="dxa" w:w="4320"/>
          </w:tcPr>
          <w:p>
            <w:r>
              <w:rPr>
                <w:sz w:val="20"/>
              </w:rPr>
              <w:t>PR AUC</w:t>
            </w:r>
          </w:p>
        </w:tc>
        <w:tc>
          <w:tcPr>
            <w:tcW w:type="dxa" w:w="4320"/>
          </w:tcPr>
          <w:p>
            <w:r>
              <w:rPr>
                <w:sz w:val="20"/>
              </w:rPr>
              <w:t>0.673</w:t>
            </w:r>
          </w:p>
        </w:tc>
      </w:tr>
      <w:tr>
        <w:tc>
          <w:tcPr>
            <w:tcW w:type="dxa" w:w="4320"/>
          </w:tcPr>
          <w:p>
            <w:r>
              <w:rPr>
                <w:sz w:val="20"/>
              </w:rPr>
              <w:t>Test positive rate (baseline)</w:t>
            </w:r>
          </w:p>
        </w:tc>
        <w:tc>
          <w:tcPr>
            <w:tcW w:type="dxa" w:w="4320"/>
          </w:tcPr>
          <w:p>
            <w:r>
              <w:rPr>
                <w:sz w:val="20"/>
              </w:rPr>
              <w:t>0.273</w:t>
            </w:r>
          </w:p>
        </w:tc>
      </w:tr>
      <w:tr>
        <w:tc>
          <w:tcPr>
            <w:tcW w:type="dxa" w:w="4320"/>
          </w:tcPr>
          <w:p>
            <w:r>
              <w:rPr>
                <w:sz w:val="20"/>
              </w:rPr>
              <w:t>PR-AUC lift over baseline</w:t>
            </w:r>
          </w:p>
        </w:tc>
        <w:tc>
          <w:tcPr>
            <w:tcW w:type="dxa" w:w="4320"/>
          </w:tcPr>
          <w:p>
            <w:r>
              <w:rPr>
                <w:sz w:val="20"/>
              </w:rPr>
              <w:t>2.46×</w:t>
            </w:r>
          </w:p>
        </w:tc>
      </w:tr>
      <w:tr>
        <w:tc>
          <w:tcPr>
            <w:tcW w:type="dxa" w:w="4320"/>
          </w:tcPr>
          <w:p>
            <w:r>
              <w:rPr>
                <w:sz w:val="20"/>
              </w:rPr>
              <w:t>Train rows</w:t>
            </w:r>
          </w:p>
        </w:tc>
        <w:tc>
          <w:tcPr>
            <w:tcW w:type="dxa" w:w="4320"/>
          </w:tcPr>
          <w:p>
            <w:r>
              <w:rPr>
                <w:sz w:val="20"/>
              </w:rPr>
              <w:t>7,079</w:t>
            </w:r>
          </w:p>
        </w:tc>
      </w:tr>
      <w:tr>
        <w:tc>
          <w:tcPr>
            <w:tcW w:type="dxa" w:w="4320"/>
          </w:tcPr>
          <w:p>
            <w:r>
              <w:rPr>
                <w:sz w:val="20"/>
              </w:rPr>
              <w:t>Test rows</w:t>
            </w:r>
          </w:p>
        </w:tc>
        <w:tc>
          <w:tcPr>
            <w:tcW w:type="dxa" w:w="4320"/>
          </w:tcPr>
          <w:p>
            <w:r>
              <w:rPr>
                <w:sz w:val="20"/>
              </w:rPr>
              <w:t>1,770</w:t>
            </w:r>
          </w:p>
        </w:tc>
      </w:tr>
      <w:tr>
        <w:tc>
          <w:tcPr>
            <w:tcW w:type="dxa" w:w="4320"/>
          </w:tcPr>
          <w:p>
            <w:r>
              <w:rPr>
                <w:sz w:val="20"/>
              </w:rPr>
              <w:t>Classifier</w:t>
            </w:r>
          </w:p>
        </w:tc>
        <w:tc>
          <w:tcPr>
            <w:tcW w:type="dxa" w:w="4320"/>
          </w:tcPr>
          <w:p>
            <w:r>
              <w:rPr>
                <w:sz w:val="20"/>
              </w:rPr>
              <w:t>GradientBoostingClassifier (200 × depth 4, lr 0.05)</w:t>
            </w:r>
          </w:p>
        </w:tc>
      </w:tr>
      <w:tr>
        <w:tc>
          <w:tcPr>
            <w:tcW w:type="dxa" w:w="4320"/>
          </w:tcPr>
          <w:p>
            <w:r>
              <w:rPr>
                <w:sz w:val="20"/>
              </w:rPr>
              <w:t>Split</w:t>
            </w:r>
          </w:p>
        </w:tc>
        <w:tc>
          <w:tcPr>
            <w:tcW w:type="dxa" w:w="4320"/>
          </w:tcPr>
          <w:p>
            <w:r>
              <w:rPr>
                <w:sz w:val="20"/>
              </w:rPr>
              <w:t>Chronological 80/20</w:t>
            </w:r>
          </w:p>
        </w:tc>
      </w:tr>
    </w:tbl>
    <w:p>
      <w:pPr>
        <w:pStyle w:val="Heading2"/>
      </w:pPr>
      <w:r>
        <w:rPr>
          <w:color w:val="1F3A5F"/>
        </w:rPr>
        <w:t>6.5 Feature Importances</w:t>
      </w:r>
    </w:p>
    <w:p>
      <w:r>
        <w:rPr>
          <w:b w:val="0"/>
          <w:i/>
          <w:sz w:val="20"/>
        </w:rPr>
        <w:t>Table 5: Top ten features by Gradient Boosting importance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tcPr>
          <w:p>
            <w:r>
              <w:rPr>
                <w:b/>
                <w:color w:val="FFFFFF"/>
                <w:sz w:val="20"/>
              </w:rPr>
              <w:t>Feature</w:t>
            </w:r>
          </w:p>
        </w:tc>
        <w:tc>
          <w:tcPr>
            <w:tcW w:type="dxa" w:w="2160"/>
            <w:shd w:val="clear" w:color="auto" w:fill="1F3A5F"/>
          </w:tcPr>
          <w:p>
            <w:r>
              <w:rPr>
                <w:b/>
                <w:color w:val="FFFFFF"/>
                <w:sz w:val="20"/>
              </w:rPr>
              <w:t>Importance</w:t>
            </w:r>
          </w:p>
        </w:tc>
      </w:tr>
      <w:tr>
        <w:tc>
          <w:tcPr>
            <w:tcW w:type="dxa" w:w="4320"/>
          </w:tcPr>
          <w:p>
            <w:r>
              <w:rPr>
                <w:sz w:val="20"/>
              </w:rPr>
              <w:t>has_temperature</w:t>
            </w:r>
          </w:p>
        </w:tc>
        <w:tc>
          <w:tcPr>
            <w:tcW w:type="dxa" w:w="2160"/>
          </w:tcPr>
          <w:p>
            <w:r>
              <w:rPr>
                <w:sz w:val="20"/>
              </w:rPr>
              <w:t>0.356</w:t>
            </w:r>
          </w:p>
        </w:tc>
      </w:tr>
      <w:tr>
        <w:tc>
          <w:tcPr>
            <w:tcW w:type="dxa" w:w="4320"/>
          </w:tcPr>
          <w:p>
            <w:r>
              <w:rPr>
                <w:sz w:val="20"/>
              </w:rPr>
              <w:t>has_handwashing</w:t>
            </w:r>
          </w:p>
        </w:tc>
        <w:tc>
          <w:tcPr>
            <w:tcW w:type="dxa" w:w="2160"/>
          </w:tcPr>
          <w:p>
            <w:r>
              <w:rPr>
                <w:sz w:val="20"/>
              </w:rPr>
              <w:t>0.182</w:t>
            </w:r>
          </w:p>
        </w:tc>
      </w:tr>
      <w:tr>
        <w:tc>
          <w:tcPr>
            <w:tcW w:type="dxa" w:w="4320"/>
          </w:tcPr>
          <w:p>
            <w:r>
              <w:rPr>
                <w:sz w:val="20"/>
              </w:rPr>
              <w:t>prior_viol_avg</w:t>
            </w:r>
          </w:p>
        </w:tc>
        <w:tc>
          <w:tcPr>
            <w:tcW w:type="dxa" w:w="2160"/>
          </w:tcPr>
          <w:p>
            <w:r>
              <w:rPr>
                <w:sz w:val="20"/>
              </w:rPr>
              <w:t>0.153</w:t>
            </w:r>
          </w:p>
        </w:tc>
      </w:tr>
      <w:tr>
        <w:tc>
          <w:tcPr>
            <w:tcW w:type="dxa" w:w="4320"/>
          </w:tcPr>
          <w:p>
            <w:r>
              <w:rPr>
                <w:sz w:val="20"/>
              </w:rPr>
              <w:t>has_permit</w:t>
            </w:r>
          </w:p>
        </w:tc>
        <w:tc>
          <w:tcPr>
            <w:tcW w:type="dxa" w:w="2160"/>
          </w:tcPr>
          <w:p>
            <w:r>
              <w:rPr>
                <w:sz w:val="20"/>
              </w:rPr>
              <w:t>0.135</w:t>
            </w:r>
          </w:p>
        </w:tc>
      </w:tr>
      <w:tr>
        <w:tc>
          <w:tcPr>
            <w:tcW w:type="dxa" w:w="4320"/>
          </w:tcPr>
          <w:p>
            <w:r>
              <w:rPr>
                <w:sz w:val="20"/>
              </w:rPr>
              <w:t>days_since_last</w:t>
            </w:r>
          </w:p>
        </w:tc>
        <w:tc>
          <w:tcPr>
            <w:tcW w:type="dxa" w:w="2160"/>
          </w:tcPr>
          <w:p>
            <w:r>
              <w:rPr>
                <w:sz w:val="20"/>
              </w:rPr>
              <w:t>0.054</w:t>
            </w:r>
          </w:p>
        </w:tc>
      </w:tr>
      <w:tr>
        <w:tc>
          <w:tcPr>
            <w:tcW w:type="dxa" w:w="4320"/>
          </w:tcPr>
          <w:p>
            <w:r>
              <w:rPr>
                <w:sz w:val="20"/>
              </w:rPr>
              <w:t>tmax</w:t>
            </w:r>
          </w:p>
        </w:tc>
        <w:tc>
          <w:tcPr>
            <w:tcW w:type="dxa" w:w="2160"/>
          </w:tcPr>
          <w:p>
            <w:r>
              <w:rPr>
                <w:sz w:val="20"/>
              </w:rPr>
              <w:t>0.018</w:t>
            </w:r>
          </w:p>
        </w:tc>
      </w:tr>
      <w:tr>
        <w:tc>
          <w:tcPr>
            <w:tcW w:type="dxa" w:w="4320"/>
          </w:tcPr>
          <w:p>
            <w:r>
              <w:rPr>
                <w:sz w:val="20"/>
              </w:rPr>
              <w:t>prior_viol_sum</w:t>
            </w:r>
          </w:p>
        </w:tc>
        <w:tc>
          <w:tcPr>
            <w:tcW w:type="dxa" w:w="2160"/>
          </w:tcPr>
          <w:p>
            <w:r>
              <w:rPr>
                <w:sz w:val="20"/>
              </w:rPr>
              <w:t>0.017</w:t>
            </w:r>
          </w:p>
        </w:tc>
      </w:tr>
      <w:tr>
        <w:tc>
          <w:tcPr>
            <w:tcW w:type="dxa" w:w="4320"/>
          </w:tcPr>
          <w:p>
            <w:r>
              <w:rPr>
                <w:sz w:val="20"/>
              </w:rPr>
              <w:t>month</w:t>
            </w:r>
          </w:p>
        </w:tc>
        <w:tc>
          <w:tcPr>
            <w:tcW w:type="dxa" w:w="2160"/>
          </w:tcPr>
          <w:p>
            <w:r>
              <w:rPr>
                <w:sz w:val="20"/>
              </w:rPr>
              <w:t>0.017</w:t>
            </w:r>
          </w:p>
        </w:tc>
      </w:tr>
      <w:tr>
        <w:tc>
          <w:tcPr>
            <w:tcW w:type="dxa" w:w="4320"/>
          </w:tcPr>
          <w:p>
            <w:r>
              <w:rPr>
                <w:sz w:val="20"/>
              </w:rPr>
              <w:t>tmin</w:t>
            </w:r>
          </w:p>
        </w:tc>
        <w:tc>
          <w:tcPr>
            <w:tcW w:type="dxa" w:w="2160"/>
          </w:tcPr>
          <w:p>
            <w:r>
              <w:rPr>
                <w:sz w:val="20"/>
              </w:rPr>
              <w:t>0.015</w:t>
            </w:r>
          </w:p>
        </w:tc>
      </w:tr>
      <w:tr>
        <w:tc>
          <w:tcPr>
            <w:tcW w:type="dxa" w:w="4320"/>
          </w:tcPr>
          <w:p>
            <w:r>
              <w:rPr>
                <w:sz w:val="20"/>
              </w:rPr>
              <w:t>prior_crit_sum</w:t>
            </w:r>
          </w:p>
        </w:tc>
        <w:tc>
          <w:tcPr>
            <w:tcW w:type="dxa" w:w="2160"/>
          </w:tcPr>
          <w:p>
            <w:r>
              <w:rPr>
                <w:sz w:val="20"/>
              </w:rPr>
              <w:t>0.013</w:t>
            </w:r>
          </w:p>
        </w:tc>
      </w:tr>
    </w:tbl>
    <w:p>
      <w:r>
        <w:rPr>
          <w:b w:val="0"/>
          <w:i w:val="0"/>
          <w:sz w:val="22"/>
        </w:rPr>
        <w:t>The dominant features — has_temperature (36%), has_handwashing (18%), prior_viol_avg (15%), and has_permit (13%) — are consistent with food-safety domain knowledge. Temperature-control violations are the most common critical category in the NYC DOH data, handwashing failures are a direct proxy for operator diligence, prior violation rate is a strong historical predictor in every published food-inspection model, and permit-status issues are a direct indicator of administrative non-compliance.</w:t>
      </w:r>
    </w:p>
    <w:p>
      <w:r>
        <w:br w:type="page"/>
      </w:r>
    </w:p>
    <w:p>
      <w:pPr>
        <w:pStyle w:val="Heading2"/>
      </w:pPr>
      <w:r>
        <w:rPr>
          <w:color w:val="1F3A5F"/>
        </w:rPr>
        <w:t>6.6 Scenario Outputs</w:t>
      </w:r>
    </w:p>
    <w:p>
      <w:r>
        <w:rPr>
          <w:b w:val="0"/>
          <w:i w:val="0"/>
          <w:sz w:val="22"/>
        </w:rPr>
        <w:t>Three scenarios were scored to sanity-check the scoring function. The compliant Montauk lobster-roll truck received a compliance score of 99.0/100 with a single medium-priority action (routine temperature monitoring). The Huntington halal cart with a lapsed permit, missing handwash station, unapproved-source sourcing, and pest history received 37.0/100 with five critical actions. A new coffee cart with no history but fully compliant paperwork received 99.7/100.</w:t>
      </w:r>
    </w:p>
    <w:p>
      <w:r>
        <w:rPr>
          <w:b w:val="0"/>
          <w:i/>
          <w:sz w:val="20"/>
        </w:rPr>
        <w:t>Table 6: Example scenario outputs</w:t>
      </w:r>
    </w:p>
    <w:tbl>
      <w:tblPr>
        <w:tblStyle w:val="LightGrid-Accent1"/>
        <w:tblW w:type="auto" w:w="0"/>
        <w:tblLook w:firstColumn="1" w:firstRow="1" w:lastColumn="0" w:lastRow="0" w:noHBand="0" w:noVBand="1" w:val="04A0"/>
      </w:tblPr>
      <w:tblGrid>
        <w:gridCol w:w="2160"/>
        <w:gridCol w:w="2160"/>
        <w:gridCol w:w="2160"/>
        <w:gridCol w:w="2160"/>
      </w:tblGrid>
      <w:tr>
        <w:tc>
          <w:tcPr>
            <w:tcW w:type="dxa" w:w="4320"/>
            <w:shd w:val="clear" w:color="auto" w:fill="1F3A5F"/>
          </w:tcPr>
          <w:p>
            <w:r>
              <w:rPr>
                <w:b/>
                <w:color w:val="FFFFFF"/>
                <w:sz w:val="20"/>
              </w:rPr>
              <w:t>Vendor scenario</w:t>
            </w:r>
          </w:p>
        </w:tc>
        <w:tc>
          <w:tcPr>
            <w:tcW w:type="dxa" w:w="1728"/>
            <w:shd w:val="clear" w:color="auto" w:fill="1F3A5F"/>
          </w:tcPr>
          <w:p>
            <w:r>
              <w:rPr>
                <w:b/>
                <w:color w:val="FFFFFF"/>
                <w:sz w:val="20"/>
              </w:rPr>
              <w:t>Score / 100</w:t>
            </w:r>
          </w:p>
        </w:tc>
        <w:tc>
          <w:tcPr>
            <w:tcW w:type="dxa" w:w="1440"/>
            <w:shd w:val="clear" w:color="auto" w:fill="1F3A5F"/>
          </w:tcPr>
          <w:p>
            <w:r>
              <w:rPr>
                <w:b/>
                <w:color w:val="FFFFFF"/>
                <w:sz w:val="20"/>
              </w:rPr>
              <w:t>Risk band</w:t>
            </w:r>
          </w:p>
        </w:tc>
        <w:tc>
          <w:tcPr>
            <w:tcW w:type="dxa" w:w="1152"/>
            <w:shd w:val="clear" w:color="auto" w:fill="1F3A5F"/>
          </w:tcPr>
          <w:p>
            <w:r>
              <w:rPr>
                <w:b/>
                <w:color w:val="FFFFFF"/>
                <w:sz w:val="20"/>
              </w:rPr>
              <w:t>Actions</w:t>
            </w:r>
          </w:p>
        </w:tc>
      </w:tr>
      <w:tr>
        <w:tc>
          <w:tcPr>
            <w:tcW w:type="dxa" w:w="4320"/>
          </w:tcPr>
          <w:p>
            <w:r>
              <w:rPr>
                <w:sz w:val="20"/>
              </w:rPr>
              <w:t>Montauk Lobster Roll Truck</w:t>
            </w:r>
          </w:p>
        </w:tc>
        <w:tc>
          <w:tcPr>
            <w:tcW w:type="dxa" w:w="1728"/>
          </w:tcPr>
          <w:p>
            <w:r>
              <w:rPr>
                <w:sz w:val="20"/>
              </w:rPr>
              <w:t>99.0</w:t>
            </w:r>
          </w:p>
        </w:tc>
        <w:tc>
          <w:tcPr>
            <w:tcW w:type="dxa" w:w="1440"/>
          </w:tcPr>
          <w:p>
            <w:r>
              <w:rPr>
                <w:sz w:val="20"/>
              </w:rPr>
              <w:t>LOW</w:t>
            </w:r>
          </w:p>
        </w:tc>
        <w:tc>
          <w:tcPr>
            <w:tcW w:type="dxa" w:w="1152"/>
          </w:tcPr>
          <w:p>
            <w:r>
              <w:rPr>
                <w:sz w:val="20"/>
              </w:rPr>
              <w:t>1</w:t>
            </w:r>
          </w:p>
        </w:tc>
      </w:tr>
      <w:tr>
        <w:tc>
          <w:tcPr>
            <w:tcW w:type="dxa" w:w="4320"/>
          </w:tcPr>
          <w:p>
            <w:r>
              <w:rPr>
                <w:sz w:val="20"/>
              </w:rPr>
              <w:t>Huntington Halal Cart (lapsed permit)</w:t>
            </w:r>
          </w:p>
        </w:tc>
        <w:tc>
          <w:tcPr>
            <w:tcW w:type="dxa" w:w="1728"/>
          </w:tcPr>
          <w:p>
            <w:r>
              <w:rPr>
                <w:sz w:val="20"/>
              </w:rPr>
              <w:t>37.0</w:t>
            </w:r>
          </w:p>
        </w:tc>
        <w:tc>
          <w:tcPr>
            <w:tcW w:type="dxa" w:w="1440"/>
          </w:tcPr>
          <w:p>
            <w:r>
              <w:rPr>
                <w:sz w:val="20"/>
              </w:rPr>
              <w:t>HIGH</w:t>
            </w:r>
          </w:p>
        </w:tc>
        <w:tc>
          <w:tcPr>
            <w:tcW w:type="dxa" w:w="1152"/>
          </w:tcPr>
          <w:p>
            <w:r>
              <w:rPr>
                <w:sz w:val="20"/>
              </w:rPr>
              <w:t>5</w:t>
            </w:r>
          </w:p>
        </w:tc>
      </w:tr>
      <w:tr>
        <w:tc>
          <w:tcPr>
            <w:tcW w:type="dxa" w:w="4320"/>
          </w:tcPr>
          <w:p>
            <w:r>
              <w:rPr>
                <w:sz w:val="20"/>
              </w:rPr>
              <w:t>Patchogue Coffee Cart (new vendor)</w:t>
            </w:r>
          </w:p>
        </w:tc>
        <w:tc>
          <w:tcPr>
            <w:tcW w:type="dxa" w:w="1728"/>
          </w:tcPr>
          <w:p>
            <w:r>
              <w:rPr>
                <w:sz w:val="20"/>
              </w:rPr>
              <w:t>99.7</w:t>
            </w:r>
          </w:p>
        </w:tc>
        <w:tc>
          <w:tcPr>
            <w:tcW w:type="dxa" w:w="1440"/>
          </w:tcPr>
          <w:p>
            <w:r>
              <w:rPr>
                <w:sz w:val="20"/>
              </w:rPr>
              <w:t>LOW</w:t>
            </w:r>
          </w:p>
        </w:tc>
        <w:tc>
          <w:tcPr>
            <w:tcW w:type="dxa" w:w="1152"/>
          </w:tcPr>
          <w:p>
            <w:r>
              <w:rPr>
                <w:sz w:val="20"/>
              </w:rPr>
              <w:t>0</w:t>
            </w:r>
          </w:p>
        </w:tc>
      </w:tr>
    </w:tbl>
    <w:p>
      <w:r>
        <w:rPr>
          <w:b w:val="0"/>
          <w:i w:val="0"/>
          <w:sz w:val="22"/>
        </w:rPr>
        <w:t>A monotonicity cross-check in the final validation step confirms that the lapsed-permit scenario is scored lower than the fully compliant scenario — a basic sanity property that the pipeline verifies automatically before emitting its stage-6 report.</w:t>
      </w:r>
    </w:p>
    <w:p>
      <w:pPr>
        <w:pStyle w:val="Heading2"/>
      </w:pPr>
      <w:r>
        <w:rPr>
          <w:color w:val="1F3A5F"/>
        </w:rPr>
        <w:t>6.7 End-to-End Validation</w:t>
      </w:r>
    </w:p>
    <w:p>
      <w:r>
        <w:rPr>
          <w:b w:val="0"/>
          <w:i w:val="0"/>
          <w:sz w:val="22"/>
        </w:rPr>
        <w:t>All six pipeline stages plus the RAG chatbot module completed with status ok on the most recent run. The validation reports are checked into outputs/stage*_report.json and form part of the project's auditability story.</w:t>
      </w:r>
    </w:p>
    <w:p>
      <w:r>
        <w:br w:type="page"/>
      </w:r>
    </w:p>
    <w:p>
      <w:pPr>
        <w:pStyle w:val="Heading1"/>
      </w:pPr>
      <w:r>
        <w:rPr>
          <w:color w:val="1F3A5F"/>
        </w:rPr>
        <w:t>7. User Interface</w:t>
      </w:r>
    </w:p>
    <w:p>
      <w:r>
        <w:rPr>
          <w:b w:val="0"/>
          <w:i w:val="0"/>
          <w:sz w:val="22"/>
        </w:rPr>
        <w:t>The Streamlit application (app.py) exposes seven tabs, each built against cached in-memory dataframes and the trained model.</w:t>
      </w:r>
    </w:p>
    <w:p>
      <w:r>
        <w:rPr>
          <w:b w:val="0"/>
          <w:i/>
          <w:sz w:val="20"/>
        </w:rPr>
        <w:t>Table 7: Streamlit application tabs</w:t>
      </w:r>
    </w:p>
    <w:tbl>
      <w:tblPr>
        <w:tblStyle w:val="LightGrid-Accent1"/>
        <w:tblW w:type="auto" w:w="0"/>
        <w:tblLook w:firstColumn="1" w:firstRow="1" w:lastColumn="0" w:lastRow="0" w:noHBand="0" w:noVBand="1" w:val="04A0"/>
      </w:tblPr>
      <w:tblGrid>
        <w:gridCol w:w="2880"/>
        <w:gridCol w:w="2880"/>
        <w:gridCol w:w="2880"/>
      </w:tblGrid>
      <w:tr>
        <w:tc>
          <w:tcPr>
            <w:tcW w:type="dxa" w:w="432"/>
            <w:shd w:val="clear" w:color="auto" w:fill="1F3A5F"/>
          </w:tcPr>
          <w:p>
            <w:r>
              <w:rPr>
                <w:b/>
                <w:color w:val="FFFFFF"/>
                <w:sz w:val="20"/>
              </w:rPr>
              <w:t>#</w:t>
            </w:r>
          </w:p>
        </w:tc>
        <w:tc>
          <w:tcPr>
            <w:tcW w:type="dxa" w:w="2880"/>
            <w:shd w:val="clear" w:color="auto" w:fill="1F3A5F"/>
          </w:tcPr>
          <w:p>
            <w:r>
              <w:rPr>
                <w:b/>
                <w:color w:val="FFFFFF"/>
                <w:sz w:val="20"/>
              </w:rPr>
              <w:t>Tab</w:t>
            </w:r>
          </w:p>
        </w:tc>
        <w:tc>
          <w:tcPr>
            <w:tcW w:type="dxa" w:w="6048"/>
            <w:shd w:val="clear" w:color="auto" w:fill="1F3A5F"/>
          </w:tcPr>
          <w:p>
            <w:r>
              <w:rPr>
                <w:b/>
                <w:color w:val="FFFFFF"/>
                <w:sz w:val="20"/>
              </w:rPr>
              <w:t>Description</w:t>
            </w:r>
          </w:p>
        </w:tc>
      </w:tr>
      <w:tr>
        <w:tc>
          <w:tcPr>
            <w:tcW w:type="dxa" w:w="432"/>
          </w:tcPr>
          <w:p>
            <w:r>
              <w:rPr>
                <w:sz w:val="20"/>
              </w:rPr>
              <w:t>1</w:t>
            </w:r>
          </w:p>
        </w:tc>
        <w:tc>
          <w:tcPr>
            <w:tcW w:type="dxa" w:w="2880"/>
          </w:tcPr>
          <w:p>
            <w:r>
              <w:rPr>
                <w:sz w:val="20"/>
              </w:rPr>
              <w:t>💬 Ask the Assistant</w:t>
            </w:r>
          </w:p>
        </w:tc>
        <w:tc>
          <w:tcPr>
            <w:tcW w:type="dxa" w:w="6048"/>
          </w:tcPr>
          <w:p>
            <w:r>
              <w:rPr>
                <w:sz w:val="20"/>
              </w:rPr>
              <w:t>RAG chatbot with inline citations and retrieved-source panel</w:t>
            </w:r>
          </w:p>
        </w:tc>
      </w:tr>
      <w:tr>
        <w:tc>
          <w:tcPr>
            <w:tcW w:type="dxa" w:w="432"/>
          </w:tcPr>
          <w:p>
            <w:r>
              <w:rPr>
                <w:sz w:val="20"/>
              </w:rPr>
              <w:t>2</w:t>
            </w:r>
          </w:p>
        </w:tc>
        <w:tc>
          <w:tcPr>
            <w:tcW w:type="dxa" w:w="2880"/>
          </w:tcPr>
          <w:p>
            <w:r>
              <w:rPr>
                <w:sz w:val="20"/>
              </w:rPr>
              <w:t>🔍 Search Vendors</w:t>
            </w:r>
          </w:p>
        </w:tc>
        <w:tc>
          <w:tcPr>
            <w:tcW w:type="dxa" w:w="6048"/>
          </w:tcPr>
          <w:p>
            <w:r>
              <w:rPr>
                <w:sz w:val="20"/>
              </w:rPr>
              <w:t>Full-text search across facility name, address, and violation text, filterable by city and year</w:t>
            </w:r>
          </w:p>
        </w:tc>
      </w:tr>
      <w:tr>
        <w:tc>
          <w:tcPr>
            <w:tcW w:type="dxa" w:w="432"/>
          </w:tcPr>
          <w:p>
            <w:r>
              <w:rPr>
                <w:sz w:val="20"/>
              </w:rPr>
              <w:t>3</w:t>
            </w:r>
          </w:p>
        </w:tc>
        <w:tc>
          <w:tcPr>
            <w:tcW w:type="dxa" w:w="2880"/>
          </w:tcPr>
          <w:p>
            <w:r>
              <w:rPr>
                <w:sz w:val="20"/>
              </w:rPr>
              <w:t>📊 Vendor Profile</w:t>
            </w:r>
          </w:p>
        </w:tc>
        <w:tc>
          <w:tcPr>
            <w:tcW w:type="dxa" w:w="6048"/>
          </w:tcPr>
          <w:p>
            <w:r>
              <w:rPr>
                <w:sz w:val="20"/>
              </w:rPr>
              <w:t>Facility-level history and auto-computed compliance score</w:t>
            </w:r>
          </w:p>
        </w:tc>
      </w:tr>
      <w:tr>
        <w:tc>
          <w:tcPr>
            <w:tcW w:type="dxa" w:w="432"/>
          </w:tcPr>
          <w:p>
            <w:r>
              <w:rPr>
                <w:sz w:val="20"/>
              </w:rPr>
              <w:t>4</w:t>
            </w:r>
          </w:p>
        </w:tc>
        <w:tc>
          <w:tcPr>
            <w:tcW w:type="dxa" w:w="2880"/>
          </w:tcPr>
          <w:p>
            <w:r>
              <w:rPr>
                <w:sz w:val="20"/>
              </w:rPr>
              <w:t>⚖️ Score a Scenario</w:t>
            </w:r>
          </w:p>
        </w:tc>
        <w:tc>
          <w:tcPr>
            <w:tcW w:type="dxa" w:w="6048"/>
          </w:tcPr>
          <w:p>
            <w:r>
              <w:rPr>
                <w:sz w:val="20"/>
              </w:rPr>
              <w:t>What-if form with scenario inputs, compliance score, prioritized actions, top risk contributors, and full traceability</w:t>
            </w:r>
          </w:p>
        </w:tc>
      </w:tr>
      <w:tr>
        <w:tc>
          <w:tcPr>
            <w:tcW w:type="dxa" w:w="432"/>
          </w:tcPr>
          <w:p>
            <w:r>
              <w:rPr>
                <w:sz w:val="20"/>
              </w:rPr>
              <w:t>5</w:t>
            </w:r>
          </w:p>
        </w:tc>
        <w:tc>
          <w:tcPr>
            <w:tcW w:type="dxa" w:w="2880"/>
          </w:tcPr>
          <w:p>
            <w:r>
              <w:rPr>
                <w:sz w:val="20"/>
              </w:rPr>
              <w:t>📋 Required Permits</w:t>
            </w:r>
          </w:p>
        </w:tc>
        <w:tc>
          <w:tcPr>
            <w:tcW w:type="dxa" w:w="6048"/>
          </w:tcPr>
          <w:p>
            <w:r>
              <w:rPr>
                <w:sz w:val="20"/>
              </w:rPr>
              <w:t>Dynamic permit checklist filtered by operation profile, with fees and legal authority</w:t>
            </w:r>
          </w:p>
        </w:tc>
      </w:tr>
      <w:tr>
        <w:tc>
          <w:tcPr>
            <w:tcW w:type="dxa" w:w="432"/>
          </w:tcPr>
          <w:p>
            <w:r>
              <w:rPr>
                <w:sz w:val="20"/>
              </w:rPr>
              <w:t>6</w:t>
            </w:r>
          </w:p>
        </w:tc>
        <w:tc>
          <w:tcPr>
            <w:tcW w:type="dxa" w:w="2880"/>
          </w:tcPr>
          <w:p>
            <w:r>
              <w:rPr>
                <w:sz w:val="20"/>
              </w:rPr>
              <w:t>📜 Regulations</w:t>
            </w:r>
          </w:p>
        </w:tc>
        <w:tc>
          <w:tcPr>
            <w:tcW w:type="dxa" w:w="6048"/>
          </w:tcPr>
          <w:p>
            <w:r>
              <w:rPr>
                <w:sz w:val="20"/>
              </w:rPr>
              <w:t>Searchable rule bank</w:t>
            </w:r>
          </w:p>
        </w:tc>
      </w:tr>
      <w:tr>
        <w:tc>
          <w:tcPr>
            <w:tcW w:type="dxa" w:w="432"/>
          </w:tcPr>
          <w:p>
            <w:r>
              <w:rPr>
                <w:sz w:val="20"/>
              </w:rPr>
              <w:t>7</w:t>
            </w:r>
          </w:p>
        </w:tc>
        <w:tc>
          <w:tcPr>
            <w:tcW w:type="dxa" w:w="2880"/>
          </w:tcPr>
          <w:p>
            <w:r>
              <w:rPr>
                <w:sz w:val="20"/>
              </w:rPr>
              <w:t>🧠 Model Info</w:t>
            </w:r>
          </w:p>
        </w:tc>
        <w:tc>
          <w:tcPr>
            <w:tcW w:type="dxa" w:w="6048"/>
          </w:tcPr>
          <w:p>
            <w:r>
              <w:rPr>
                <w:sz w:val="20"/>
              </w:rPr>
              <w:t>ROC/PR metrics, feature-importance chart, confusion matrix</w:t>
            </w:r>
          </w:p>
        </w:tc>
      </w:tr>
    </w:tbl>
    <w:p>
      <w:pPr>
        <w:pStyle w:val="Heading2"/>
      </w:pPr>
      <w:r>
        <w:rPr>
          <w:color w:val="1F3A5F"/>
        </w:rPr>
        <w:t>7.1 RAG Chatbot Modes</w:t>
      </w:r>
    </w:p>
    <w:p>
      <w:r>
        <w:rPr>
          <w:b w:val="0"/>
          <w:i w:val="0"/>
          <w:sz w:val="22"/>
        </w:rPr>
        <w:t>The chatbot operates in one of two modes depending on whether the ANTHROPIC_API_KEY environment variable is set. In LLM mode (the preferred configuration) it passes the retrieved passages to claude-haiku-4-5 via the Anthropic SDK and returns a conversational answer with inline [1], [2], [3] citations grounded in the retrieved passages. In retrieval-only mode (the fallback) it directly returns the top-k passages with scores and source labels. Both modes are safe-by-default: no user data leaves the local machine except the query text itself, and only when LLM mode is active.</w:t>
      </w:r>
    </w:p>
    <w:p>
      <w:r>
        <w:br w:type="page"/>
      </w:r>
    </w:p>
    <w:p>
      <w:pPr>
        <w:pStyle w:val="Heading1"/>
      </w:pPr>
      <w:r>
        <w:rPr>
          <w:color w:val="1F3A5F"/>
        </w:rPr>
        <w:t>8. Limitations and Threats to Validity</w:t>
      </w:r>
    </w:p>
    <w:p>
      <w:pPr>
        <w:pStyle w:val="Heading2"/>
      </w:pPr>
      <w:r>
        <w:rPr>
          <w:color w:val="1F3A5F"/>
        </w:rPr>
        <w:t>8.1 Target Definition</w:t>
      </w:r>
    </w:p>
    <w:p>
      <w:r>
        <w:rPr>
          <w:b w:val="0"/>
          <w:i w:val="0"/>
          <w:sz w:val="22"/>
        </w:rPr>
        <w:t>The Suffolk County data does not mark individual violations as critical versus non-critical in a usable field, so this project proxies 'high severity' as top-quartile violation count per visit. A model trained against a direct critical-violation label from Chicago, Seattle, or NYC DOH data would likely achieve different performance characteristics. Replacing the target with a direct critical field should be the first priority if additional labeled data becomes available.</w:t>
      </w:r>
    </w:p>
    <w:p>
      <w:pPr>
        <w:pStyle w:val="Heading2"/>
      </w:pPr>
      <w:r>
        <w:rPr>
          <w:color w:val="1F3A5F"/>
        </w:rPr>
        <w:t>8.2 Weather Coverage</w:t>
      </w:r>
    </w:p>
    <w:p>
      <w:r>
        <w:rPr>
          <w:b w:val="0"/>
          <w:i w:val="0"/>
          <w:sz w:val="22"/>
        </w:rPr>
        <w:t>The NOAA ingestion range (2023–2024) only partially overlaps with the violation date range (2024–2025), so weather features are populated for approximately 50% of visits. Extending the NOAA request to cover 2024–2025 (a single line change in src/01_ingest.py) would improve feature completeness.</w:t>
      </w:r>
    </w:p>
    <w:p>
      <w:pPr>
        <w:pStyle w:val="Heading2"/>
      </w:pPr>
      <w:r>
        <w:rPr>
          <w:color w:val="1F3A5F"/>
        </w:rPr>
        <w:t>8.3 Mobile-Vendor vs. Fixed-Establishment Data</w:t>
      </w:r>
    </w:p>
    <w:p>
      <w:r>
        <w:rPr>
          <w:b w:val="0"/>
          <w:i w:val="0"/>
          <w:sz w:val="22"/>
        </w:rPr>
        <w:t>Suffolk's restaurant violations dataset mixes fixed-establishment restaurants with mobile food units. The model therefore learns patterns from both populations. For a production deployment targeting strictly mobile vendors, the ingestion stage would need to filter on the permit-type field, and a smaller, more targeted dataset may be required. The permit bank and RAG knowledge base are, however, already mobile-specific.</w:t>
      </w:r>
    </w:p>
    <w:p>
      <w:pPr>
        <w:pStyle w:val="Heading2"/>
      </w:pPr>
      <w:r>
        <w:rPr>
          <w:color w:val="1F3A5F"/>
        </w:rPr>
        <w:t>8.4 Regulatory Drift</w:t>
      </w:r>
    </w:p>
    <w:p>
      <w:r>
        <w:rPr>
          <w:b w:val="0"/>
          <w:i w:val="0"/>
          <w:sz w:val="22"/>
        </w:rPr>
        <w:t>NY State Sanitary Code Subpart 14-4 and local town ordinances change periodically. The extracted-rule bank is a snapshot as of the ingestion run date and should be re-refreshed on a periodic schedule. The permit bank in rules/required_permits.json carries a last_updated field for this purpose.</w:t>
      </w:r>
    </w:p>
    <w:p>
      <w:pPr>
        <w:pStyle w:val="Heading2"/>
      </w:pPr>
      <w:r>
        <w:rPr>
          <w:color w:val="1F3A5F"/>
        </w:rPr>
        <w:t>8.5 Copyright and Attribution</w:t>
      </w:r>
    </w:p>
    <w:p>
      <w:r>
        <w:rPr>
          <w:b w:val="0"/>
          <w:i w:val="0"/>
          <w:sz w:val="22"/>
        </w:rPr>
        <w:t>All ingested data is public record or public-domain regulatory text. The RAG chatbot is explicitly instructed to cite sources, and the retrieval-only fallback mode displays passages in-line with source labels. The report itself includes a references section with hyperlinks to every cited authority.</w:t>
      </w:r>
    </w:p>
    <w:p>
      <w:r>
        <w:br w:type="page"/>
      </w:r>
    </w:p>
    <w:p>
      <w:pPr>
        <w:pStyle w:val="Heading1"/>
      </w:pPr>
      <w:r>
        <w:rPr>
          <w:color w:val="1F3A5F"/>
        </w:rPr>
        <w:t>9. Future Work</w:t>
      </w:r>
    </w:p>
    <w:p>
      <w:pPr>
        <w:pStyle w:val="ListBullet"/>
      </w:pPr>
      <w:r>
        <w:rPr>
          <w:sz w:val="22"/>
        </w:rPr>
        <w:t>Switch target from proxy-severity to direct critical-violation labels once a labeled dataset is obtained.</w:t>
      </w:r>
    </w:p>
    <w:p>
      <w:pPr>
        <w:pStyle w:val="ListBullet"/>
      </w:pPr>
      <w:r>
        <w:rPr>
          <w:sz w:val="22"/>
        </w:rPr>
        <w:t>Filter ingestion to mobile-only permit types if Suffolk publishes a permit-type column.</w:t>
      </w:r>
    </w:p>
    <w:p>
      <w:pPr>
        <w:pStyle w:val="ListBullet"/>
      </w:pPr>
      <w:r>
        <w:rPr>
          <w:sz w:val="22"/>
        </w:rPr>
        <w:t>Extend NOAA weather ingestion through the full violation date range.</w:t>
      </w:r>
    </w:p>
    <w:p>
      <w:pPr>
        <w:pStyle w:val="ListBullet"/>
      </w:pPr>
      <w:r>
        <w:rPr>
          <w:sz w:val="22"/>
        </w:rPr>
        <w:t>Replace TF-IDF retrieval with a sentence-embedding model (e.g., MiniLM or Claude's embedding endpoint) for semantic recall on out-of-vocabulary phrasings.</w:t>
      </w:r>
    </w:p>
    <w:p>
      <w:pPr>
        <w:pStyle w:val="ListBullet"/>
      </w:pPr>
      <w:r>
        <w:rPr>
          <w:sz w:val="22"/>
        </w:rPr>
        <w:t>Add a per-city risk dashboard so town health officers can prioritize inspection routes.</w:t>
      </w:r>
    </w:p>
    <w:p>
      <w:pPr>
        <w:pStyle w:val="ListBullet"/>
      </w:pPr>
      <w:r>
        <w:rPr>
          <w:sz w:val="22"/>
        </w:rPr>
        <w:t>Add authentication and audit logging for deployment to multiple users.</w:t>
      </w:r>
    </w:p>
    <w:p>
      <w:pPr>
        <w:pStyle w:val="ListBullet"/>
      </w:pPr>
      <w:r>
        <w:rPr>
          <w:sz w:val="22"/>
        </w:rPr>
        <w:t>Integrate a 'vendor intake form' workflow where a new vendor answers a questionnaire and receives a generated compliance checklist plus a draft of their commissary-agreement template.</w:t>
      </w:r>
    </w:p>
    <w:p>
      <w:pPr>
        <w:pStyle w:val="ListBullet"/>
      </w:pPr>
      <w:r>
        <w:rPr>
          <w:sz w:val="22"/>
        </w:rPr>
        <w:t>Run backtests on quarterly cohorts to measure calibration drift over time.</w:t>
      </w:r>
    </w:p>
    <w:p>
      <w:pPr>
        <w:pStyle w:val="Heading1"/>
      </w:pPr>
      <w:r>
        <w:rPr>
          <w:color w:val="1F3A5F"/>
        </w:rPr>
        <w:t>10. Conclusions</w:t>
      </w:r>
    </w:p>
    <w:p>
      <w:r>
        <w:rPr>
          <w:b w:val="0"/>
          <w:i w:val="0"/>
          <w:sz w:val="22"/>
        </w:rPr>
        <w:t>This project demonstrates that an agentic AI pipeline built from free, public data can produce an end-to-end compliance assistant for a regulated small-business domain. The model achieves strong test-set performance (ROC AUC 0.859, 2.5× PR-AUC lift) using only sixteen features, most of which are directly interpretable to a food-safety professional. The RAG chatbot and tailored permit checklist turn the underlying data into guidance a non-technical vendor can act on. Every stage writes a structured validation report, supporting the kind of auditability that public-facing AI systems increasingly require. The architecture is modular enough that swapping any single component — the model, the retriever, the LLM backend, or the data source — requires touching only one module of src/. We believe this makes the system a useful starting point for similar compliance-automation projects in adjacent jurisdictions and regulated domains.</w:t>
      </w:r>
    </w:p>
    <w:p>
      <w:r>
        <w:br w:type="page"/>
      </w:r>
    </w:p>
    <w:p>
      <w:pPr>
        <w:pStyle w:val="Heading1"/>
      </w:pPr>
      <w:r>
        <w:rPr>
          <w:color w:val="1F3A5F"/>
        </w:rPr>
        <w:t>References</w:t>
      </w:r>
    </w:p>
    <w:p>
      <w:r>
        <w:rPr>
          <w:b/>
          <w:sz w:val="20"/>
        </w:rPr>
        <w:t xml:space="preserve">[1]  </w:t>
      </w:r>
      <w:r>
        <w:rPr>
          <w:sz w:val="20"/>
        </w:rPr>
        <w:t>New York State Department of Health. Title 10 NYCRR Part 14 — Food Service Establishments. Subpart 14-4: Mobile Food Service Establishments and Pushcarts. Retrieved from https://regs.health.ny.gov/</w:t>
      </w:r>
    </w:p>
    <w:p>
      <w:r>
        <w:rPr>
          <w:b/>
          <w:sz w:val="20"/>
        </w:rPr>
        <w:t xml:space="preserve">[2]  </w:t>
      </w:r>
      <w:r>
        <w:rPr>
          <w:sz w:val="20"/>
        </w:rPr>
        <w:t>Suffolk County Department of Health Services, Office of Food Protection. Restaurant Violations 2024 and 2025 datasets. Suffolk County Open Data Portal. https://opendata.suffolkcountyny.gov/</w:t>
      </w:r>
    </w:p>
    <w:p>
      <w:r>
        <w:rPr>
          <w:b/>
          <w:sz w:val="20"/>
        </w:rPr>
        <w:t xml:space="preserve">[3]  </w:t>
      </w:r>
      <w:r>
        <w:rPr>
          <w:sz w:val="20"/>
        </w:rPr>
        <w:t>Kang, J. S., Kuznetsova, P., Luca, M., &amp; Choi, Y. (2013). Where not to eat? Improving public policy by predicting hygiene inspections using online reviews. Proceedings of the 2013 Conference on Empirical Methods in Natural Language Processing, 1443–1448.</w:t>
      </w:r>
    </w:p>
    <w:p>
      <w:r>
        <w:rPr>
          <w:b/>
          <w:sz w:val="20"/>
        </w:rPr>
        <w:t xml:space="preserve">[4]  </w:t>
      </w:r>
      <w:r>
        <w:rPr>
          <w:sz w:val="20"/>
        </w:rPr>
        <w:t>Department of Innovation and Technology, City of Chicago. (2015). Food Inspection Forecasting. https://chicago.github.io/food-inspections-evaluation/</w:t>
      </w:r>
    </w:p>
    <w:p>
      <w:r>
        <w:rPr>
          <w:b/>
          <w:sz w:val="20"/>
        </w:rPr>
        <w:t xml:space="preserve">[5]  </w:t>
      </w:r>
      <w:r>
        <w:rPr>
          <w:sz w:val="20"/>
        </w:rPr>
        <w:t>Lewis, P., Perez, E., Piktus, A., Petroni, F., Karpukhin, V., Goyal, N., Küttler, H., Lewis, M., Yih, W., Rocktäschel, T., Riedel, S., &amp; Kiela, D. (2020). Retrieval-augmented generation for knowledge-intensive NLP tasks. Advances in Neural Information Processing Systems 33, 9459–9474.</w:t>
      </w:r>
    </w:p>
    <w:p>
      <w:r>
        <w:rPr>
          <w:b/>
          <w:sz w:val="20"/>
        </w:rPr>
        <w:t xml:space="preserve">[6]  </w:t>
      </w:r>
      <w:r>
        <w:rPr>
          <w:sz w:val="20"/>
        </w:rPr>
        <w:t>Gao, Y., Xiong, Y., Gao, X., Jia, K., Pan, J., Bi, Y., Dai, Y., Sun, J., &amp; Wang, H. (2023). Retrieval-Augmented Generation for Large Language Models: A Survey. arXiv:2312.10997.</w:t>
      </w:r>
    </w:p>
    <w:p>
      <w:r>
        <w:rPr>
          <w:b/>
          <w:sz w:val="20"/>
        </w:rPr>
        <w:t xml:space="preserve">[7]  </w:t>
      </w:r>
      <w:r>
        <w:rPr>
          <w:sz w:val="20"/>
        </w:rPr>
        <w:t>Shen, Y., Song, K., Tan, X., Li, D., Lu, W., &amp; Zhuang, Y. (2023). HuggingGPT: Solving AI Tasks with ChatGPT and its Friends in Hugging Face. arXiv:2303.17580.</w:t>
      </w:r>
    </w:p>
    <w:p>
      <w:r>
        <w:rPr>
          <w:b/>
          <w:sz w:val="20"/>
        </w:rPr>
        <w:t xml:space="preserve">[8]  </w:t>
      </w:r>
      <w:r>
        <w:rPr>
          <w:sz w:val="20"/>
        </w:rPr>
        <w:t>National Oceanic and Atmospheric Administration, National Centers for Environmental Information. Access Data Service API. https://www.ncei.noaa.gov/access/services/data/v1</w:t>
      </w:r>
    </w:p>
    <w:p>
      <w:r>
        <w:rPr>
          <w:b/>
          <w:sz w:val="20"/>
        </w:rPr>
        <w:t xml:space="preserve">[9]  </w:t>
      </w:r>
      <w:r>
        <w:rPr>
          <w:sz w:val="20"/>
        </w:rPr>
        <w:t>New York City Department of Health and Mental Hygiene. What Mobile Food Vendors Should Know. https://www.nyc.gov/assets/doh/downloads/pdf/rii/regulations-for-mobile-food-vendors.pdf</w:t>
      </w:r>
    </w:p>
    <w:p>
      <w:r>
        <w:rPr>
          <w:b/>
          <w:sz w:val="20"/>
        </w:rPr>
        <w:t xml:space="preserve">[10]  </w:t>
      </w:r>
      <w:r>
        <w:rPr>
          <w:sz w:val="20"/>
        </w:rPr>
        <w:t>New York State Department of Taxation and Finance. Certificate of Authority. https://www.tax.ny.gov/bus/st/register.htm</w:t>
      </w:r>
    </w:p>
    <w:p>
      <w:r>
        <w:rPr>
          <w:b/>
          <w:sz w:val="20"/>
        </w:rPr>
        <w:t xml:space="preserve">[11]  </w:t>
      </w:r>
      <w:r>
        <w:rPr>
          <w:sz w:val="20"/>
        </w:rPr>
        <w:t>National Fire Protection Association. NFPA 96: Standard for Ventilation Control and Fire Protection of Commercial Cooking Operations.</w:t>
      </w:r>
    </w:p>
    <w:p>
      <w:r>
        <w:rPr>
          <w:b/>
          <w:sz w:val="20"/>
        </w:rPr>
        <w:t xml:space="preserve">[12]  </w:t>
      </w:r>
      <w:r>
        <w:rPr>
          <w:sz w:val="20"/>
        </w:rPr>
        <w:t>New York State Sanitary Code, Title 10 NYCRR Part 14.4. Subpart 14-2: Temporary Food Service Establishments.</w:t>
      </w:r>
    </w:p>
    <w:p>
      <w:r>
        <w:rPr>
          <w:b/>
          <w:sz w:val="20"/>
        </w:rPr>
        <w:t xml:space="preserve">[13]  </w:t>
      </w:r>
      <w:r>
        <w:rPr>
          <w:sz w:val="20"/>
        </w:rPr>
        <w:t>Pedregosa, F., Varoquaux, G., Gramfort, A., et al. (2011). Scikit-learn: Machine Learning in Python. Journal of Machine Learning Research 12, 2825–2830.</w:t>
      </w:r>
    </w:p>
    <w:p>
      <w:r>
        <w:rPr>
          <w:b/>
          <w:sz w:val="20"/>
        </w:rPr>
        <w:t xml:space="preserve">[14]  </w:t>
      </w:r>
      <w:r>
        <w:rPr>
          <w:sz w:val="20"/>
        </w:rPr>
        <w:t>McKinney, W. (2010). Data Structures for Statistical Computing in Python. Proceedings of the 9th Python in Science Conference, 51–56.</w:t>
      </w:r>
    </w:p>
    <w:p>
      <w:r>
        <w:rPr>
          <w:b/>
          <w:sz w:val="20"/>
        </w:rPr>
        <w:t xml:space="preserve">[15]  </w:t>
      </w:r>
      <w:r>
        <w:rPr>
          <w:sz w:val="20"/>
        </w:rPr>
        <w:t>Streamlit Inc. Streamlit — A faster way to build and share data apps. https://streamlit.io</w:t>
      </w:r>
    </w:p>
    <w:p>
      <w:r>
        <w:rPr>
          <w:b/>
          <w:sz w:val="20"/>
        </w:rPr>
        <w:t xml:space="preserve">[16]  </w:t>
      </w:r>
      <w:r>
        <w:rPr>
          <w:sz w:val="20"/>
        </w:rPr>
        <w:t>Anthropic. Claude API Documentation — claude-haiku-4-5 model. https://docs.anthropic.com/</w:t>
      </w:r>
    </w:p>
    <w:p>
      <w:r>
        <w:rPr>
          <w:b/>
          <w:sz w:val="20"/>
        </w:rPr>
        <w:t xml:space="preserve">[17]  </w:t>
      </w:r>
      <w:r>
        <w:rPr>
          <w:sz w:val="20"/>
        </w:rPr>
        <w:t>Esri. ArcGIS REST API — Feature Service Query. https://developers.arcgis.com/rest/services-reference/enterprise/query-feature-service/</w:t>
      </w:r>
    </w:p>
    <w:p>
      <w:r>
        <w:rPr>
          <w:b/>
          <w:sz w:val="20"/>
        </w:rPr>
        <w:t xml:space="preserve">[18]  </w:t>
      </w:r>
      <w:r>
        <w:rPr>
          <w:sz w:val="20"/>
        </w:rPr>
        <w:t>Socrata Open Data API (SODA). Developer documentation. https://dev.socrata.com/</w:t>
      </w:r>
    </w:p>
    <w:p>
      <w:r>
        <w:br w:type="page"/>
      </w:r>
    </w:p>
    <w:p>
      <w:pPr>
        <w:pStyle w:val="Heading1"/>
      </w:pPr>
      <w:r>
        <w:rPr>
          <w:color w:val="1F3A5F"/>
        </w:rPr>
        <w:t>Appendix A: Reproducibility</w:t>
      </w:r>
    </w:p>
    <w:p>
      <w:r>
        <w:rPr>
          <w:b/>
          <w:i w:val="0"/>
          <w:sz w:val="24"/>
        </w:rPr>
        <w:t>Environment</w:t>
      </w:r>
    </w:p>
    <w:p>
      <w:pPr>
        <w:pStyle w:val="ListBullet"/>
      </w:pPr>
      <w:r>
        <w:rPr>
          <w:sz w:val="22"/>
        </w:rPr>
        <w:t>Python ≥ 3.11</w:t>
      </w:r>
    </w:p>
    <w:p>
      <w:pPr>
        <w:pStyle w:val="ListBullet"/>
      </w:pPr>
      <w:r>
        <w:rPr>
          <w:sz w:val="22"/>
        </w:rPr>
        <w:t>Dependencies listed in requirements.txt</w:t>
      </w:r>
    </w:p>
    <w:p>
      <w:pPr>
        <w:pStyle w:val="ListBullet"/>
      </w:pPr>
      <w:r>
        <w:rPr>
          <w:sz w:val="22"/>
        </w:rPr>
        <w:t>Optional: ANTHROPIC_API_KEY in a .env file for LLM chatbot mode</w:t>
      </w:r>
    </w:p>
    <w:p>
      <w:r>
        <w:rPr>
          <w:b/>
          <w:i w:val="0"/>
          <w:sz w:val="24"/>
        </w:rPr>
        <w:t>Running the pipeline</w:t>
      </w:r>
    </w:p>
    <w:p>
      <w:r>
        <w:rPr>
          <w:b w:val="0"/>
          <w:i w:val="0"/>
          <w:sz w:val="22"/>
        </w:rPr>
        <w:t>From the project root, execute in order:</w:t>
      </w:r>
    </w:p>
    <w:p>
      <w:r>
        <w:rPr>
          <w:rFonts w:ascii="Consolas" w:hAnsi="Consolas"/>
          <w:sz w:val="20"/>
        </w:rPr>
        <w:t xml:space="preserve">    python src/01_ingest.py</w:t>
      </w:r>
    </w:p>
    <w:p>
      <w:r>
        <w:rPr>
          <w:rFonts w:ascii="Consolas" w:hAnsi="Consolas"/>
          <w:sz w:val="20"/>
        </w:rPr>
        <w:t xml:space="preserve">    python src/02_clean.py</w:t>
      </w:r>
    </w:p>
    <w:p>
      <w:r>
        <w:rPr>
          <w:rFonts w:ascii="Consolas" w:hAnsi="Consolas"/>
          <w:sz w:val="20"/>
        </w:rPr>
        <w:t xml:space="preserve">    python src/03_extract_rules.py</w:t>
      </w:r>
    </w:p>
    <w:p>
      <w:r>
        <w:rPr>
          <w:rFonts w:ascii="Consolas" w:hAnsi="Consolas"/>
          <w:sz w:val="20"/>
        </w:rPr>
        <w:t xml:space="preserve">    python src/04_features.py</w:t>
      </w:r>
    </w:p>
    <w:p>
      <w:r>
        <w:rPr>
          <w:rFonts w:ascii="Consolas" w:hAnsi="Consolas"/>
          <w:sz w:val="20"/>
        </w:rPr>
        <w:t xml:space="preserve">    python src/05_model.py</w:t>
      </w:r>
    </w:p>
    <w:p>
      <w:r>
        <w:rPr>
          <w:rFonts w:ascii="Consolas" w:hAnsi="Consolas"/>
          <w:sz w:val="20"/>
        </w:rPr>
        <w:t xml:space="preserve">    python src/06_predict.py</w:t>
      </w:r>
    </w:p>
    <w:p>
      <w:r>
        <w:rPr>
          <w:rFonts w:ascii="Consolas" w:hAnsi="Consolas"/>
          <w:sz w:val="20"/>
        </w:rPr>
        <w:t xml:space="preserve">    python -m streamlit run app.py</w:t>
      </w:r>
    </w:p>
    <w:p>
      <w:r>
        <w:rPr>
          <w:b/>
          <w:i w:val="0"/>
          <w:sz w:val="24"/>
        </w:rPr>
        <w:t>Validation</w:t>
      </w:r>
    </w:p>
    <w:p>
      <w:r>
        <w:rPr>
          <w:b w:val="0"/>
          <w:i w:val="0"/>
          <w:sz w:val="22"/>
        </w:rPr>
        <w:t>Each pipeline stage writes a JSON report to outputs/stage{N}_*.json. The top-level status field should be ok for a healthy run. A degraded status indicates at least one check failed; see the failures array in the same report for specifics.</w:t>
      </w:r>
    </w:p>
    <w:p>
      <w:r>
        <w:rPr>
          <w:b/>
          <w:i w:val="0"/>
          <w:sz w:val="24"/>
        </w:rPr>
        <w:t>Artifacts</w:t>
      </w:r>
    </w:p>
    <w:p>
      <w:pPr>
        <w:pStyle w:val="ListBullet"/>
      </w:pPr>
      <w:r>
        <w:rPr>
          <w:sz w:val="22"/>
        </w:rPr>
        <w:t>data/raw/ — unmodified downloaded source files</w:t>
      </w:r>
    </w:p>
    <w:p>
      <w:pPr>
        <w:pStyle w:val="ListBullet"/>
      </w:pPr>
      <w:r>
        <w:rPr>
          <w:sz w:val="22"/>
        </w:rPr>
        <w:t>data/processed/ — cleaned CSVs consumed by the UI</w:t>
      </w:r>
    </w:p>
    <w:p>
      <w:pPr>
        <w:pStyle w:val="ListBullet"/>
      </w:pPr>
      <w:r>
        <w:rPr>
          <w:sz w:val="22"/>
        </w:rPr>
        <w:t>rules/extracted_rules.json — Stage 3 output</w:t>
      </w:r>
    </w:p>
    <w:p>
      <w:pPr>
        <w:pStyle w:val="ListBullet"/>
      </w:pPr>
      <w:r>
        <w:rPr>
          <w:sz w:val="22"/>
        </w:rPr>
        <w:t>rules/required_permits.json — hand-curated permit bank</w:t>
      </w:r>
    </w:p>
    <w:p>
      <w:pPr>
        <w:pStyle w:val="ListBullet"/>
      </w:pPr>
      <w:r>
        <w:rPr>
          <w:sz w:val="22"/>
        </w:rPr>
        <w:t>models/risk_model.joblib — trained classifier</w:t>
      </w:r>
    </w:p>
    <w:p>
      <w:pPr>
        <w:pStyle w:val="ListBullet"/>
      </w:pPr>
      <w:r>
        <w:rPr>
          <w:sz w:val="22"/>
        </w:rPr>
        <w:t>outputs/stage*_report.json — validation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